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 Id="rId4"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A2C" w:rsidRDefault="009F2A2C" w:rsidP="009F2A2C">
      <w:pPr>
        <w:jc w:val="center"/>
        <w:rPr>
          <w:b/>
          <w:sz w:val="32"/>
        </w:rPr>
      </w:pPr>
      <w:r w:rsidRPr="009F2A2C">
        <w:rPr>
          <w:b/>
          <w:sz w:val="32"/>
        </w:rPr>
        <w:t xml:space="preserve">UNIT INTRODUCTION </w:t>
      </w:r>
      <w:r w:rsidR="00EF2E00">
        <w:rPr>
          <w:b/>
          <w:sz w:val="32"/>
        </w:rPr>
        <w:t>8</w:t>
      </w:r>
    </w:p>
    <w:p w:rsidR="009F2A2C" w:rsidRDefault="009F2A2C" w:rsidP="009F2A2C">
      <w:pPr>
        <w:jc w:val="center"/>
        <w:rPr>
          <w:b/>
          <w:sz w:val="32"/>
        </w:rPr>
      </w:pPr>
    </w:p>
    <w:p w:rsidR="009F2A2C" w:rsidRPr="009F2A2C" w:rsidRDefault="009F2A2C" w:rsidP="009F2A2C">
      <w:pPr>
        <w:spacing w:line="360" w:lineRule="exact"/>
        <w:rPr>
          <w:b/>
          <w:sz w:val="28"/>
          <w:u w:val="single"/>
        </w:rPr>
      </w:pPr>
      <w:r>
        <w:rPr>
          <w:b/>
          <w:sz w:val="28"/>
          <w:u w:val="single"/>
        </w:rPr>
        <w:t>Aim</w:t>
      </w:r>
    </w:p>
    <w:p w:rsidR="009F2A2C" w:rsidRDefault="009F2A2C" w:rsidP="009F2A2C">
      <w:pPr>
        <w:spacing w:line="360" w:lineRule="exact"/>
        <w:jc w:val="both"/>
        <w:rPr>
          <w:b/>
          <w:sz w:val="28"/>
        </w:rPr>
      </w:pPr>
    </w:p>
    <w:p w:rsidR="00EF2E00" w:rsidRDefault="009F2A2C" w:rsidP="009F2A2C">
      <w:pPr>
        <w:spacing w:line="360" w:lineRule="exact"/>
        <w:jc w:val="both"/>
        <w:rPr>
          <w:sz w:val="28"/>
        </w:rPr>
      </w:pPr>
      <w:r>
        <w:rPr>
          <w:sz w:val="28"/>
        </w:rPr>
        <w:t>The aim o</w:t>
      </w:r>
      <w:r w:rsidR="007428D0">
        <w:rPr>
          <w:sz w:val="28"/>
        </w:rPr>
        <w:t xml:space="preserve">f this unit is to </w:t>
      </w:r>
      <w:r w:rsidR="00EF2E00">
        <w:rPr>
          <w:sz w:val="28"/>
        </w:rPr>
        <w:t>examine scholarly debates on the ‘gospel’ genre and on the communities that supposedly lie behind the canonical Gospels.</w:t>
      </w:r>
    </w:p>
    <w:p w:rsidR="00EF2E00" w:rsidRDefault="00EF2E00" w:rsidP="009F2A2C">
      <w:pPr>
        <w:spacing w:line="360" w:lineRule="exact"/>
        <w:jc w:val="both"/>
        <w:rPr>
          <w:sz w:val="28"/>
        </w:rPr>
      </w:pPr>
    </w:p>
    <w:p w:rsidR="00554A75" w:rsidRDefault="00EF2E00" w:rsidP="009F2A2C">
      <w:pPr>
        <w:spacing w:line="360" w:lineRule="exact"/>
        <w:jc w:val="both"/>
        <w:rPr>
          <w:sz w:val="28"/>
        </w:rPr>
      </w:pPr>
      <w:r>
        <w:rPr>
          <w:sz w:val="28"/>
        </w:rPr>
        <w:t>* The usual practice is to retain the capital ‘G’ for the four canonical Gospels (i.e. Mark, Matthew, Luke and John).</w:t>
      </w:r>
    </w:p>
    <w:p w:rsidR="009F2A2C" w:rsidRDefault="009F2A2C" w:rsidP="009F2A2C">
      <w:pPr>
        <w:spacing w:line="360" w:lineRule="exact"/>
        <w:jc w:val="both"/>
        <w:rPr>
          <w:sz w:val="28"/>
        </w:rPr>
      </w:pPr>
    </w:p>
    <w:p w:rsidR="009F2A2C" w:rsidRDefault="009F2A2C" w:rsidP="009F2A2C">
      <w:pPr>
        <w:spacing w:line="360" w:lineRule="exact"/>
        <w:jc w:val="both"/>
        <w:rPr>
          <w:b/>
          <w:sz w:val="28"/>
          <w:u w:val="single"/>
        </w:rPr>
      </w:pPr>
      <w:r>
        <w:rPr>
          <w:b/>
          <w:sz w:val="28"/>
          <w:u w:val="single"/>
        </w:rPr>
        <w:t>General Overview</w:t>
      </w:r>
    </w:p>
    <w:p w:rsidR="009F2A2C" w:rsidRDefault="009F2A2C" w:rsidP="009F2A2C">
      <w:pPr>
        <w:spacing w:line="360" w:lineRule="exact"/>
        <w:jc w:val="both"/>
        <w:rPr>
          <w:b/>
          <w:sz w:val="28"/>
          <w:u w:val="single"/>
        </w:rPr>
      </w:pPr>
    </w:p>
    <w:p w:rsidR="009B30EB" w:rsidRDefault="009F2A2C" w:rsidP="000D510A">
      <w:pPr>
        <w:spacing w:line="360" w:lineRule="exact"/>
        <w:jc w:val="both"/>
        <w:rPr>
          <w:sz w:val="28"/>
        </w:rPr>
      </w:pPr>
      <w:r>
        <w:rPr>
          <w:sz w:val="28"/>
        </w:rPr>
        <w:t>You are strongly advised to start w</w:t>
      </w:r>
      <w:r w:rsidR="007428D0">
        <w:rPr>
          <w:sz w:val="28"/>
        </w:rPr>
        <w:t>ork on this unit by reading my handout entitled ‘</w:t>
      </w:r>
      <w:r w:rsidR="00EF2E00">
        <w:rPr>
          <w:sz w:val="28"/>
        </w:rPr>
        <w:t>What is a Gospel?</w:t>
      </w:r>
      <w:proofErr w:type="gramStart"/>
      <w:r w:rsidR="00EF2E00">
        <w:rPr>
          <w:sz w:val="28"/>
        </w:rPr>
        <w:t>’,</w:t>
      </w:r>
      <w:proofErr w:type="gramEnd"/>
      <w:r w:rsidR="00EF2E00">
        <w:rPr>
          <w:sz w:val="28"/>
        </w:rPr>
        <w:t xml:space="preserve"> which </w:t>
      </w:r>
      <w:r w:rsidR="000D510A">
        <w:rPr>
          <w:sz w:val="28"/>
        </w:rPr>
        <w:t>map</w:t>
      </w:r>
      <w:r w:rsidR="00EF2E00">
        <w:rPr>
          <w:sz w:val="28"/>
        </w:rPr>
        <w:t>s</w:t>
      </w:r>
      <w:r w:rsidR="007428D0">
        <w:rPr>
          <w:sz w:val="28"/>
        </w:rPr>
        <w:t xml:space="preserve"> out </w:t>
      </w:r>
      <w:r w:rsidR="00EF2E00">
        <w:rPr>
          <w:sz w:val="28"/>
        </w:rPr>
        <w:t>some of the questions raised about the ‘gospel’ genre (=</w:t>
      </w:r>
      <w:r w:rsidR="009B30EB">
        <w:rPr>
          <w:sz w:val="28"/>
        </w:rPr>
        <w:t xml:space="preserve"> </w:t>
      </w:r>
      <w:r w:rsidR="00EF2E00">
        <w:rPr>
          <w:sz w:val="28"/>
        </w:rPr>
        <w:t>literary form)</w:t>
      </w:r>
      <w:r w:rsidR="007428D0">
        <w:rPr>
          <w:sz w:val="28"/>
        </w:rPr>
        <w:t xml:space="preserve"> </w:t>
      </w:r>
      <w:r w:rsidR="00EF2E00">
        <w:rPr>
          <w:sz w:val="28"/>
        </w:rPr>
        <w:t xml:space="preserve">and the </w:t>
      </w:r>
      <w:r w:rsidR="009B30EB">
        <w:rPr>
          <w:sz w:val="28"/>
        </w:rPr>
        <w:t>impact or effect of that genre as a mode of communication in an early Christian context. The handout also notes some recent attempts to establish links between the canonical Gospels - that is, in terms of their genre - with ancient Greek and Roman biographies (</w:t>
      </w:r>
      <w:r w:rsidR="009B30EB">
        <w:rPr>
          <w:i/>
          <w:sz w:val="28"/>
        </w:rPr>
        <w:t xml:space="preserve">bios </w:t>
      </w:r>
      <w:r w:rsidR="009B30EB">
        <w:rPr>
          <w:sz w:val="28"/>
        </w:rPr>
        <w:t xml:space="preserve"> - ‘life’; </w:t>
      </w:r>
      <w:r w:rsidR="009B30EB">
        <w:rPr>
          <w:i/>
          <w:sz w:val="28"/>
        </w:rPr>
        <w:t xml:space="preserve">bioi – </w:t>
      </w:r>
      <w:r w:rsidR="009B30EB">
        <w:rPr>
          <w:sz w:val="28"/>
        </w:rPr>
        <w:t>‘lives’). For this first part i</w:t>
      </w:r>
      <w:r w:rsidR="009F7B87">
        <w:rPr>
          <w:sz w:val="28"/>
        </w:rPr>
        <w:t xml:space="preserve">t is then recommended that you </w:t>
      </w:r>
      <w:r w:rsidR="000D510A">
        <w:rPr>
          <w:sz w:val="28"/>
        </w:rPr>
        <w:t>read the book chapters or articles listed below under ‘Essential Reading’</w:t>
      </w:r>
      <w:r w:rsidR="009B30EB">
        <w:rPr>
          <w:sz w:val="28"/>
        </w:rPr>
        <w:t xml:space="preserve"> (the chapter on ‘gospel’ in the </w:t>
      </w:r>
      <w:r w:rsidR="009B30EB" w:rsidRPr="009B30EB">
        <w:rPr>
          <w:i/>
          <w:sz w:val="28"/>
        </w:rPr>
        <w:t>Oxford Companion to Biblical Studies</w:t>
      </w:r>
      <w:r w:rsidR="009B30EB">
        <w:rPr>
          <w:sz w:val="28"/>
        </w:rPr>
        <w:t>, as well as the studies by Bailey and Burridge)</w:t>
      </w:r>
      <w:r w:rsidR="000D510A">
        <w:rPr>
          <w:sz w:val="28"/>
        </w:rPr>
        <w:t>; th</w:t>
      </w:r>
      <w:r w:rsidR="009B30EB">
        <w:rPr>
          <w:sz w:val="28"/>
        </w:rPr>
        <w:t>ese</w:t>
      </w:r>
      <w:r w:rsidR="000D510A">
        <w:rPr>
          <w:sz w:val="28"/>
        </w:rPr>
        <w:t xml:space="preserve"> will help you familiarise yourself with key issues</w:t>
      </w:r>
      <w:r w:rsidR="009B30EB">
        <w:rPr>
          <w:sz w:val="28"/>
        </w:rPr>
        <w:t xml:space="preserve"> relating to gospel genre</w:t>
      </w:r>
      <w:r w:rsidR="000D510A">
        <w:rPr>
          <w:sz w:val="28"/>
        </w:rPr>
        <w:t xml:space="preserve">. </w:t>
      </w:r>
    </w:p>
    <w:p w:rsidR="009B30EB" w:rsidRDefault="009B30EB" w:rsidP="000D510A">
      <w:pPr>
        <w:spacing w:line="360" w:lineRule="exact"/>
        <w:jc w:val="both"/>
        <w:rPr>
          <w:sz w:val="28"/>
        </w:rPr>
      </w:pPr>
    </w:p>
    <w:p w:rsidR="000D510A" w:rsidRDefault="009B30EB" w:rsidP="000D510A">
      <w:pPr>
        <w:spacing w:line="360" w:lineRule="exact"/>
        <w:jc w:val="both"/>
        <w:rPr>
          <w:sz w:val="28"/>
        </w:rPr>
      </w:pPr>
      <w:r>
        <w:rPr>
          <w:sz w:val="28"/>
        </w:rPr>
        <w:t xml:space="preserve">The second part of the unit focuses on the question as to whether the canonical Gospels were written for particular communities (e.g., the Matthean community, the Johannine community) or, from the outset, were intended for a much broader readership. This issue was first highlighted by Richard Bauckham (see below) in his edited volume </w:t>
      </w:r>
      <w:r>
        <w:rPr>
          <w:i/>
          <w:sz w:val="28"/>
        </w:rPr>
        <w:t xml:space="preserve">The Gospel for All Christians, </w:t>
      </w:r>
      <w:r>
        <w:rPr>
          <w:sz w:val="28"/>
        </w:rPr>
        <w:t xml:space="preserve">but subjected to critical scrutiny in numerous articles (see articles by Esler and Sim). </w:t>
      </w:r>
      <w:r w:rsidR="000D510A">
        <w:rPr>
          <w:sz w:val="28"/>
        </w:rPr>
        <w:t>The publications listed under ‘Recommended Reading’ focus on particular aspects of the topic</w:t>
      </w:r>
      <w:r>
        <w:rPr>
          <w:sz w:val="28"/>
        </w:rPr>
        <w:t>(s)</w:t>
      </w:r>
      <w:r w:rsidR="000D510A">
        <w:rPr>
          <w:sz w:val="28"/>
        </w:rPr>
        <w:t xml:space="preserve"> for this unit.</w:t>
      </w:r>
    </w:p>
    <w:p w:rsidR="000D510A" w:rsidRDefault="000D510A" w:rsidP="009F2A2C">
      <w:pPr>
        <w:spacing w:line="360" w:lineRule="exact"/>
        <w:jc w:val="both"/>
        <w:rPr>
          <w:sz w:val="28"/>
        </w:rPr>
      </w:pPr>
    </w:p>
    <w:p w:rsidR="000D510A" w:rsidRDefault="000D510A" w:rsidP="000D510A">
      <w:pPr>
        <w:spacing w:line="360" w:lineRule="exact"/>
        <w:jc w:val="both"/>
        <w:rPr>
          <w:sz w:val="28"/>
        </w:rPr>
      </w:pPr>
      <w:r>
        <w:rPr>
          <w:sz w:val="28"/>
        </w:rPr>
        <w:t xml:space="preserve">Full bibliographical details of all the listed book chapters and articles can be found at the end of the next two sections. If you require further guidance about the selected reading material, or if you are interested in consulting additional items on this particular topic, please contact me on </w:t>
      </w:r>
      <w:hyperlink r:id="rId4" w:history="1">
        <w:r w:rsidRPr="006E1787">
          <w:rPr>
            <w:rStyle w:val="Hyperlink"/>
            <w:sz w:val="28"/>
          </w:rPr>
          <w:t>c.h.williams@tsd.ac.uk</w:t>
        </w:r>
      </w:hyperlink>
      <w:r>
        <w:rPr>
          <w:sz w:val="28"/>
        </w:rPr>
        <w:t>.</w:t>
      </w:r>
    </w:p>
    <w:p w:rsidR="000D510A" w:rsidRDefault="000D510A" w:rsidP="009F2A2C">
      <w:pPr>
        <w:spacing w:line="360" w:lineRule="exact"/>
        <w:jc w:val="both"/>
        <w:rPr>
          <w:b/>
          <w:sz w:val="28"/>
          <w:u w:val="single"/>
        </w:rPr>
      </w:pPr>
    </w:p>
    <w:p w:rsidR="000D510A" w:rsidRDefault="000D510A" w:rsidP="009F2A2C">
      <w:pPr>
        <w:spacing w:line="360" w:lineRule="exact"/>
        <w:jc w:val="both"/>
        <w:rPr>
          <w:b/>
          <w:sz w:val="28"/>
          <w:u w:val="single"/>
        </w:rPr>
      </w:pPr>
    </w:p>
    <w:p w:rsidR="009F2A2C" w:rsidRPr="00AA3DE4" w:rsidRDefault="00AA3DE4" w:rsidP="009F2A2C">
      <w:pPr>
        <w:spacing w:line="360" w:lineRule="exact"/>
        <w:jc w:val="both"/>
        <w:rPr>
          <w:b/>
          <w:sz w:val="28"/>
          <w:u w:val="single"/>
        </w:rPr>
      </w:pPr>
      <w:r w:rsidRPr="00AA3DE4">
        <w:rPr>
          <w:b/>
          <w:sz w:val="28"/>
          <w:u w:val="single"/>
        </w:rPr>
        <w:t>Essential Reading</w:t>
      </w:r>
    </w:p>
    <w:p w:rsidR="009D4FC8" w:rsidRDefault="009D4FC8" w:rsidP="009F2A2C">
      <w:pPr>
        <w:spacing w:line="360" w:lineRule="exact"/>
        <w:jc w:val="both"/>
        <w:rPr>
          <w:sz w:val="28"/>
        </w:rPr>
      </w:pPr>
    </w:p>
    <w:p w:rsidR="006F555D" w:rsidRPr="00203B7A" w:rsidRDefault="006F555D" w:rsidP="009F2A2C">
      <w:pPr>
        <w:spacing w:line="360" w:lineRule="exact"/>
        <w:jc w:val="both"/>
        <w:rPr>
          <w:color w:val="0000FF"/>
          <w:sz w:val="28"/>
        </w:rPr>
      </w:pPr>
      <w:r>
        <w:rPr>
          <w:b/>
          <w:sz w:val="28"/>
        </w:rPr>
        <w:t xml:space="preserve">1. What is a Gospel? </w:t>
      </w:r>
      <w:r>
        <w:rPr>
          <w:sz w:val="28"/>
        </w:rPr>
        <w:t xml:space="preserve">I would recommend that you first read the brief article on gospel (genre) in </w:t>
      </w:r>
      <w:r>
        <w:rPr>
          <w:i/>
          <w:sz w:val="28"/>
        </w:rPr>
        <w:t xml:space="preserve">The Oxford Companion to the Bible, </w:t>
      </w:r>
      <w:r>
        <w:rPr>
          <w:sz w:val="28"/>
        </w:rPr>
        <w:t xml:space="preserve">to enable you to familiarize yourself with the </w:t>
      </w:r>
      <w:r w:rsidR="00A06F73">
        <w:rPr>
          <w:sz w:val="28"/>
        </w:rPr>
        <w:t>contours of scholarly discussion on this topic</w:t>
      </w:r>
      <w:r>
        <w:rPr>
          <w:sz w:val="28"/>
        </w:rPr>
        <w:t xml:space="preserve">.  This should be followed by </w:t>
      </w:r>
      <w:r w:rsidRPr="006F555D">
        <w:rPr>
          <w:b/>
          <w:sz w:val="28"/>
        </w:rPr>
        <w:t>Richard Burridge’s</w:t>
      </w:r>
      <w:r>
        <w:rPr>
          <w:b/>
          <w:sz w:val="28"/>
        </w:rPr>
        <w:t xml:space="preserve"> </w:t>
      </w:r>
      <w:r>
        <w:rPr>
          <w:sz w:val="28"/>
        </w:rPr>
        <w:t>article entitled ‘</w:t>
      </w:r>
      <w:r>
        <w:rPr>
          <w:b/>
          <w:sz w:val="28"/>
        </w:rPr>
        <w:t>Gospels’</w:t>
      </w:r>
      <w:r>
        <w:rPr>
          <w:b/>
          <w:i/>
          <w:sz w:val="28"/>
        </w:rPr>
        <w:t xml:space="preserve"> </w:t>
      </w:r>
      <w:r>
        <w:rPr>
          <w:sz w:val="28"/>
        </w:rPr>
        <w:t xml:space="preserve">for the </w:t>
      </w:r>
      <w:r>
        <w:rPr>
          <w:i/>
          <w:sz w:val="28"/>
        </w:rPr>
        <w:t xml:space="preserve">Oxford Handbook of Biblical Studies. </w:t>
      </w:r>
      <w:r>
        <w:rPr>
          <w:sz w:val="28"/>
        </w:rPr>
        <w:t xml:space="preserve"> The chapter offers a useful summary of his earlier work on the links between the canonical Gospels and the Graeco-Roman biographies </w:t>
      </w:r>
      <w:r>
        <w:rPr>
          <w:i/>
          <w:sz w:val="28"/>
        </w:rPr>
        <w:t>(</w:t>
      </w:r>
      <w:r w:rsidRPr="006F555D">
        <w:rPr>
          <w:i/>
          <w:sz w:val="28"/>
        </w:rPr>
        <w:t>bioi</w:t>
      </w:r>
      <w:r>
        <w:rPr>
          <w:sz w:val="28"/>
        </w:rPr>
        <w:t xml:space="preserve">), but also notes trends in past and prsent scholarship as well possible future directions. This article should be read in conjunction with </w:t>
      </w:r>
      <w:r>
        <w:rPr>
          <w:b/>
          <w:sz w:val="28"/>
        </w:rPr>
        <w:t xml:space="preserve">J.L. Bailey’s </w:t>
      </w:r>
      <w:r w:rsidR="00203B7A">
        <w:rPr>
          <w:sz w:val="28"/>
        </w:rPr>
        <w:t xml:space="preserve">chapter on </w:t>
      </w:r>
      <w:r w:rsidR="00203B7A">
        <w:rPr>
          <w:b/>
          <w:sz w:val="28"/>
        </w:rPr>
        <w:t xml:space="preserve">‘Genre Analysis’, </w:t>
      </w:r>
      <w:r w:rsidR="00203B7A" w:rsidRPr="00203B7A">
        <w:rPr>
          <w:sz w:val="28"/>
        </w:rPr>
        <w:t>which considers the question from a broader</w:t>
      </w:r>
      <w:r w:rsidR="00203B7A">
        <w:rPr>
          <w:sz w:val="28"/>
        </w:rPr>
        <w:t xml:space="preserve"> and more methodological perspective.</w:t>
      </w:r>
    </w:p>
    <w:p w:rsidR="00811008" w:rsidRDefault="00811008" w:rsidP="009F2A2C">
      <w:pPr>
        <w:spacing w:line="360" w:lineRule="exact"/>
        <w:jc w:val="both"/>
        <w:rPr>
          <w:sz w:val="28"/>
        </w:rPr>
      </w:pPr>
    </w:p>
    <w:p w:rsidR="00203B7A" w:rsidRDefault="00203B7A" w:rsidP="009F2A2C">
      <w:pPr>
        <w:spacing w:line="360" w:lineRule="exact"/>
        <w:jc w:val="both"/>
        <w:rPr>
          <w:sz w:val="28"/>
        </w:rPr>
      </w:pPr>
      <w:r w:rsidRPr="00203B7A">
        <w:rPr>
          <w:b/>
          <w:sz w:val="28"/>
        </w:rPr>
        <w:t>2. Gospel Communities</w:t>
      </w:r>
      <w:r>
        <w:rPr>
          <w:b/>
          <w:sz w:val="28"/>
        </w:rPr>
        <w:t xml:space="preserve"> </w:t>
      </w:r>
      <w:r>
        <w:rPr>
          <w:sz w:val="28"/>
        </w:rPr>
        <w:t xml:space="preserve">The key contribution on this topic is undoubtedly </w:t>
      </w:r>
      <w:r>
        <w:rPr>
          <w:b/>
          <w:sz w:val="28"/>
        </w:rPr>
        <w:t xml:space="preserve">Richard Bauckham’s </w:t>
      </w:r>
      <w:r>
        <w:rPr>
          <w:sz w:val="28"/>
        </w:rPr>
        <w:t xml:space="preserve">introductory chapter in his edited volume </w:t>
      </w:r>
      <w:r>
        <w:rPr>
          <w:b/>
          <w:i/>
          <w:sz w:val="28"/>
        </w:rPr>
        <w:t xml:space="preserve">The Gospels for All Christians. </w:t>
      </w:r>
      <w:r>
        <w:rPr>
          <w:sz w:val="28"/>
        </w:rPr>
        <w:t xml:space="preserve">This chapter and the (critical) discussion that it generated (including the article by </w:t>
      </w:r>
      <w:r>
        <w:rPr>
          <w:b/>
          <w:sz w:val="28"/>
        </w:rPr>
        <w:t>Philip Esler</w:t>
      </w:r>
      <w:r>
        <w:rPr>
          <w:sz w:val="28"/>
        </w:rPr>
        <w:t xml:space="preserve"> and the one by </w:t>
      </w:r>
      <w:r>
        <w:rPr>
          <w:b/>
          <w:sz w:val="28"/>
        </w:rPr>
        <w:t>David Sim</w:t>
      </w:r>
      <w:r>
        <w:rPr>
          <w:sz w:val="28"/>
        </w:rPr>
        <w:t>) represent a major landmark in Gospel studies over the past fifteen years. It is essential to work one’s way through Bauckham’s thesis and the responses to it.</w:t>
      </w:r>
    </w:p>
    <w:p w:rsidR="00203B7A" w:rsidRDefault="00203B7A" w:rsidP="009F2A2C">
      <w:pPr>
        <w:spacing w:line="360" w:lineRule="exact"/>
        <w:jc w:val="both"/>
        <w:rPr>
          <w:sz w:val="28"/>
        </w:rPr>
      </w:pPr>
    </w:p>
    <w:p w:rsidR="00A36F80" w:rsidRDefault="00A36F80" w:rsidP="009F2A2C">
      <w:pPr>
        <w:spacing w:line="360" w:lineRule="exact"/>
        <w:jc w:val="both"/>
        <w:rPr>
          <w:sz w:val="28"/>
        </w:rPr>
      </w:pPr>
    </w:p>
    <w:p w:rsidR="00203B7A" w:rsidRPr="00A06F73" w:rsidRDefault="00203B7A" w:rsidP="00BE1ABC">
      <w:pPr>
        <w:spacing w:after="120" w:line="360" w:lineRule="exact"/>
        <w:jc w:val="both"/>
      </w:pPr>
      <w:r>
        <w:t>Burridge, R.</w:t>
      </w:r>
      <w:r w:rsidR="00A06F73">
        <w:t xml:space="preserve">A., ‘Gospels’, in J.W. Rogerson and J.M. Lieu (eds.), </w:t>
      </w:r>
      <w:r w:rsidR="00A06F73">
        <w:rPr>
          <w:i/>
        </w:rPr>
        <w:t xml:space="preserve">The Oxford Handbook of Biblical Studies </w:t>
      </w:r>
      <w:r w:rsidR="00A06F73">
        <w:t>(Oxford: OUP, 2008), 432-44.</w:t>
      </w:r>
    </w:p>
    <w:p w:rsidR="00203B7A" w:rsidRPr="00A06F73" w:rsidRDefault="00203B7A" w:rsidP="00BE1ABC">
      <w:pPr>
        <w:spacing w:after="120" w:line="360" w:lineRule="exact"/>
        <w:jc w:val="both"/>
      </w:pPr>
      <w:r>
        <w:t xml:space="preserve">Bailey, J.L., </w:t>
      </w:r>
      <w:r w:rsidR="00A06F73">
        <w:t xml:space="preserve">‘Genre Analysis’, in Joel B. Green (ed.), </w:t>
      </w:r>
      <w:r w:rsidR="00A06F73">
        <w:rPr>
          <w:i/>
        </w:rPr>
        <w:t>Hearing the New Testament</w:t>
      </w:r>
      <w:r w:rsidR="00A06F73">
        <w:t xml:space="preserve"> (Grand Rapids: W.B. Eerdmans, 1995), 197-221.</w:t>
      </w:r>
    </w:p>
    <w:p w:rsidR="00203B7A" w:rsidRPr="001B7F16" w:rsidRDefault="00203B7A" w:rsidP="00BE1ABC">
      <w:pPr>
        <w:spacing w:after="120" w:line="360" w:lineRule="exact"/>
        <w:jc w:val="both"/>
      </w:pPr>
      <w:r>
        <w:t>Bauckham, R.,</w:t>
      </w:r>
      <w:r w:rsidR="00A06F73">
        <w:t xml:space="preserve"> ‘For Whom Were Gospels Written?</w:t>
      </w:r>
      <w:proofErr w:type="gramStart"/>
      <w:r w:rsidR="00A06F73">
        <w:t>’,</w:t>
      </w:r>
      <w:proofErr w:type="gramEnd"/>
      <w:r w:rsidR="00A06F73">
        <w:t xml:space="preserve"> in R. Bauckham (ed.), </w:t>
      </w:r>
      <w:r w:rsidR="001B7F16">
        <w:rPr>
          <w:i/>
        </w:rPr>
        <w:t xml:space="preserve">Gospels for All Christians </w:t>
      </w:r>
      <w:r w:rsidR="001B7F16">
        <w:t>(London/Edinburgh: T&amp;T Clark, 1997), 9-48.</w:t>
      </w:r>
    </w:p>
    <w:p w:rsidR="00203B7A" w:rsidRPr="001B7F16" w:rsidRDefault="00203B7A" w:rsidP="00BE1ABC">
      <w:pPr>
        <w:spacing w:after="120" w:line="360" w:lineRule="exact"/>
        <w:jc w:val="both"/>
      </w:pPr>
      <w:r>
        <w:t xml:space="preserve">Esler, </w:t>
      </w:r>
      <w:r w:rsidR="001B7F16">
        <w:t xml:space="preserve">P.E., ‘Gospel and Community in Early Christianity: A Response to Richard Bauckham’s </w:t>
      </w:r>
      <w:r w:rsidR="001B7F16">
        <w:rPr>
          <w:i/>
        </w:rPr>
        <w:t xml:space="preserve">Gospels for All Christians’, Scottish Journal of Theology </w:t>
      </w:r>
      <w:r w:rsidR="001B7F16">
        <w:t>51 (1998), 235-53.</w:t>
      </w:r>
    </w:p>
    <w:p w:rsidR="00203B7A" w:rsidRPr="001B7F16" w:rsidRDefault="001B7F16" w:rsidP="00BE1ABC">
      <w:pPr>
        <w:spacing w:after="120" w:line="360" w:lineRule="exact"/>
        <w:jc w:val="both"/>
      </w:pPr>
      <w:proofErr w:type="gramStart"/>
      <w:r>
        <w:t>Sim, David C</w:t>
      </w:r>
      <w:r w:rsidR="00203B7A">
        <w:t xml:space="preserve">, </w:t>
      </w:r>
      <w:r>
        <w:t>‘The Gospels for All Christians?</w:t>
      </w:r>
      <w:proofErr w:type="gramEnd"/>
      <w:r>
        <w:t xml:space="preserve"> </w:t>
      </w:r>
      <w:proofErr w:type="gramStart"/>
      <w:r>
        <w:t xml:space="preserve">A Response to Richard Bauckham’, </w:t>
      </w:r>
      <w:r>
        <w:rPr>
          <w:i/>
        </w:rPr>
        <w:t xml:space="preserve">Journal for the Study of the New Testament </w:t>
      </w:r>
      <w:r>
        <w:t>84 (2001), 3-27.</w:t>
      </w:r>
      <w:proofErr w:type="gramEnd"/>
    </w:p>
    <w:p w:rsidR="00203B7A" w:rsidRDefault="00203B7A" w:rsidP="00D75442">
      <w:pPr>
        <w:spacing w:line="360" w:lineRule="exact"/>
        <w:jc w:val="both"/>
      </w:pPr>
    </w:p>
    <w:p w:rsidR="00D75442" w:rsidRDefault="00D75442" w:rsidP="00D75442">
      <w:pPr>
        <w:spacing w:line="360" w:lineRule="exact"/>
        <w:jc w:val="both"/>
        <w:rPr>
          <w:b/>
          <w:sz w:val="28"/>
          <w:u w:val="single"/>
        </w:rPr>
      </w:pPr>
      <w:r>
        <w:rPr>
          <w:b/>
          <w:sz w:val="28"/>
          <w:u w:val="single"/>
        </w:rPr>
        <w:t>Recommended Reading</w:t>
      </w:r>
    </w:p>
    <w:p w:rsidR="00D75442" w:rsidRDefault="00D75442" w:rsidP="00D75442">
      <w:pPr>
        <w:spacing w:line="360" w:lineRule="exact"/>
        <w:jc w:val="both"/>
        <w:rPr>
          <w:b/>
          <w:sz w:val="28"/>
          <w:u w:val="single"/>
        </w:rPr>
      </w:pPr>
    </w:p>
    <w:p w:rsidR="00203B7A" w:rsidRDefault="00E32B77" w:rsidP="00D75442">
      <w:pPr>
        <w:spacing w:line="360" w:lineRule="exact"/>
        <w:jc w:val="both"/>
        <w:rPr>
          <w:b/>
          <w:sz w:val="28"/>
        </w:rPr>
      </w:pPr>
      <w:r>
        <w:rPr>
          <w:sz w:val="28"/>
        </w:rPr>
        <w:t xml:space="preserve">If you wish to </w:t>
      </w:r>
      <w:r w:rsidR="00203B7A">
        <w:rPr>
          <w:sz w:val="28"/>
        </w:rPr>
        <w:t xml:space="preserve">read additional material on the genre ‘gospel’, a clear – but more general – assessment of the key issues can be found in the chapters of </w:t>
      </w:r>
      <w:r w:rsidR="00203B7A">
        <w:rPr>
          <w:b/>
          <w:sz w:val="28"/>
        </w:rPr>
        <w:t xml:space="preserve">Graham Stanton </w:t>
      </w:r>
      <w:r w:rsidR="00203B7A">
        <w:rPr>
          <w:sz w:val="28"/>
        </w:rPr>
        <w:t xml:space="preserve">and </w:t>
      </w:r>
      <w:r w:rsidR="00203B7A">
        <w:rPr>
          <w:b/>
          <w:sz w:val="28"/>
        </w:rPr>
        <w:t>John Muddiman.</w:t>
      </w:r>
    </w:p>
    <w:p w:rsidR="00E32B77" w:rsidRPr="00FF76BC" w:rsidRDefault="00203B7A" w:rsidP="00D75442">
      <w:pPr>
        <w:spacing w:line="360" w:lineRule="exact"/>
        <w:jc w:val="both"/>
        <w:rPr>
          <w:sz w:val="28"/>
        </w:rPr>
      </w:pPr>
      <w:r>
        <w:rPr>
          <w:sz w:val="28"/>
        </w:rPr>
        <w:t>The issue of whether the Gospels were written for particular communities</w:t>
      </w:r>
      <w:r w:rsidR="00FF76BC">
        <w:rPr>
          <w:sz w:val="28"/>
        </w:rPr>
        <w:t>,</w:t>
      </w:r>
      <w:r>
        <w:rPr>
          <w:sz w:val="28"/>
        </w:rPr>
        <w:t xml:space="preserve"> or for all (Christian) communities</w:t>
      </w:r>
      <w:r w:rsidR="00FF76BC">
        <w:rPr>
          <w:sz w:val="28"/>
        </w:rPr>
        <w:t>,</w:t>
      </w:r>
      <w:r>
        <w:rPr>
          <w:sz w:val="28"/>
        </w:rPr>
        <w:t xml:space="preserve"> continues to be discussed at length. Edward Klink, one of Richard Bauckham’s doctoral students, has recently edit</w:t>
      </w:r>
      <w:r w:rsidR="00FF76BC">
        <w:rPr>
          <w:sz w:val="28"/>
        </w:rPr>
        <w:t>ed a particularly useful volume; his own intr</w:t>
      </w:r>
      <w:r w:rsidR="00D53004">
        <w:rPr>
          <w:sz w:val="28"/>
        </w:rPr>
        <w:t>oduction and chapter provides a</w:t>
      </w:r>
      <w:r w:rsidR="00FF76BC">
        <w:rPr>
          <w:sz w:val="28"/>
        </w:rPr>
        <w:t xml:space="preserve"> useful summary of the issue with reference to John’s Gospel, and you are strongly recommended to follow this by reading </w:t>
      </w:r>
      <w:r w:rsidR="00FF76BC" w:rsidRPr="00FF76BC">
        <w:rPr>
          <w:b/>
          <w:sz w:val="28"/>
        </w:rPr>
        <w:t>Adele Reinhartz’s</w:t>
      </w:r>
      <w:r w:rsidR="00FF76BC">
        <w:rPr>
          <w:b/>
          <w:sz w:val="28"/>
        </w:rPr>
        <w:t xml:space="preserve"> </w:t>
      </w:r>
      <w:r w:rsidR="00FF76BC">
        <w:rPr>
          <w:sz w:val="28"/>
        </w:rPr>
        <w:t>highly illuminating and valuable critique of ‘the Bauckham hypothesis’.</w:t>
      </w:r>
    </w:p>
    <w:p w:rsidR="00D17F08" w:rsidRDefault="00D17F08" w:rsidP="00D75442">
      <w:pPr>
        <w:spacing w:line="360" w:lineRule="exact"/>
        <w:jc w:val="both"/>
        <w:rPr>
          <w:sz w:val="28"/>
        </w:rPr>
      </w:pPr>
    </w:p>
    <w:p w:rsidR="00774F59" w:rsidRDefault="001B7F16" w:rsidP="00D75442">
      <w:pPr>
        <w:spacing w:line="360" w:lineRule="exact"/>
        <w:jc w:val="both"/>
      </w:pPr>
      <w:r>
        <w:t>Stanton, G.N., ‘What is a Gospel?</w:t>
      </w:r>
      <w:proofErr w:type="gramStart"/>
      <w:r>
        <w:t>’,</w:t>
      </w:r>
      <w:proofErr w:type="gramEnd"/>
      <w:r>
        <w:t xml:space="preserve"> </w:t>
      </w:r>
      <w:r>
        <w:rPr>
          <w:i/>
        </w:rPr>
        <w:t xml:space="preserve">Gospels and Jesus </w:t>
      </w:r>
      <w:r>
        <w:t>(Oxford: OUP, 2002, 2</w:t>
      </w:r>
      <w:r w:rsidRPr="001B7F16">
        <w:rPr>
          <w:vertAlign w:val="superscript"/>
        </w:rPr>
        <w:t>nd</w:t>
      </w:r>
      <w:r>
        <w:t xml:space="preserve"> edition), 13-36.</w:t>
      </w:r>
    </w:p>
    <w:p w:rsidR="00774F59" w:rsidRDefault="00774F59" w:rsidP="00D75442">
      <w:pPr>
        <w:spacing w:line="360" w:lineRule="exact"/>
        <w:jc w:val="both"/>
      </w:pPr>
    </w:p>
    <w:p w:rsidR="001B7F16" w:rsidRPr="00350A86" w:rsidRDefault="00774F59" w:rsidP="00D75442">
      <w:pPr>
        <w:spacing w:line="360" w:lineRule="exact"/>
        <w:jc w:val="both"/>
      </w:pPr>
      <w:r>
        <w:t xml:space="preserve">Muddiman, J., </w:t>
      </w:r>
      <w:r w:rsidR="00350A86">
        <w:t xml:space="preserve">‘The Gospels’, in J. Barton (ed.), </w:t>
      </w:r>
      <w:r w:rsidR="00350A86">
        <w:rPr>
          <w:i/>
        </w:rPr>
        <w:t xml:space="preserve">The Biblical World, </w:t>
      </w:r>
      <w:r w:rsidR="00350A86" w:rsidRPr="00350A86">
        <w:t>Volume 1</w:t>
      </w:r>
      <w:r w:rsidR="00350A86">
        <w:t xml:space="preserve"> (London: Routledge, 2004), 162-187.</w:t>
      </w:r>
    </w:p>
    <w:p w:rsidR="001B7F16" w:rsidRPr="001B7F16" w:rsidRDefault="001B7F16" w:rsidP="00D75442">
      <w:pPr>
        <w:spacing w:line="360" w:lineRule="exact"/>
        <w:jc w:val="both"/>
      </w:pPr>
    </w:p>
    <w:p w:rsidR="001B7F16" w:rsidRDefault="00FF76BC" w:rsidP="00D75442">
      <w:pPr>
        <w:spacing w:line="360" w:lineRule="exact"/>
        <w:jc w:val="both"/>
      </w:pPr>
      <w:r>
        <w:t>Klink</w:t>
      </w:r>
      <w:r w:rsidR="001B7F16">
        <w:t xml:space="preserve"> III, E., ‘Gospel Audience and Origin: The Current Debate’, in Edward Klink III (ed.), </w:t>
      </w:r>
      <w:r w:rsidR="001B7F16">
        <w:rPr>
          <w:i/>
        </w:rPr>
        <w:t xml:space="preserve">The Audience of the Gospels: The Origin and Function of the Gospels in Early Christianity </w:t>
      </w:r>
      <w:r w:rsidR="001B7F16">
        <w:t>(London: T&amp;T Clark, 2010), 1-26.</w:t>
      </w:r>
    </w:p>
    <w:p w:rsidR="001B7F16" w:rsidRDefault="001B7F16" w:rsidP="00D75442">
      <w:pPr>
        <w:spacing w:line="360" w:lineRule="exact"/>
        <w:jc w:val="both"/>
      </w:pPr>
    </w:p>
    <w:p w:rsidR="001B7F16" w:rsidRDefault="001B7F16" w:rsidP="001B7F16">
      <w:pPr>
        <w:spacing w:line="360" w:lineRule="exact"/>
        <w:jc w:val="both"/>
      </w:pPr>
      <w:r>
        <w:t xml:space="preserve">Klink III, E., ‘Conclusion: The Origin and Function of the Gospels in Early Christianity’, in Edward Klink III (ed.), </w:t>
      </w:r>
      <w:r>
        <w:rPr>
          <w:i/>
        </w:rPr>
        <w:t xml:space="preserve">The Audience of the Gospels: The Origin and Function of the Gospels in Early Christianity </w:t>
      </w:r>
      <w:r>
        <w:t>(London: T&amp;T Clark, 2010), 153-66.</w:t>
      </w:r>
    </w:p>
    <w:p w:rsidR="001B7F16" w:rsidRDefault="001B7F16" w:rsidP="001B7F16">
      <w:pPr>
        <w:spacing w:line="360" w:lineRule="exact"/>
        <w:jc w:val="both"/>
      </w:pPr>
    </w:p>
    <w:p w:rsidR="001B7F16" w:rsidRDefault="001B7F16" w:rsidP="001B7F16">
      <w:pPr>
        <w:spacing w:line="360" w:lineRule="exact"/>
        <w:jc w:val="both"/>
      </w:pPr>
      <w:r>
        <w:t xml:space="preserve">Reinhartz, A.,  ‘Gospel Audiences: Variations on a Theme’, in Edward Klink III (ed.), </w:t>
      </w:r>
      <w:r>
        <w:rPr>
          <w:i/>
        </w:rPr>
        <w:t xml:space="preserve">The Audience of the Gospels: The Origin and Function of the Gospels in Early Christianity </w:t>
      </w:r>
      <w:r>
        <w:t>(London: T&amp;T Clark, 2010), 134-52.</w:t>
      </w:r>
    </w:p>
    <w:sectPr w:rsidR="001B7F16" w:rsidSect="009F2A2C">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F2A2C"/>
    <w:rsid w:val="000334D3"/>
    <w:rsid w:val="000D510A"/>
    <w:rsid w:val="001178C3"/>
    <w:rsid w:val="001B7F16"/>
    <w:rsid w:val="00203B7A"/>
    <w:rsid w:val="00350A86"/>
    <w:rsid w:val="0036671F"/>
    <w:rsid w:val="00530D91"/>
    <w:rsid w:val="00554A75"/>
    <w:rsid w:val="006F555D"/>
    <w:rsid w:val="007428D0"/>
    <w:rsid w:val="00774F59"/>
    <w:rsid w:val="007D415B"/>
    <w:rsid w:val="00811008"/>
    <w:rsid w:val="00817660"/>
    <w:rsid w:val="00874F1C"/>
    <w:rsid w:val="009B30EB"/>
    <w:rsid w:val="009D4FC8"/>
    <w:rsid w:val="009F2A2C"/>
    <w:rsid w:val="009F7B87"/>
    <w:rsid w:val="00A06F73"/>
    <w:rsid w:val="00A36F80"/>
    <w:rsid w:val="00AA3DE4"/>
    <w:rsid w:val="00AA7302"/>
    <w:rsid w:val="00BE1ABC"/>
    <w:rsid w:val="00CF2620"/>
    <w:rsid w:val="00D11191"/>
    <w:rsid w:val="00D17F08"/>
    <w:rsid w:val="00D53004"/>
    <w:rsid w:val="00D75442"/>
    <w:rsid w:val="00E31245"/>
    <w:rsid w:val="00E32B77"/>
    <w:rsid w:val="00EE2A12"/>
    <w:rsid w:val="00EF2E00"/>
    <w:rsid w:val="00FF42E0"/>
    <w:rsid w:val="00FF76BC"/>
  </w:rsids>
  <m:mathPr>
    <m:mathFont m:val="Consolas"/>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A1C"/>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285CD5"/>
    <w:rPr>
      <w:rFonts w:ascii="Lucida Grande" w:hAnsi="Lucida Grande"/>
      <w:sz w:val="18"/>
      <w:szCs w:val="18"/>
    </w:rPr>
  </w:style>
  <w:style w:type="character" w:customStyle="1" w:styleId="BalloonTextChar">
    <w:name w:val="Balloon Text Char"/>
    <w:basedOn w:val="DefaultParagraphFont"/>
    <w:link w:val="BalloonText"/>
    <w:uiPriority w:val="99"/>
    <w:semiHidden/>
    <w:rsid w:val="000C3E92"/>
    <w:rPr>
      <w:rFonts w:ascii="Lucida Grande" w:hAnsi="Lucida Grande"/>
      <w:sz w:val="18"/>
      <w:szCs w:val="18"/>
    </w:rPr>
  </w:style>
  <w:style w:type="character" w:customStyle="1" w:styleId="BalloonTextChar1">
    <w:name w:val="Balloon Text Char1"/>
    <w:basedOn w:val="DefaultParagraphFont"/>
    <w:link w:val="BalloonText"/>
    <w:uiPriority w:val="99"/>
    <w:semiHidden/>
    <w:rsid w:val="00285CD5"/>
    <w:rPr>
      <w:rFonts w:ascii="Lucida Grande" w:hAnsi="Lucida Grande"/>
      <w:sz w:val="18"/>
      <w:szCs w:val="18"/>
    </w:rPr>
  </w:style>
  <w:style w:type="character" w:styleId="Hyperlink">
    <w:name w:val="Hyperlink"/>
    <w:basedOn w:val="DefaultParagraphFont"/>
    <w:uiPriority w:val="99"/>
    <w:semiHidden/>
    <w:unhideWhenUsed/>
    <w:rsid w:val="00AA3DE4"/>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mailto:c.h.williams@tsd.ac.uk" TargetMode="External"/><Relationship Id="rId5" Type="http://schemas.openxmlformats.org/officeDocument/2006/relationships/fontTable" Target="fontTable.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833</Words>
  <Characters>4583</Characters>
  <Application>Microsoft Macintosh Word</Application>
  <DocSecurity>0</DocSecurity>
  <Lines>76</Lines>
  <Paragraphs>20</Paragraphs>
  <ScaleCrop>false</ScaleCrop>
  <Company>Theology and Religious Studies</Company>
  <LinksUpToDate>false</LinksUpToDate>
  <CharactersWithSpaces>5832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Williams</dc:creator>
  <cp:keywords/>
  <cp:lastModifiedBy>Catrin Williams</cp:lastModifiedBy>
  <cp:revision>6</cp:revision>
  <dcterms:created xsi:type="dcterms:W3CDTF">2013-01-18T17:41:00Z</dcterms:created>
  <dcterms:modified xsi:type="dcterms:W3CDTF">2013-01-18T20:22:00Z</dcterms:modified>
</cp:coreProperties>
</file>