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9615D" w14:textId="18323275" w:rsidR="007B4153" w:rsidRDefault="007B4153" w:rsidP="007B4153">
      <w:pPr>
        <w:rPr>
          <w:sz w:val="44"/>
          <w:szCs w:val="44"/>
        </w:rPr>
      </w:pPr>
      <w:r>
        <w:rPr>
          <w:noProof/>
        </w:rPr>
        <w:drawing>
          <wp:inline distT="0" distB="0" distL="0" distR="0" wp14:anchorId="65E92EAC" wp14:editId="124428BE">
            <wp:extent cx="2479675" cy="691515"/>
            <wp:effectExtent l="0" t="0" r="0" b="0"/>
            <wp:docPr id="600450055" name="Picture 5" descr="Community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mmunity Ca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79675" cy="691515"/>
                    </a:xfrm>
                    <a:prstGeom prst="rect">
                      <a:avLst/>
                    </a:prstGeom>
                    <a:noFill/>
                    <a:ln>
                      <a:noFill/>
                    </a:ln>
                  </pic:spPr>
                </pic:pic>
              </a:graphicData>
            </a:graphic>
          </wp:inline>
        </w:drawing>
      </w:r>
    </w:p>
    <w:p w14:paraId="7C3972C4" w14:textId="7A901883" w:rsidR="007B4153" w:rsidRPr="007B4153" w:rsidRDefault="007B4153" w:rsidP="007B4153">
      <w:pPr>
        <w:rPr>
          <w:sz w:val="44"/>
          <w:szCs w:val="44"/>
        </w:rPr>
      </w:pPr>
      <w:r w:rsidRPr="007B4153">
        <w:rPr>
          <w:sz w:val="44"/>
          <w:szCs w:val="44"/>
        </w:rPr>
        <w:t>First council rated outstanding since return of CQC adult social care assessments</w:t>
      </w:r>
    </w:p>
    <w:p w14:paraId="5396D1E9" w14:textId="2D8B2EF8" w:rsidR="007B4153" w:rsidRDefault="007B4153">
      <w:r>
        <w:t xml:space="preserve">From: </w:t>
      </w:r>
      <w:hyperlink r:id="rId6" w:history="1">
        <w:r w:rsidRPr="007B4153">
          <w:rPr>
            <w:rStyle w:val="Hyperlink"/>
          </w:rPr>
          <w:t>First council rated outstanding since return of CQC adult social care assessments - Community Care</w:t>
        </w:r>
      </w:hyperlink>
      <w:r>
        <w:t xml:space="preserve">  [Accessed 5</w:t>
      </w:r>
      <w:r w:rsidRPr="007B4153">
        <w:rPr>
          <w:vertAlign w:val="superscript"/>
        </w:rPr>
        <w:t>th</w:t>
      </w:r>
      <w:r>
        <w:t xml:space="preserve"> March 2025]</w:t>
      </w:r>
    </w:p>
    <w:p w14:paraId="25671360" w14:textId="77777777" w:rsidR="007B4153" w:rsidRPr="007B4153" w:rsidRDefault="007B4153" w:rsidP="007B4153">
      <w:r w:rsidRPr="007B4153">
        <w:t>Regulator praises borough for offering "exceptional levels of service" and having no waiting lists across key services, and encourages other councils to learn from its approach</w:t>
      </w:r>
    </w:p>
    <w:p w14:paraId="7E5F03CB" w14:textId="77777777" w:rsidR="007B4153" w:rsidRPr="007B4153" w:rsidRDefault="007B4153" w:rsidP="007B4153">
      <w:r w:rsidRPr="007B4153">
        <w:t>By </w:t>
      </w:r>
      <w:hyperlink r:id="rId7" w:tooltip="Posts by Mithran Samuel" w:history="1">
        <w:r w:rsidRPr="007B4153">
          <w:rPr>
            <w:rStyle w:val="Hyperlink"/>
            <w:b/>
            <w:bCs/>
            <w:color w:val="auto"/>
          </w:rPr>
          <w:t>Mithran Samuel</w:t>
        </w:r>
      </w:hyperlink>
      <w:r w:rsidRPr="007B4153">
        <w:t> on March 3, 2025 in </w:t>
      </w:r>
      <w:hyperlink r:id="rId8" w:history="1">
        <w:r w:rsidRPr="007B4153">
          <w:rPr>
            <w:rStyle w:val="Hyperlink"/>
            <w:b/>
            <w:bCs/>
            <w:color w:val="auto"/>
          </w:rPr>
          <w:t>Adults</w:t>
        </w:r>
      </w:hyperlink>
      <w:r w:rsidRPr="007B4153">
        <w:t>, </w:t>
      </w:r>
      <w:hyperlink r:id="rId9" w:history="1">
        <w:r w:rsidRPr="007B4153">
          <w:rPr>
            <w:rStyle w:val="Hyperlink"/>
            <w:b/>
            <w:bCs/>
            <w:color w:val="auto"/>
          </w:rPr>
          <w:t>Social work leaders</w:t>
        </w:r>
      </w:hyperlink>
    </w:p>
    <w:p w14:paraId="1E216C3F" w14:textId="1768D1C8" w:rsidR="007B4153" w:rsidRPr="007B4153" w:rsidRDefault="007B4153" w:rsidP="007B4153">
      <w:r w:rsidRPr="007B4153">
        <w:drawing>
          <wp:inline distT="0" distB="0" distL="0" distR="0" wp14:anchorId="1868CF13" wp14:editId="05943C3F">
            <wp:extent cx="3768131" cy="2356338"/>
            <wp:effectExtent l="0" t="0" r="3810" b="6350"/>
            <wp:docPr id="559191296" name="Picture 4" descr="Camden town hall in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mden town hall in Lond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9019" cy="2363146"/>
                    </a:xfrm>
                    <a:prstGeom prst="rect">
                      <a:avLst/>
                    </a:prstGeom>
                    <a:noFill/>
                    <a:ln>
                      <a:noFill/>
                    </a:ln>
                  </pic:spPr>
                </pic:pic>
              </a:graphicData>
            </a:graphic>
          </wp:inline>
        </w:drawing>
      </w:r>
    </w:p>
    <w:p w14:paraId="03427D24" w14:textId="77777777" w:rsidR="007B4153" w:rsidRPr="007B4153" w:rsidRDefault="007B4153" w:rsidP="007B4153">
      <w:pPr>
        <w:rPr>
          <w:i/>
          <w:iCs/>
        </w:rPr>
      </w:pPr>
      <w:r w:rsidRPr="007B4153">
        <w:rPr>
          <w:i/>
          <w:iCs/>
        </w:rPr>
        <w:t>Camden Town Hall (credit: London Borough of Camden)</w:t>
      </w:r>
    </w:p>
    <w:p w14:paraId="28C76FCC" w14:textId="77777777" w:rsidR="007B4153" w:rsidRPr="007B4153" w:rsidRDefault="007B4153" w:rsidP="007B4153">
      <w:pPr>
        <w:rPr>
          <w:vanish/>
        </w:rPr>
      </w:pPr>
      <w:r w:rsidRPr="007B4153">
        <w:rPr>
          <w:vanish/>
        </w:rPr>
        <w:t>Top of Form</w:t>
      </w:r>
    </w:p>
    <w:p w14:paraId="2B952AA2" w14:textId="77777777" w:rsidR="007B4153" w:rsidRPr="007B4153" w:rsidRDefault="007B4153" w:rsidP="007B4153">
      <w:pPr>
        <w:rPr>
          <w:vanish/>
        </w:rPr>
      </w:pPr>
      <w:r w:rsidRPr="007B4153">
        <w:rPr>
          <w:vanish/>
        </w:rPr>
        <w:t>Bottom of Form</w:t>
      </w:r>
    </w:p>
    <w:p w14:paraId="14914493" w14:textId="77777777" w:rsidR="007B4153" w:rsidRPr="007B4153" w:rsidRDefault="007B4153" w:rsidP="007B4153">
      <w:r w:rsidRPr="007B4153">
        <w:br/>
      </w:r>
      <w:hyperlink r:id="rId11" w:tgtFrame="_blank" w:history="1">
        <w:r w:rsidRPr="007B4153">
          <w:rPr>
            <w:rStyle w:val="Hyperlink"/>
            <w:color w:val="auto"/>
          </w:rPr>
          <w:t>The Care Quality Commission has issued the first outstanding rating</w:t>
        </w:r>
      </w:hyperlink>
      <w:r w:rsidRPr="007B4153">
        <w:t> for a council since it resumed assessing local authority adult social services at the end of 2023.</w:t>
      </w:r>
    </w:p>
    <w:p w14:paraId="240065F7" w14:textId="77777777" w:rsidR="007B4153" w:rsidRPr="007B4153" w:rsidRDefault="007B4153" w:rsidP="007B4153">
      <w:r w:rsidRPr="007B4153">
        <w:t>The London Borough of Camden earned the accolade after the regulator found that it was offering “exceptional levels of service”, with no waiting lists across key services and a strong focus on tackling inequalities.</w:t>
      </w:r>
    </w:p>
    <w:p w14:paraId="3E546ECD" w14:textId="77777777" w:rsidR="007B4153" w:rsidRPr="007B4153" w:rsidRDefault="007B4153" w:rsidP="007B4153">
      <w:r w:rsidRPr="007B4153">
        <w:t>Camden is the 26th of the 153 councils in England to receive an assessment from CQC since its so-called local authority assurance process started in December 2023.</w:t>
      </w:r>
    </w:p>
    <w:p w14:paraId="482B7F8B" w14:textId="77777777" w:rsidR="007B4153" w:rsidRPr="007B4153" w:rsidRDefault="007B4153" w:rsidP="007B4153">
      <w:r w:rsidRPr="007B4153">
        <w:t xml:space="preserve">Of the others, 14 have been rated good, 11 requires improvement and </w:t>
      </w:r>
      <w:proofErr w:type="gramStart"/>
      <w:r w:rsidRPr="007B4153">
        <w:t>none inadequate</w:t>
      </w:r>
      <w:proofErr w:type="gramEnd"/>
      <w:r w:rsidRPr="007B4153">
        <w:t>.</w:t>
      </w:r>
    </w:p>
    <w:p w14:paraId="47C8E5DE" w14:textId="77777777" w:rsidR="007B4153" w:rsidRPr="007B4153" w:rsidRDefault="007B4153" w:rsidP="007B4153">
      <w:r w:rsidRPr="007B4153">
        <w:rPr>
          <w:b/>
          <w:bCs/>
        </w:rPr>
        <w:t>High scores across all areas assessed</w:t>
      </w:r>
    </w:p>
    <w:p w14:paraId="01273E7C" w14:textId="77777777" w:rsidR="007B4153" w:rsidRPr="007B4153" w:rsidRDefault="007B4153" w:rsidP="007B4153">
      <w:r w:rsidRPr="007B4153">
        <w:t>Alongside their ratings, councils are given a score out of 100 indicating how well they performed against the nine quality statements that make up the assessment, for which the authorities are awarded a mark of 1-4.</w:t>
      </w:r>
    </w:p>
    <w:p w14:paraId="5994BD70" w14:textId="77777777" w:rsidR="007B4153" w:rsidRPr="007B4153" w:rsidRDefault="007B4153" w:rsidP="007B4153">
      <w:r w:rsidRPr="007B4153">
        <w:t xml:space="preserve">Camden’s score was 89 – 11 more than the next best performer so far – thanks to it receiving the top score of 4 – which denotes an “exceptional” standard – in five of the quality statements. These were equity in experience and outcomes; partnerships and communities; safe pathways, systems </w:t>
      </w:r>
      <w:r w:rsidRPr="007B4153">
        <w:lastRenderedPageBreak/>
        <w:t>and transitions; governance, management and sustainability, and leadership, improvement and innovation.</w:t>
      </w:r>
    </w:p>
    <w:p w14:paraId="3A3459D7" w14:textId="77777777" w:rsidR="007B4153" w:rsidRPr="007B4153" w:rsidRDefault="007B4153" w:rsidP="007B4153">
      <w:r w:rsidRPr="007B4153">
        <w:t>It was scored a 3 for the other four statements: assessing needs; supporting people to lead healthier lives; care provision, integration and continuity, and safeguarding.</w:t>
      </w:r>
    </w:p>
    <w:p w14:paraId="05675E7B" w14:textId="77777777" w:rsidR="007B4153" w:rsidRPr="007B4153" w:rsidRDefault="007B4153" w:rsidP="007B4153">
      <w:r w:rsidRPr="007B4153">
        <w:rPr>
          <w:b/>
          <w:bCs/>
        </w:rPr>
        <w:t>Other councils encouraged to learn from borough</w:t>
      </w:r>
    </w:p>
    <w:p w14:paraId="69A05233" w14:textId="01A6CD9F" w:rsidR="007B4153" w:rsidRPr="007B4153" w:rsidRDefault="007B4153" w:rsidP="007B4153">
      <w:r w:rsidRPr="007B4153">
        <w:drawing>
          <wp:inline distT="0" distB="0" distL="0" distR="0" wp14:anchorId="07DCD257" wp14:editId="7925CC7F">
            <wp:extent cx="3302656" cy="2620107"/>
            <wp:effectExtent l="0" t="0" r="0" b="8890"/>
            <wp:docPr id="1859220345" name="Picture 3" descr="James Bullion of the Care Quality Com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ames Bullion of the Care Quality Commiss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1141" cy="2626838"/>
                    </a:xfrm>
                    <a:prstGeom prst="rect">
                      <a:avLst/>
                    </a:prstGeom>
                    <a:noFill/>
                    <a:ln>
                      <a:noFill/>
                    </a:ln>
                  </pic:spPr>
                </pic:pic>
              </a:graphicData>
            </a:graphic>
          </wp:inline>
        </w:drawing>
      </w:r>
    </w:p>
    <w:p w14:paraId="467E4D3D" w14:textId="77777777" w:rsidR="007B4153" w:rsidRPr="007B4153" w:rsidRDefault="007B4153" w:rsidP="007B4153">
      <w:pPr>
        <w:rPr>
          <w:i/>
          <w:iCs/>
        </w:rPr>
      </w:pPr>
      <w:r w:rsidRPr="007B4153">
        <w:rPr>
          <w:i/>
          <w:iCs/>
        </w:rPr>
        <w:t>James Bullion, chief inspector of adult care and integrated care, CQC</w:t>
      </w:r>
    </w:p>
    <w:p w14:paraId="7665E769" w14:textId="77777777" w:rsidR="007B4153" w:rsidRPr="007B4153" w:rsidRDefault="007B4153" w:rsidP="007B4153">
      <w:r w:rsidRPr="007B4153">
        <w:t>The CQC’s chief inspector for adult social care and integrated care, James Bullion, said that Camden provided “high-quality and person-centred support”, underpinned by “strong partnership working, a commitment to equity and a focus on prevention”.</w:t>
      </w:r>
    </w:p>
    <w:p w14:paraId="3E6BA792" w14:textId="77777777" w:rsidR="007B4153" w:rsidRPr="007B4153" w:rsidRDefault="007B4153" w:rsidP="007B4153">
      <w:r w:rsidRPr="007B4153">
        <w:t>“Overall, Camden should be extremely proud of this assessment and the outstanding care they’re providing to people,” he added.</w:t>
      </w:r>
    </w:p>
    <w:p w14:paraId="430872C4" w14:textId="77777777" w:rsidR="007B4153" w:rsidRPr="007B4153" w:rsidRDefault="007B4153" w:rsidP="007B4153">
      <w:r w:rsidRPr="007B4153">
        <w:t>Other local authorities should look at this report to see if there’s anything they can learn.”</w:t>
      </w:r>
    </w:p>
    <w:p w14:paraId="3627A42B" w14:textId="77777777" w:rsidR="007B4153" w:rsidRPr="007B4153" w:rsidRDefault="007B4153" w:rsidP="007B4153">
      <w:r w:rsidRPr="007B4153">
        <w:rPr>
          <w:b/>
          <w:bCs/>
        </w:rPr>
        <w:t>No waiting lists in key areas</w:t>
      </w:r>
    </w:p>
    <w:p w14:paraId="29D1CCBB" w14:textId="77777777" w:rsidR="007B4153" w:rsidRPr="007B4153" w:rsidRDefault="007B4153" w:rsidP="007B4153">
      <w:r w:rsidRPr="007B4153">
        <w:t>In recent years, councils have struggled to manage demand without waiting lists for assessments and support, </w:t>
      </w:r>
      <w:hyperlink r:id="rId13" w:tgtFrame="_blank" w:history="1">
        <w:r w:rsidRPr="007B4153">
          <w:rPr>
            <w:rStyle w:val="Hyperlink"/>
            <w:color w:val="auto"/>
          </w:rPr>
          <w:t>prompting the previous government to make cutting waiting times a priority.</w:t>
        </w:r>
      </w:hyperlink>
    </w:p>
    <w:p w14:paraId="70A7E3DE" w14:textId="77777777" w:rsidR="007B4153" w:rsidRPr="007B4153" w:rsidRDefault="007B4153" w:rsidP="007B4153">
      <w:r w:rsidRPr="007B4153">
        <w:t>However, the CQC found Camden had no waiting lists for care assessments, hospital discharge, care home placements, home care services, reablement, Deprivation of Liberty Safeguards assessments and safeguarding cases.</w:t>
      </w:r>
    </w:p>
    <w:p w14:paraId="73DDB5DB" w14:textId="77777777" w:rsidR="007B4153" w:rsidRPr="007B4153" w:rsidRDefault="007B4153" w:rsidP="007B4153">
      <w:r w:rsidRPr="007B4153">
        <w:t>This was on the back of “significant action to reduce waiting times”, aided by the borough investing in 12 additional social worker and occupational therapy posts as part of a recent restructure.</w:t>
      </w:r>
    </w:p>
    <w:p w14:paraId="1B96764A" w14:textId="77777777" w:rsidR="007B4153" w:rsidRPr="007B4153" w:rsidRDefault="007B4153" w:rsidP="007B4153">
      <w:r w:rsidRPr="007B4153">
        <w:t>Though there were high numbers of reviews overdue, this had reduced since October 2023, with partners praising the timeliness of reviews.</w:t>
      </w:r>
    </w:p>
    <w:p w14:paraId="7644C5BA" w14:textId="77777777" w:rsidR="007B4153" w:rsidRPr="007B4153" w:rsidRDefault="007B4153" w:rsidP="007B4153">
      <w:r w:rsidRPr="007B4153">
        <w:rPr>
          <w:b/>
          <w:bCs/>
        </w:rPr>
        <w:t>‘A prevention approach’ and meeting non-eligible needs</w:t>
      </w:r>
    </w:p>
    <w:p w14:paraId="47627066" w14:textId="77777777" w:rsidR="007B4153" w:rsidRPr="007B4153" w:rsidRDefault="007B4153" w:rsidP="007B4153">
      <w:r w:rsidRPr="007B4153">
        <w:t>“A prevention approach was evident at all levels of the local authority,” the CQC found.</w:t>
      </w:r>
    </w:p>
    <w:p w14:paraId="267ECE66" w14:textId="77777777" w:rsidR="007B4153" w:rsidRPr="007B4153" w:rsidRDefault="007B4153" w:rsidP="007B4153">
      <w:r w:rsidRPr="007B4153">
        <w:t>Camden uses the </w:t>
      </w:r>
      <w:hyperlink r:id="rId14" w:tgtFrame="_blank" w:history="1">
        <w:r w:rsidRPr="007B4153">
          <w:rPr>
            <w:rStyle w:val="Hyperlink"/>
            <w:color w:val="auto"/>
          </w:rPr>
          <w:t>‘three conversations’</w:t>
        </w:r>
      </w:hyperlink>
      <w:r w:rsidRPr="007B4153">
        <w:t> model, under which practitioners seek to connect people with community sources of support and only determine if they are eligible for care and support if these do not resolve the challenges and risks that they face.</w:t>
      </w:r>
    </w:p>
    <w:p w14:paraId="69C0F49F" w14:textId="77777777" w:rsidR="007B4153" w:rsidRPr="007B4153" w:rsidRDefault="007B4153" w:rsidP="007B4153">
      <w:r w:rsidRPr="007B4153">
        <w:lastRenderedPageBreak/>
        <w:t>The CQC found that family group conferencing was also used effectively to support people without eligible needs to make decisions and link them with community groups.</w:t>
      </w:r>
    </w:p>
    <w:p w14:paraId="2A75623D" w14:textId="77777777" w:rsidR="007B4153" w:rsidRPr="007B4153" w:rsidRDefault="007B4153" w:rsidP="007B4153">
      <w:r w:rsidRPr="007B4153">
        <w:t>There were also “many examples” of the council commissioning charities and social enterprises to provide services such as befriending, transport and shopping, as well as mental health and housing.</w:t>
      </w:r>
    </w:p>
    <w:p w14:paraId="744675E7" w14:textId="77777777" w:rsidR="007B4153" w:rsidRPr="007B4153" w:rsidRDefault="007B4153" w:rsidP="007B4153">
      <w:r w:rsidRPr="007B4153">
        <w:t>A higher proportion of older people discharged from hospital (4.7%) received reablement services than the national average (2.9%), with a higher proportion (87.2%) still at home three months after a discharge than average (83.7%), while feedback on reablement services was positive.</w:t>
      </w:r>
    </w:p>
    <w:p w14:paraId="4E262484" w14:textId="77777777" w:rsidR="007B4153" w:rsidRPr="007B4153" w:rsidRDefault="007B4153" w:rsidP="007B4153">
      <w:r w:rsidRPr="007B4153">
        <w:rPr>
          <w:b/>
          <w:bCs/>
        </w:rPr>
        <w:t>Equity ‘at the heart of services’</w:t>
      </w:r>
    </w:p>
    <w:p w14:paraId="2853B0B3" w14:textId="77777777" w:rsidR="007B4153" w:rsidRPr="007B4153" w:rsidRDefault="007B4153" w:rsidP="007B4153">
      <w:r w:rsidRPr="007B4153">
        <w:t>The regulator said it found that Camden had placed equity “at the heart of its adults’ services”, with the authority using data analysis to “identify and reduce inequalities in people’s care and support experiences and outcomes”.</w:t>
      </w:r>
    </w:p>
    <w:p w14:paraId="2DAE8737" w14:textId="77777777" w:rsidR="007B4153" w:rsidRPr="007B4153" w:rsidRDefault="007B4153" w:rsidP="007B4153">
      <w:r w:rsidRPr="007B4153">
        <w:t>This included plans to improve health and social care outcomes for the borough’s Bengali and Somali communities through the Better Care Fund in 2024-25.</w:t>
      </w:r>
    </w:p>
    <w:p w14:paraId="1B8607B3" w14:textId="77777777" w:rsidR="007B4153" w:rsidRPr="007B4153" w:rsidRDefault="007B4153" w:rsidP="007B4153">
      <w:r w:rsidRPr="007B4153">
        <w:t>The authority had also prioritised accessibility and inclusion arrangements for autistic adults and people with learning disabilities, sensory loss, multiple disadvantages, autistic adults or interpretation requirements.</w:t>
      </w:r>
    </w:p>
    <w:p w14:paraId="7FE212C6" w14:textId="77777777" w:rsidR="007B4153" w:rsidRPr="007B4153" w:rsidRDefault="007B4153" w:rsidP="007B4153">
      <w:r w:rsidRPr="007B4153">
        <w:rPr>
          <w:b/>
          <w:bCs/>
        </w:rPr>
        <w:t>‘Proactive’ monitoring of service quality</w:t>
      </w:r>
    </w:p>
    <w:p w14:paraId="1EF73157" w14:textId="77777777" w:rsidR="007B4153" w:rsidRPr="007B4153" w:rsidRDefault="007B4153" w:rsidP="007B4153">
      <w:r w:rsidRPr="007B4153">
        <w:t>The London borough proactively monitored the quality of commissioned services.</w:t>
      </w:r>
    </w:p>
    <w:p w14:paraId="0C2C9061" w14:textId="77777777" w:rsidR="007B4153" w:rsidRPr="007B4153" w:rsidRDefault="007B4153" w:rsidP="007B4153">
      <w:r w:rsidRPr="007B4153">
        <w:t>This involved regular quality assurance visits, involving resident and carer feedback and analysis of CQC provider reports, and action plans to support those rated requires improvement by the regulator.</w:t>
      </w:r>
    </w:p>
    <w:p w14:paraId="24AB8E70" w14:textId="77777777" w:rsidR="007B4153" w:rsidRPr="007B4153" w:rsidRDefault="007B4153" w:rsidP="007B4153">
      <w:r w:rsidRPr="007B4153">
        <w:t>The council also took steps to ensure care staff in provider services were paid the </w:t>
      </w:r>
      <w:hyperlink r:id="rId15" w:tgtFrame="_blank" w:history="1">
        <w:r w:rsidRPr="007B4153">
          <w:rPr>
            <w:rStyle w:val="Hyperlink"/>
            <w:color w:val="auto"/>
          </w:rPr>
          <w:t>London Living Wage </w:t>
        </w:r>
      </w:hyperlink>
      <w:r w:rsidRPr="007B4153">
        <w:t>plus travel and had appropriate working conditions.</w:t>
      </w:r>
    </w:p>
    <w:p w14:paraId="6484372D" w14:textId="77777777" w:rsidR="007B4153" w:rsidRPr="007B4153" w:rsidRDefault="007B4153" w:rsidP="007B4153">
      <w:r w:rsidRPr="007B4153">
        <w:t>Though adult social care vacancy levels across the borough in 2023-24, at 16.8%, were double the national average 8.1%, turnover rates were lower (10% vs 25%).</w:t>
      </w:r>
    </w:p>
    <w:p w14:paraId="3F45A70B" w14:textId="77777777" w:rsidR="007B4153" w:rsidRPr="007B4153" w:rsidRDefault="007B4153" w:rsidP="007B4153">
      <w:r w:rsidRPr="007B4153">
        <w:t>The CQC said Camden had “effective systems processes and practices to make sure people were protected from abuse and neglect”. This included having no waiting lists and an effective multi-agency safeguarding hub, through which all referrals were routed.</w:t>
      </w:r>
    </w:p>
    <w:p w14:paraId="6E2627D6" w14:textId="77777777" w:rsidR="007B4153" w:rsidRPr="007B4153" w:rsidRDefault="007B4153" w:rsidP="007B4153">
      <w:r w:rsidRPr="007B4153">
        <w:rPr>
          <w:b/>
          <w:bCs/>
        </w:rPr>
        <w:t>Rating is ‘testament to staff dedication, compassion and expertise’</w:t>
      </w:r>
    </w:p>
    <w:p w14:paraId="48D32A96" w14:textId="77777777" w:rsidR="007B4153" w:rsidRPr="007B4153" w:rsidRDefault="007B4153" w:rsidP="007B4153">
      <w:r w:rsidRPr="007B4153">
        <w:t>Camden’s cabinet member for health, wellbeing and adult social care, Anna Wright, said the rating was a “testament to the dedication, compassion, and expertise of our adult social care staff”.</w:t>
      </w:r>
    </w:p>
    <w:p w14:paraId="6815A16B" w14:textId="77777777" w:rsidR="007B4153" w:rsidRPr="007B4153" w:rsidRDefault="007B4153" w:rsidP="007B4153">
      <w:r w:rsidRPr="007B4153">
        <w:t>“The report highlights Camden’s positive and inclusive culture and our willingness to innovate and to test and learn,” she added. “It’s great to see the report also highlights the strong partnerships that we have built – with providers, health services, and our wider community – to deliver the best possible outcomes for our residents.”</w:t>
      </w:r>
    </w:p>
    <w:p w14:paraId="20DE796A" w14:textId="77777777" w:rsidR="007B4153" w:rsidRPr="007B4153" w:rsidRDefault="007B4153" w:rsidP="007B4153">
      <w:r w:rsidRPr="007B4153">
        <w:t>She added: “We know that there are more improvements we must make, and I want us to build on this success and keep developing our services to ensure that people in Camden can rely on the best possible care and support.”</w:t>
      </w:r>
    </w:p>
    <w:p w14:paraId="7B34949F" w14:textId="77777777" w:rsidR="007B4153" w:rsidRDefault="007B4153"/>
    <w:sectPr w:rsidR="007B4153" w:rsidSect="00B94DB1">
      <w:pgSz w:w="11906" w:h="16838"/>
      <w:pgMar w:top="1134"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AE0869"/>
    <w:multiLevelType w:val="multilevel"/>
    <w:tmpl w:val="96860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1879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153"/>
    <w:rsid w:val="000C6E25"/>
    <w:rsid w:val="001A0240"/>
    <w:rsid w:val="004A0CDC"/>
    <w:rsid w:val="007B4153"/>
    <w:rsid w:val="00B94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F26E5"/>
  <w15:chartTrackingRefBased/>
  <w15:docId w15:val="{3E2B925B-E7E4-4699-BD8F-5D8C0EC4D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41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B41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B415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B415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B415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B41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41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41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41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415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B415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415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B415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B415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B41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41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41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4153"/>
    <w:rPr>
      <w:rFonts w:eastAsiaTheme="majorEastAsia" w:cstheme="majorBidi"/>
      <w:color w:val="272727" w:themeColor="text1" w:themeTint="D8"/>
    </w:rPr>
  </w:style>
  <w:style w:type="paragraph" w:styleId="Title">
    <w:name w:val="Title"/>
    <w:basedOn w:val="Normal"/>
    <w:next w:val="Normal"/>
    <w:link w:val="TitleChar"/>
    <w:uiPriority w:val="10"/>
    <w:qFormat/>
    <w:rsid w:val="007B41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41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41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41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4153"/>
    <w:pPr>
      <w:spacing w:before="160"/>
      <w:jc w:val="center"/>
    </w:pPr>
    <w:rPr>
      <w:i/>
      <w:iCs/>
      <w:color w:val="404040" w:themeColor="text1" w:themeTint="BF"/>
    </w:rPr>
  </w:style>
  <w:style w:type="character" w:customStyle="1" w:styleId="QuoteChar">
    <w:name w:val="Quote Char"/>
    <w:basedOn w:val="DefaultParagraphFont"/>
    <w:link w:val="Quote"/>
    <w:uiPriority w:val="29"/>
    <w:rsid w:val="007B4153"/>
    <w:rPr>
      <w:i/>
      <w:iCs/>
      <w:color w:val="404040" w:themeColor="text1" w:themeTint="BF"/>
    </w:rPr>
  </w:style>
  <w:style w:type="paragraph" w:styleId="ListParagraph">
    <w:name w:val="List Paragraph"/>
    <w:basedOn w:val="Normal"/>
    <w:uiPriority w:val="34"/>
    <w:qFormat/>
    <w:rsid w:val="007B4153"/>
    <w:pPr>
      <w:ind w:left="720"/>
      <w:contextualSpacing/>
    </w:pPr>
  </w:style>
  <w:style w:type="character" w:styleId="IntenseEmphasis">
    <w:name w:val="Intense Emphasis"/>
    <w:basedOn w:val="DefaultParagraphFont"/>
    <w:uiPriority w:val="21"/>
    <w:qFormat/>
    <w:rsid w:val="007B4153"/>
    <w:rPr>
      <w:i/>
      <w:iCs/>
      <w:color w:val="2F5496" w:themeColor="accent1" w:themeShade="BF"/>
    </w:rPr>
  </w:style>
  <w:style w:type="paragraph" w:styleId="IntenseQuote">
    <w:name w:val="Intense Quote"/>
    <w:basedOn w:val="Normal"/>
    <w:next w:val="Normal"/>
    <w:link w:val="IntenseQuoteChar"/>
    <w:uiPriority w:val="30"/>
    <w:qFormat/>
    <w:rsid w:val="007B41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4153"/>
    <w:rPr>
      <w:i/>
      <w:iCs/>
      <w:color w:val="2F5496" w:themeColor="accent1" w:themeShade="BF"/>
    </w:rPr>
  </w:style>
  <w:style w:type="character" w:styleId="IntenseReference">
    <w:name w:val="Intense Reference"/>
    <w:basedOn w:val="DefaultParagraphFont"/>
    <w:uiPriority w:val="32"/>
    <w:qFormat/>
    <w:rsid w:val="007B4153"/>
    <w:rPr>
      <w:b/>
      <w:bCs/>
      <w:smallCaps/>
      <w:color w:val="2F5496" w:themeColor="accent1" w:themeShade="BF"/>
      <w:spacing w:val="5"/>
    </w:rPr>
  </w:style>
  <w:style w:type="character" w:styleId="Hyperlink">
    <w:name w:val="Hyperlink"/>
    <w:basedOn w:val="DefaultParagraphFont"/>
    <w:uiPriority w:val="99"/>
    <w:unhideWhenUsed/>
    <w:rsid w:val="007B4153"/>
    <w:rPr>
      <w:color w:val="0563C1" w:themeColor="hyperlink"/>
      <w:u w:val="single"/>
    </w:rPr>
  </w:style>
  <w:style w:type="character" w:styleId="UnresolvedMention">
    <w:name w:val="Unresolved Mention"/>
    <w:basedOn w:val="DefaultParagraphFont"/>
    <w:uiPriority w:val="99"/>
    <w:semiHidden/>
    <w:unhideWhenUsed/>
    <w:rsid w:val="007B41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167884">
      <w:bodyDiv w:val="1"/>
      <w:marLeft w:val="0"/>
      <w:marRight w:val="0"/>
      <w:marTop w:val="0"/>
      <w:marBottom w:val="0"/>
      <w:divBdr>
        <w:top w:val="none" w:sz="0" w:space="0" w:color="auto"/>
        <w:left w:val="none" w:sz="0" w:space="0" w:color="auto"/>
        <w:bottom w:val="none" w:sz="0" w:space="0" w:color="auto"/>
        <w:right w:val="none" w:sz="0" w:space="0" w:color="auto"/>
      </w:divBdr>
      <w:divsChild>
        <w:div w:id="626276631">
          <w:marLeft w:val="0"/>
          <w:marRight w:val="0"/>
          <w:marTop w:val="0"/>
          <w:marBottom w:val="120"/>
          <w:divBdr>
            <w:top w:val="none" w:sz="0" w:space="0" w:color="auto"/>
            <w:left w:val="none" w:sz="0" w:space="0" w:color="auto"/>
            <w:bottom w:val="none" w:sz="0" w:space="0" w:color="auto"/>
            <w:right w:val="none" w:sz="0" w:space="0" w:color="auto"/>
          </w:divBdr>
        </w:div>
        <w:div w:id="1719431790">
          <w:marLeft w:val="0"/>
          <w:marRight w:val="0"/>
          <w:marTop w:val="0"/>
          <w:marBottom w:val="0"/>
          <w:divBdr>
            <w:top w:val="none" w:sz="0" w:space="0" w:color="auto"/>
            <w:left w:val="none" w:sz="0" w:space="0" w:color="auto"/>
            <w:bottom w:val="none" w:sz="0" w:space="0" w:color="auto"/>
            <w:right w:val="none" w:sz="0" w:space="0" w:color="auto"/>
          </w:divBdr>
          <w:divsChild>
            <w:div w:id="997877974">
              <w:marLeft w:val="0"/>
              <w:marRight w:val="0"/>
              <w:marTop w:val="0"/>
              <w:marBottom w:val="0"/>
              <w:divBdr>
                <w:top w:val="none" w:sz="0" w:space="0" w:color="auto"/>
                <w:left w:val="none" w:sz="0" w:space="0" w:color="auto"/>
                <w:bottom w:val="none" w:sz="0" w:space="0" w:color="auto"/>
                <w:right w:val="none" w:sz="0" w:space="0" w:color="auto"/>
              </w:divBdr>
            </w:div>
            <w:div w:id="494613594">
              <w:marLeft w:val="0"/>
              <w:marRight w:val="0"/>
              <w:marTop w:val="0"/>
              <w:marBottom w:val="0"/>
              <w:divBdr>
                <w:top w:val="none" w:sz="0" w:space="0" w:color="auto"/>
                <w:left w:val="none" w:sz="0" w:space="0" w:color="auto"/>
                <w:bottom w:val="none" w:sz="0" w:space="0" w:color="auto"/>
                <w:right w:val="none" w:sz="0" w:space="0" w:color="auto"/>
              </w:divBdr>
              <w:divsChild>
                <w:div w:id="288441950">
                  <w:marLeft w:val="0"/>
                  <w:marRight w:val="0"/>
                  <w:marTop w:val="0"/>
                  <w:marBottom w:val="0"/>
                  <w:divBdr>
                    <w:top w:val="none" w:sz="0" w:space="0" w:color="auto"/>
                    <w:left w:val="none" w:sz="0" w:space="0" w:color="auto"/>
                    <w:bottom w:val="none" w:sz="0" w:space="0" w:color="auto"/>
                    <w:right w:val="none" w:sz="0" w:space="0" w:color="auto"/>
                  </w:divBdr>
                </w:div>
              </w:divsChild>
            </w:div>
            <w:div w:id="1859391665">
              <w:marLeft w:val="0"/>
              <w:marRight w:val="0"/>
              <w:marTop w:val="0"/>
              <w:marBottom w:val="225"/>
              <w:divBdr>
                <w:top w:val="single" w:sz="6" w:space="1" w:color="E6E6E6"/>
                <w:left w:val="single" w:sz="6" w:space="1" w:color="E6E6E6"/>
                <w:bottom w:val="single" w:sz="6" w:space="1" w:color="E6E6E6"/>
                <w:right w:val="single" w:sz="6" w:space="1" w:color="E6E6E6"/>
              </w:divBdr>
            </w:div>
          </w:divsChild>
        </w:div>
      </w:divsChild>
    </w:div>
    <w:div w:id="1504280252">
      <w:bodyDiv w:val="1"/>
      <w:marLeft w:val="0"/>
      <w:marRight w:val="0"/>
      <w:marTop w:val="0"/>
      <w:marBottom w:val="0"/>
      <w:divBdr>
        <w:top w:val="none" w:sz="0" w:space="0" w:color="auto"/>
        <w:left w:val="none" w:sz="0" w:space="0" w:color="auto"/>
        <w:bottom w:val="none" w:sz="0" w:space="0" w:color="auto"/>
        <w:right w:val="none" w:sz="0" w:space="0" w:color="auto"/>
      </w:divBdr>
      <w:divsChild>
        <w:div w:id="376661894">
          <w:marLeft w:val="0"/>
          <w:marRight w:val="0"/>
          <w:marTop w:val="0"/>
          <w:marBottom w:val="120"/>
          <w:divBdr>
            <w:top w:val="none" w:sz="0" w:space="0" w:color="auto"/>
            <w:left w:val="none" w:sz="0" w:space="0" w:color="auto"/>
            <w:bottom w:val="none" w:sz="0" w:space="0" w:color="auto"/>
            <w:right w:val="none" w:sz="0" w:space="0" w:color="auto"/>
          </w:divBdr>
        </w:div>
        <w:div w:id="673188757">
          <w:marLeft w:val="0"/>
          <w:marRight w:val="0"/>
          <w:marTop w:val="0"/>
          <w:marBottom w:val="0"/>
          <w:divBdr>
            <w:top w:val="none" w:sz="0" w:space="0" w:color="auto"/>
            <w:left w:val="none" w:sz="0" w:space="0" w:color="auto"/>
            <w:bottom w:val="none" w:sz="0" w:space="0" w:color="auto"/>
            <w:right w:val="none" w:sz="0" w:space="0" w:color="auto"/>
          </w:divBdr>
          <w:divsChild>
            <w:div w:id="339624737">
              <w:marLeft w:val="0"/>
              <w:marRight w:val="0"/>
              <w:marTop w:val="0"/>
              <w:marBottom w:val="0"/>
              <w:divBdr>
                <w:top w:val="none" w:sz="0" w:space="0" w:color="auto"/>
                <w:left w:val="none" w:sz="0" w:space="0" w:color="auto"/>
                <w:bottom w:val="none" w:sz="0" w:space="0" w:color="auto"/>
                <w:right w:val="none" w:sz="0" w:space="0" w:color="auto"/>
              </w:divBdr>
            </w:div>
            <w:div w:id="653609317">
              <w:marLeft w:val="0"/>
              <w:marRight w:val="0"/>
              <w:marTop w:val="0"/>
              <w:marBottom w:val="0"/>
              <w:divBdr>
                <w:top w:val="none" w:sz="0" w:space="0" w:color="auto"/>
                <w:left w:val="none" w:sz="0" w:space="0" w:color="auto"/>
                <w:bottom w:val="none" w:sz="0" w:space="0" w:color="auto"/>
                <w:right w:val="none" w:sz="0" w:space="0" w:color="auto"/>
              </w:divBdr>
              <w:divsChild>
                <w:div w:id="777918493">
                  <w:marLeft w:val="0"/>
                  <w:marRight w:val="0"/>
                  <w:marTop w:val="0"/>
                  <w:marBottom w:val="0"/>
                  <w:divBdr>
                    <w:top w:val="none" w:sz="0" w:space="0" w:color="auto"/>
                    <w:left w:val="none" w:sz="0" w:space="0" w:color="auto"/>
                    <w:bottom w:val="none" w:sz="0" w:space="0" w:color="auto"/>
                    <w:right w:val="none" w:sz="0" w:space="0" w:color="auto"/>
                  </w:divBdr>
                </w:div>
              </w:divsChild>
            </w:div>
            <w:div w:id="875121210">
              <w:marLeft w:val="0"/>
              <w:marRight w:val="0"/>
              <w:marTop w:val="0"/>
              <w:marBottom w:val="225"/>
              <w:divBdr>
                <w:top w:val="single" w:sz="6" w:space="1" w:color="E6E6E6"/>
                <w:left w:val="single" w:sz="6" w:space="1" w:color="E6E6E6"/>
                <w:bottom w:val="single" w:sz="6" w:space="1" w:color="E6E6E6"/>
                <w:right w:val="single" w:sz="6" w:space="1" w:color="E6E6E6"/>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tycare.co.uk/adults/" TargetMode="External"/><Relationship Id="rId13" Type="http://schemas.openxmlformats.org/officeDocument/2006/relationships/hyperlink" Target="https://www.communitycare.co.uk/2024/05/03/dhsc-to-publish-every-councils-waiting-times-for-adult-social-care-assessments-and-services/" TargetMode="External"/><Relationship Id="rId3" Type="http://schemas.openxmlformats.org/officeDocument/2006/relationships/settings" Target="settings.xml"/><Relationship Id="rId7" Type="http://schemas.openxmlformats.org/officeDocument/2006/relationships/hyperlink" Target="https://www.communitycare.co.uk/author/f3206a8f44bd451f92cd7d9d9620297c/" TargetMode="Externa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ommunitycare.co.uk/2025/03/03/first-council-rated-outstanding-since-return-of-cqc-adult-social-care-assessments/?utm_campaign=CC%20Daily%2004%2F03%2F2025&amp;utm_content=First%20council%20rated%20outstanding%20since%20return%20of%20CQC%20adult%20social%20care%20assessments&amp;utm_term=https%3A%2F%2Fwww.communitycare.co.uk%2F2025%2F03%2F03%2Ffirst-council-rated-outstanding-since-return-of-cqc-adult-social-care-assessments%2F&amp;utm_medium=email&amp;utm_source=Community%20Care" TargetMode="External"/><Relationship Id="rId11" Type="http://schemas.openxmlformats.org/officeDocument/2006/relationships/hyperlink" Target="https://www.cqc.org.uk/care-services/local-authority-assessment-reports/camden-0225" TargetMode="External"/><Relationship Id="rId5" Type="http://schemas.openxmlformats.org/officeDocument/2006/relationships/image" Target="media/image1.jpeg"/><Relationship Id="rId15" Type="http://schemas.openxmlformats.org/officeDocument/2006/relationships/hyperlink" Target="https://www.london.gov.uk/programmes-strategies/business-and-economy/support-your-business/london-living-wage" TargetMode="Externa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communitycare.co.uk/social-work-leaders/" TargetMode="External"/><Relationship Id="rId14" Type="http://schemas.openxmlformats.org/officeDocument/2006/relationships/hyperlink" Target="https://www.communitycare.co.uk/2016/05/03/three-conversations-changed-way-social-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1194</Words>
  <Characters>6810</Characters>
  <Application>Microsoft Office Word</Application>
  <DocSecurity>0</DocSecurity>
  <Lines>56</Lines>
  <Paragraphs>15</Paragraphs>
  <ScaleCrop>false</ScaleCrop>
  <Company/>
  <LinksUpToDate>false</LinksUpToDate>
  <CharactersWithSpaces>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Azora Hurd</dc:creator>
  <cp:keywords/>
  <dc:description/>
  <cp:lastModifiedBy>Azora Hurd</cp:lastModifiedBy>
  <cp:revision>3</cp:revision>
  <dcterms:created xsi:type="dcterms:W3CDTF">2025-03-05T10:47:00Z</dcterms:created>
  <dcterms:modified xsi:type="dcterms:W3CDTF">2025-03-05T10:55:00Z</dcterms:modified>
</cp:coreProperties>
</file>