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6A1D6" w14:textId="3C2EA54A" w:rsidR="00960778" w:rsidRPr="00923B9F" w:rsidRDefault="00960778" w:rsidP="007C27FD">
      <w:pPr>
        <w:spacing w:line="480" w:lineRule="auto"/>
        <w:rPr>
          <w:rFonts w:ascii="Times New Roman" w:hAnsi="Times New Roman" w:cs="Times New Roman"/>
          <w:b/>
          <w:sz w:val="28"/>
          <w:szCs w:val="24"/>
        </w:rPr>
      </w:pPr>
      <w:r w:rsidRPr="00923B9F">
        <w:rPr>
          <w:rFonts w:ascii="Times New Roman" w:hAnsi="Times New Roman" w:cs="Times New Roman"/>
          <w:b/>
          <w:sz w:val="28"/>
          <w:szCs w:val="24"/>
        </w:rPr>
        <w:t>Dissertation Plan</w:t>
      </w:r>
      <w:r w:rsidR="007C27FD">
        <w:rPr>
          <w:rFonts w:ascii="Times New Roman" w:hAnsi="Times New Roman" w:cs="Times New Roman"/>
          <w:b/>
          <w:sz w:val="28"/>
          <w:szCs w:val="24"/>
        </w:rPr>
        <w:t>:</w:t>
      </w:r>
      <w:r w:rsidRPr="00923B9F">
        <w:rPr>
          <w:rFonts w:ascii="Times New Roman" w:hAnsi="Times New Roman" w:cs="Times New Roman"/>
          <w:b/>
          <w:sz w:val="28"/>
          <w:szCs w:val="24"/>
        </w:rPr>
        <w:t xml:space="preserve"> What was the extent of the destabilising effect of the Maccabean Revolt on the Seleucid Empire?</w:t>
      </w:r>
    </w:p>
    <w:p w14:paraId="124B503C" w14:textId="77777777" w:rsidR="000333AC" w:rsidRPr="00923B9F" w:rsidRDefault="00EE1DC5" w:rsidP="007C27FD">
      <w:pPr>
        <w:spacing w:line="480" w:lineRule="auto"/>
        <w:rPr>
          <w:rFonts w:ascii="Times New Roman" w:hAnsi="Times New Roman" w:cs="Times New Roman"/>
          <w:b/>
          <w:sz w:val="28"/>
          <w:szCs w:val="24"/>
        </w:rPr>
      </w:pPr>
      <w:r w:rsidRPr="00923B9F">
        <w:rPr>
          <w:rFonts w:ascii="Times New Roman" w:hAnsi="Times New Roman" w:cs="Times New Roman"/>
          <w:b/>
          <w:sz w:val="28"/>
          <w:szCs w:val="24"/>
        </w:rPr>
        <w:t>Abstract</w:t>
      </w:r>
    </w:p>
    <w:p w14:paraId="6E51B7D4" w14:textId="77777777" w:rsidR="00621A91" w:rsidRDefault="000333AC"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My contention </w:t>
      </w:r>
      <w:r w:rsidR="00621A91">
        <w:rPr>
          <w:rFonts w:ascii="Times New Roman" w:hAnsi="Times New Roman" w:cs="Times New Roman"/>
          <w:sz w:val="24"/>
          <w:szCs w:val="24"/>
        </w:rPr>
        <w:t xml:space="preserve">is to show that the importance we give to the Maccabean Rebellion has more to do with a quirk of source survival rather than its </w:t>
      </w:r>
      <w:r w:rsidR="00EE1DC5">
        <w:rPr>
          <w:rFonts w:ascii="Times New Roman" w:hAnsi="Times New Roman" w:cs="Times New Roman"/>
          <w:sz w:val="24"/>
          <w:szCs w:val="24"/>
        </w:rPr>
        <w:t>actual importance in a global context</w:t>
      </w:r>
      <w:r w:rsidR="00621A91">
        <w:rPr>
          <w:rFonts w:ascii="Times New Roman" w:hAnsi="Times New Roman" w:cs="Times New Roman"/>
          <w:sz w:val="24"/>
          <w:szCs w:val="24"/>
        </w:rPr>
        <w:t>.</w:t>
      </w:r>
    </w:p>
    <w:p w14:paraId="50063C65" w14:textId="77777777" w:rsidR="00621A91" w:rsidRDefault="00621A91" w:rsidP="007C27FD">
      <w:pPr>
        <w:spacing w:line="480" w:lineRule="auto"/>
        <w:rPr>
          <w:rFonts w:ascii="Times New Roman" w:hAnsi="Times New Roman" w:cs="Times New Roman"/>
          <w:sz w:val="24"/>
          <w:szCs w:val="24"/>
        </w:rPr>
      </w:pPr>
      <w:r>
        <w:rPr>
          <w:rFonts w:ascii="Times New Roman" w:hAnsi="Times New Roman" w:cs="Times New Roman"/>
          <w:sz w:val="24"/>
          <w:szCs w:val="24"/>
        </w:rPr>
        <w:t>To achieve this aim, I intend to show that the Maccabean Rebellion was not an isolated incidence and by no means the largest threat facing the Seleucid Empire at the time.</w:t>
      </w:r>
    </w:p>
    <w:p w14:paraId="1A47DC9D" w14:textId="7D768FBF" w:rsidR="00621A91" w:rsidRDefault="00621A91"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To show this, I will look at the events </w:t>
      </w:r>
      <w:r w:rsidR="00E55CD7">
        <w:rPr>
          <w:rFonts w:ascii="Times New Roman" w:hAnsi="Times New Roman" w:cs="Times New Roman"/>
          <w:sz w:val="24"/>
          <w:szCs w:val="24"/>
        </w:rPr>
        <w:t>affecting the</w:t>
      </w:r>
      <w:r>
        <w:rPr>
          <w:rFonts w:ascii="Times New Roman" w:hAnsi="Times New Roman" w:cs="Times New Roman"/>
          <w:sz w:val="24"/>
          <w:szCs w:val="24"/>
        </w:rPr>
        <w:t xml:space="preserve"> Seleucid Empire in the years pr</w:t>
      </w:r>
      <w:r w:rsidR="003E4E9A">
        <w:rPr>
          <w:rFonts w:ascii="Times New Roman" w:hAnsi="Times New Roman" w:cs="Times New Roman"/>
          <w:sz w:val="24"/>
          <w:szCs w:val="24"/>
        </w:rPr>
        <w:t>eceding the Maccabean Rebellion.</w:t>
      </w:r>
      <w:r w:rsidR="001D2BD2">
        <w:rPr>
          <w:rFonts w:ascii="Times New Roman" w:hAnsi="Times New Roman" w:cs="Times New Roman"/>
          <w:sz w:val="24"/>
          <w:szCs w:val="24"/>
        </w:rPr>
        <w:t xml:space="preserve"> For example</w:t>
      </w:r>
      <w:r w:rsidR="00B14A95">
        <w:rPr>
          <w:rFonts w:ascii="Times New Roman" w:hAnsi="Times New Roman" w:cs="Times New Roman"/>
          <w:sz w:val="24"/>
          <w:szCs w:val="24"/>
        </w:rPr>
        <w:t>, I will examine</w:t>
      </w:r>
      <w:r w:rsidR="001D2BD2">
        <w:rPr>
          <w:rFonts w:ascii="Times New Roman" w:hAnsi="Times New Roman" w:cs="Times New Roman"/>
          <w:sz w:val="24"/>
          <w:szCs w:val="24"/>
        </w:rPr>
        <w:t xml:space="preserve"> the Roman and Attalid defeat of Antiochus III,</w:t>
      </w:r>
      <w:r>
        <w:rPr>
          <w:rFonts w:ascii="Times New Roman" w:hAnsi="Times New Roman" w:cs="Times New Roman"/>
          <w:sz w:val="24"/>
          <w:szCs w:val="24"/>
        </w:rPr>
        <w:t xml:space="preserve"> </w:t>
      </w:r>
      <w:r w:rsidR="001D2BD2">
        <w:rPr>
          <w:rFonts w:ascii="Times New Roman" w:hAnsi="Times New Roman" w:cs="Times New Roman"/>
          <w:sz w:val="24"/>
          <w:szCs w:val="24"/>
        </w:rPr>
        <w:t>the breakaway of parts of the Empire such as Ba</w:t>
      </w:r>
      <w:r w:rsidR="000D6430">
        <w:rPr>
          <w:rFonts w:ascii="Times New Roman" w:hAnsi="Times New Roman" w:cs="Times New Roman"/>
          <w:sz w:val="24"/>
          <w:szCs w:val="24"/>
        </w:rPr>
        <w:t>c</w:t>
      </w:r>
      <w:r w:rsidR="001D2BD2">
        <w:rPr>
          <w:rFonts w:ascii="Times New Roman" w:hAnsi="Times New Roman" w:cs="Times New Roman"/>
          <w:sz w:val="24"/>
          <w:szCs w:val="24"/>
        </w:rPr>
        <w:t>tria and the increasing threat from the Parthians (Kosman: 2016. 33)</w:t>
      </w:r>
      <w:r w:rsidR="00B14A95">
        <w:rPr>
          <w:rFonts w:ascii="Times New Roman" w:hAnsi="Times New Roman" w:cs="Times New Roman"/>
          <w:sz w:val="24"/>
          <w:szCs w:val="24"/>
        </w:rPr>
        <w:t>.</w:t>
      </w:r>
      <w:r w:rsidR="001D2BD2">
        <w:rPr>
          <w:rFonts w:ascii="Times New Roman" w:hAnsi="Times New Roman" w:cs="Times New Roman"/>
          <w:sz w:val="24"/>
          <w:szCs w:val="24"/>
        </w:rPr>
        <w:t xml:space="preserve"> I will examine </w:t>
      </w:r>
      <w:r>
        <w:rPr>
          <w:rFonts w:ascii="Times New Roman" w:hAnsi="Times New Roman" w:cs="Times New Roman"/>
          <w:sz w:val="24"/>
          <w:szCs w:val="24"/>
        </w:rPr>
        <w:t>the Reb</w:t>
      </w:r>
      <w:r w:rsidR="001D2BD2">
        <w:rPr>
          <w:rFonts w:ascii="Times New Roman" w:hAnsi="Times New Roman" w:cs="Times New Roman"/>
          <w:sz w:val="24"/>
          <w:szCs w:val="24"/>
        </w:rPr>
        <w:t>ellion itself and the aftermath including the rise of a locally powerful Hasmonaean state with its connection to Rome further impact</w:t>
      </w:r>
      <w:r w:rsidR="00444E5F">
        <w:rPr>
          <w:rFonts w:ascii="Times New Roman" w:hAnsi="Times New Roman" w:cs="Times New Roman"/>
          <w:sz w:val="24"/>
          <w:szCs w:val="24"/>
        </w:rPr>
        <w:t>ing</w:t>
      </w:r>
      <w:r w:rsidR="001D2BD2">
        <w:rPr>
          <w:rFonts w:ascii="Times New Roman" w:hAnsi="Times New Roman" w:cs="Times New Roman"/>
          <w:sz w:val="24"/>
          <w:szCs w:val="24"/>
        </w:rPr>
        <w:t xml:space="preserve"> the stability of the Seleucid Empire. </w:t>
      </w:r>
      <w:r w:rsidR="00E55CD7">
        <w:rPr>
          <w:rFonts w:ascii="Times New Roman" w:hAnsi="Times New Roman" w:cs="Times New Roman"/>
          <w:sz w:val="24"/>
          <w:szCs w:val="24"/>
        </w:rPr>
        <w:t>I shall also attempt to examine Seleucid practices around their Empire.</w:t>
      </w:r>
    </w:p>
    <w:p w14:paraId="51E7386B" w14:textId="77777777" w:rsidR="00E55CD7" w:rsidRPr="00F1025E" w:rsidRDefault="00E55CD7" w:rsidP="007C27FD">
      <w:pPr>
        <w:spacing w:line="480" w:lineRule="auto"/>
        <w:rPr>
          <w:rFonts w:ascii="Times New Roman" w:hAnsi="Times New Roman" w:cs="Times New Roman"/>
          <w:sz w:val="24"/>
          <w:szCs w:val="24"/>
        </w:rPr>
      </w:pPr>
      <w:r>
        <w:rPr>
          <w:rFonts w:ascii="Times New Roman" w:hAnsi="Times New Roman" w:cs="Times New Roman"/>
          <w:sz w:val="24"/>
          <w:szCs w:val="24"/>
        </w:rPr>
        <w:t>The Hellenist</w:t>
      </w:r>
      <w:r w:rsidR="00F1025E">
        <w:rPr>
          <w:rFonts w:ascii="Times New Roman" w:hAnsi="Times New Roman" w:cs="Times New Roman"/>
          <w:sz w:val="24"/>
          <w:szCs w:val="24"/>
        </w:rPr>
        <w:t>ic period and the Seleucid era</w:t>
      </w:r>
      <w:r>
        <w:rPr>
          <w:rFonts w:ascii="Times New Roman" w:hAnsi="Times New Roman" w:cs="Times New Roman"/>
          <w:sz w:val="24"/>
          <w:szCs w:val="24"/>
        </w:rPr>
        <w:t xml:space="preserve"> in particular suffer from a dea</w:t>
      </w:r>
      <w:r w:rsidR="00F1025E">
        <w:rPr>
          <w:rFonts w:ascii="Times New Roman" w:hAnsi="Times New Roman" w:cs="Times New Roman"/>
          <w:sz w:val="24"/>
          <w:szCs w:val="24"/>
        </w:rPr>
        <w:t xml:space="preserve">rth of </w:t>
      </w:r>
      <w:r>
        <w:rPr>
          <w:rFonts w:ascii="Times New Roman" w:hAnsi="Times New Roman" w:cs="Times New Roman"/>
          <w:sz w:val="24"/>
          <w:szCs w:val="24"/>
        </w:rPr>
        <w:t>surviving ancient sources (</w:t>
      </w:r>
      <w:r w:rsidR="00F1025E">
        <w:rPr>
          <w:rFonts w:ascii="Times New Roman" w:hAnsi="Times New Roman" w:cs="Times New Roman"/>
          <w:sz w:val="24"/>
          <w:szCs w:val="24"/>
        </w:rPr>
        <w:t>Ager: 2005. 36.) The importance of the Biblical sources and the writings of Josephus to the Christians of the Medieval period and beyond</w:t>
      </w:r>
      <w:r w:rsidR="00EE1DC5">
        <w:rPr>
          <w:rFonts w:ascii="Times New Roman" w:hAnsi="Times New Roman" w:cs="Times New Roman"/>
          <w:sz w:val="24"/>
          <w:szCs w:val="24"/>
        </w:rPr>
        <w:t>,</w:t>
      </w:r>
      <w:r w:rsidR="00F1025E">
        <w:rPr>
          <w:rFonts w:ascii="Times New Roman" w:hAnsi="Times New Roman" w:cs="Times New Roman"/>
          <w:sz w:val="24"/>
          <w:szCs w:val="24"/>
        </w:rPr>
        <w:t xml:space="preserve"> focus attention onto the Maccabees to the detriment </w:t>
      </w:r>
      <w:r w:rsidR="00EE1DC5">
        <w:rPr>
          <w:rFonts w:ascii="Times New Roman" w:hAnsi="Times New Roman" w:cs="Times New Roman"/>
          <w:sz w:val="24"/>
          <w:szCs w:val="24"/>
        </w:rPr>
        <w:t>of</w:t>
      </w:r>
      <w:r w:rsidR="00F1025E">
        <w:rPr>
          <w:rFonts w:ascii="Times New Roman" w:hAnsi="Times New Roman" w:cs="Times New Roman"/>
          <w:sz w:val="24"/>
          <w:szCs w:val="24"/>
        </w:rPr>
        <w:t xml:space="preserve"> an understanding of the Northern and Eastern threats faced by the Seleucid Empire. The involvement of the Romans in the latter stages and aftermath of the Revolt also serve to subsume the Seleucids into the story of Rome’s inexorable rise to power (Polyb. </w:t>
      </w:r>
      <w:r w:rsidR="00F1025E">
        <w:rPr>
          <w:rFonts w:ascii="Times New Roman" w:hAnsi="Times New Roman" w:cs="Times New Roman"/>
          <w:i/>
          <w:sz w:val="24"/>
          <w:szCs w:val="24"/>
        </w:rPr>
        <w:t>His.</w:t>
      </w:r>
      <w:r w:rsidR="00EE1DC5">
        <w:rPr>
          <w:rFonts w:ascii="Times New Roman" w:hAnsi="Times New Roman" w:cs="Times New Roman"/>
          <w:sz w:val="24"/>
          <w:szCs w:val="24"/>
        </w:rPr>
        <w:t xml:space="preserve">1). </w:t>
      </w:r>
    </w:p>
    <w:p w14:paraId="2E6C425B" w14:textId="77777777" w:rsidR="00EE1DC5" w:rsidRDefault="00EE1DC5" w:rsidP="007C27FD">
      <w:pPr>
        <w:spacing w:line="480" w:lineRule="auto"/>
        <w:rPr>
          <w:rFonts w:ascii="Times New Roman" w:hAnsi="Times New Roman" w:cs="Times New Roman"/>
          <w:b/>
          <w:sz w:val="24"/>
          <w:szCs w:val="24"/>
        </w:rPr>
      </w:pPr>
    </w:p>
    <w:p w14:paraId="0A3A5C9A" w14:textId="77777777" w:rsidR="000333AC" w:rsidRPr="00923B9F" w:rsidRDefault="00621A91" w:rsidP="007C27FD">
      <w:pPr>
        <w:spacing w:line="480" w:lineRule="auto"/>
        <w:rPr>
          <w:rFonts w:ascii="Times New Roman" w:hAnsi="Times New Roman" w:cs="Times New Roman"/>
          <w:b/>
          <w:sz w:val="28"/>
          <w:szCs w:val="24"/>
        </w:rPr>
      </w:pPr>
      <w:r w:rsidRPr="00923B9F">
        <w:rPr>
          <w:rFonts w:ascii="Times New Roman" w:hAnsi="Times New Roman" w:cs="Times New Roman"/>
          <w:b/>
          <w:sz w:val="28"/>
          <w:szCs w:val="24"/>
        </w:rPr>
        <w:t xml:space="preserve"> </w:t>
      </w:r>
      <w:r w:rsidR="00EE1DC5" w:rsidRPr="00923B9F">
        <w:rPr>
          <w:rFonts w:ascii="Times New Roman" w:hAnsi="Times New Roman" w:cs="Times New Roman"/>
          <w:b/>
          <w:sz w:val="28"/>
          <w:szCs w:val="24"/>
        </w:rPr>
        <w:t>Structure</w:t>
      </w:r>
    </w:p>
    <w:p w14:paraId="7BFF349E" w14:textId="77777777" w:rsidR="00EE1DC5" w:rsidRPr="00923B9F" w:rsidRDefault="00A10E1C" w:rsidP="007C27FD">
      <w:pPr>
        <w:spacing w:line="480" w:lineRule="auto"/>
        <w:rPr>
          <w:rFonts w:ascii="Times New Roman" w:hAnsi="Times New Roman" w:cs="Times New Roman"/>
          <w:b/>
          <w:sz w:val="24"/>
          <w:szCs w:val="24"/>
        </w:rPr>
      </w:pPr>
      <w:r w:rsidRPr="00923B9F">
        <w:rPr>
          <w:rFonts w:ascii="Times New Roman" w:hAnsi="Times New Roman" w:cs="Times New Roman"/>
          <w:b/>
          <w:sz w:val="24"/>
          <w:szCs w:val="24"/>
        </w:rPr>
        <w:lastRenderedPageBreak/>
        <w:t>Introduction</w:t>
      </w:r>
    </w:p>
    <w:p w14:paraId="089285D7" w14:textId="77777777" w:rsidR="00923B9F" w:rsidRDefault="00EF7151" w:rsidP="007C27FD">
      <w:pPr>
        <w:pStyle w:val="ListParagraph"/>
        <w:numPr>
          <w:ilvl w:val="0"/>
          <w:numId w:val="2"/>
        </w:numPr>
        <w:spacing w:line="480" w:lineRule="auto"/>
        <w:rPr>
          <w:rFonts w:ascii="Times New Roman" w:hAnsi="Times New Roman" w:cs="Times New Roman"/>
          <w:sz w:val="24"/>
          <w:szCs w:val="24"/>
        </w:rPr>
      </w:pPr>
      <w:r w:rsidRPr="00923B9F">
        <w:rPr>
          <w:rFonts w:ascii="Times New Roman" w:hAnsi="Times New Roman" w:cs="Times New Roman"/>
          <w:sz w:val="24"/>
          <w:szCs w:val="24"/>
        </w:rPr>
        <w:t xml:space="preserve">Introduce the topic with an overview of the ancient sources with an additional short discussion about the state of modern scholarship. </w:t>
      </w:r>
    </w:p>
    <w:p w14:paraId="78254711" w14:textId="77777777" w:rsidR="00923B9F" w:rsidRDefault="00EF7151" w:rsidP="007C27FD">
      <w:pPr>
        <w:pStyle w:val="ListParagraph"/>
        <w:numPr>
          <w:ilvl w:val="0"/>
          <w:numId w:val="2"/>
        </w:numPr>
        <w:spacing w:line="480" w:lineRule="auto"/>
        <w:rPr>
          <w:rFonts w:ascii="Times New Roman" w:hAnsi="Times New Roman" w:cs="Times New Roman"/>
          <w:sz w:val="24"/>
          <w:szCs w:val="24"/>
        </w:rPr>
      </w:pPr>
      <w:r w:rsidRPr="00923B9F">
        <w:rPr>
          <w:rFonts w:ascii="Times New Roman" w:hAnsi="Times New Roman" w:cs="Times New Roman"/>
          <w:sz w:val="24"/>
          <w:szCs w:val="24"/>
        </w:rPr>
        <w:t xml:space="preserve">Eg. Most modern scholars seem to be influenced by but not necessarily in full agreement with Elias Bickemann (1897-1981) who was one of the leading scholars of Greco/Roman/Jewish interrelations in the Hellenistic period. Many of the modern sources that I have looked at have used him as a springboard into their discussions. </w:t>
      </w:r>
    </w:p>
    <w:p w14:paraId="49245FB2" w14:textId="77777777" w:rsidR="00433B5D" w:rsidRPr="00923B9F" w:rsidRDefault="00433B5D" w:rsidP="007C27FD">
      <w:pPr>
        <w:pStyle w:val="ListParagraph"/>
        <w:numPr>
          <w:ilvl w:val="0"/>
          <w:numId w:val="2"/>
        </w:numPr>
        <w:spacing w:line="480" w:lineRule="auto"/>
        <w:rPr>
          <w:rFonts w:ascii="Times New Roman" w:hAnsi="Times New Roman" w:cs="Times New Roman"/>
          <w:sz w:val="24"/>
          <w:szCs w:val="24"/>
        </w:rPr>
      </w:pPr>
      <w:r w:rsidRPr="00923B9F">
        <w:rPr>
          <w:rFonts w:ascii="Times New Roman" w:hAnsi="Times New Roman" w:cs="Times New Roman"/>
          <w:sz w:val="24"/>
          <w:szCs w:val="24"/>
        </w:rPr>
        <w:t>I will include a brief chronology of the conflicts that I will source from Grabbe:1991.72.</w:t>
      </w:r>
    </w:p>
    <w:p w14:paraId="1D3E18E2" w14:textId="6F8414AB" w:rsidR="003365BA" w:rsidRDefault="003365BA" w:rsidP="007C27FD">
      <w:pPr>
        <w:spacing w:line="480" w:lineRule="auto"/>
        <w:rPr>
          <w:rFonts w:ascii="Times New Roman" w:hAnsi="Times New Roman" w:cs="Times New Roman"/>
          <w:b/>
          <w:sz w:val="24"/>
          <w:szCs w:val="24"/>
        </w:rPr>
      </w:pPr>
      <w:r>
        <w:rPr>
          <w:rFonts w:ascii="Times New Roman" w:hAnsi="Times New Roman" w:cs="Times New Roman"/>
          <w:b/>
          <w:sz w:val="24"/>
          <w:szCs w:val="24"/>
        </w:rPr>
        <w:t>First Chapter</w:t>
      </w:r>
    </w:p>
    <w:p w14:paraId="08B6D5BE" w14:textId="77777777" w:rsidR="003365BA" w:rsidRPr="003365BA" w:rsidRDefault="003365BA" w:rsidP="007C27FD">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An analysis of the sources for the revolt.</w:t>
      </w:r>
    </w:p>
    <w:p w14:paraId="206BBAAB" w14:textId="77777777" w:rsidR="00E739A7" w:rsidRPr="00E739A7" w:rsidRDefault="003365BA" w:rsidP="007C27FD">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Look at Maccabees one and its wide use within scholarship and its uses as a fairly dry and straight forward account. Though I will also examine its use as Hasmonian propaganda and its possible origin</w:t>
      </w:r>
      <w:r w:rsidR="00E739A7">
        <w:rPr>
          <w:rFonts w:ascii="Times New Roman" w:hAnsi="Times New Roman" w:cs="Times New Roman"/>
          <w:sz w:val="24"/>
          <w:szCs w:val="24"/>
        </w:rPr>
        <w:t xml:space="preserve">. </w:t>
      </w:r>
      <w:r>
        <w:rPr>
          <w:rFonts w:ascii="Times New Roman" w:hAnsi="Times New Roman" w:cs="Times New Roman"/>
          <w:sz w:val="24"/>
          <w:szCs w:val="24"/>
        </w:rPr>
        <w:t xml:space="preserve">Whether it is a work form Jerusalem or </w:t>
      </w:r>
      <w:r w:rsidR="00E739A7">
        <w:rPr>
          <w:rFonts w:ascii="Times New Roman" w:hAnsi="Times New Roman" w:cs="Times New Roman"/>
          <w:sz w:val="24"/>
          <w:szCs w:val="24"/>
        </w:rPr>
        <w:t>whether it is a diaspora work and therefore is less interested in the temple. For this I will probably use Honigman though I will also look at the interpretations of other scholars such as Katell.</w:t>
      </w:r>
    </w:p>
    <w:p w14:paraId="05119F50" w14:textId="77777777" w:rsidR="00CE6E46" w:rsidRPr="00CE6E46" w:rsidRDefault="00E739A7" w:rsidP="007C27FD">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I shall look at Maccabees two and the problems surrounding it. Examining the view that it is unreliable and whimsical in tone (Honnigman 2014: p60) and its use as dynastic histor</w:t>
      </w:r>
      <w:r w:rsidR="00CE6E46">
        <w:rPr>
          <w:rFonts w:ascii="Times New Roman" w:hAnsi="Times New Roman" w:cs="Times New Roman"/>
          <w:sz w:val="24"/>
          <w:szCs w:val="24"/>
        </w:rPr>
        <w:t>y. The problems with it as straight forward history. Probably do a source comparison between one and two Maccabees.</w:t>
      </w:r>
    </w:p>
    <w:p w14:paraId="3919E526" w14:textId="128D054A" w:rsidR="003365BA" w:rsidRPr="00806898" w:rsidRDefault="00CE6E46" w:rsidP="007C27FD">
      <w:pPr>
        <w:pStyle w:val="ListParagraph"/>
        <w:numPr>
          <w:ilvl w:val="0"/>
          <w:numId w:val="5"/>
        </w:numPr>
        <w:spacing w:line="480" w:lineRule="auto"/>
        <w:rPr>
          <w:rFonts w:ascii="Times New Roman" w:hAnsi="Times New Roman" w:cs="Times New Roman"/>
          <w:b/>
          <w:sz w:val="24"/>
          <w:szCs w:val="24"/>
        </w:rPr>
      </w:pPr>
      <w:r w:rsidRPr="00806898">
        <w:rPr>
          <w:rFonts w:ascii="Times New Roman" w:hAnsi="Times New Roman" w:cs="Times New Roman"/>
          <w:i/>
          <w:sz w:val="24"/>
          <w:szCs w:val="24"/>
        </w:rPr>
        <w:t>Polybius</w:t>
      </w:r>
      <w:r w:rsidR="002E0F41" w:rsidRPr="00806898">
        <w:rPr>
          <w:rFonts w:ascii="Times New Roman" w:hAnsi="Times New Roman" w:cs="Times New Roman"/>
          <w:i/>
          <w:sz w:val="24"/>
          <w:szCs w:val="24"/>
        </w:rPr>
        <w:t>’</w:t>
      </w:r>
      <w:r w:rsidR="002E0F41">
        <w:rPr>
          <w:rFonts w:ascii="Times New Roman" w:hAnsi="Times New Roman" w:cs="Times New Roman"/>
          <w:sz w:val="24"/>
          <w:szCs w:val="24"/>
        </w:rPr>
        <w:t xml:space="preserve"> </w:t>
      </w:r>
      <w:r w:rsidR="002E0F41" w:rsidRPr="00806898">
        <w:rPr>
          <w:rFonts w:ascii="Times New Roman" w:hAnsi="Times New Roman" w:cs="Times New Roman"/>
          <w:i/>
          <w:sz w:val="24"/>
          <w:szCs w:val="24"/>
        </w:rPr>
        <w:t>History</w:t>
      </w:r>
      <w:r w:rsidR="002E0F41">
        <w:rPr>
          <w:rFonts w:ascii="Times New Roman" w:hAnsi="Times New Roman" w:cs="Times New Roman"/>
          <w:sz w:val="24"/>
          <w:szCs w:val="24"/>
        </w:rPr>
        <w:t xml:space="preserve"> as a contem</w:t>
      </w:r>
      <w:r w:rsidR="009F7962">
        <w:rPr>
          <w:rFonts w:ascii="Times New Roman" w:hAnsi="Times New Roman" w:cs="Times New Roman"/>
          <w:sz w:val="24"/>
          <w:szCs w:val="24"/>
        </w:rPr>
        <w:t>por</w:t>
      </w:r>
      <w:r w:rsidR="002E0F41">
        <w:rPr>
          <w:rFonts w:ascii="Times New Roman" w:hAnsi="Times New Roman" w:cs="Times New Roman"/>
          <w:sz w:val="24"/>
          <w:szCs w:val="24"/>
        </w:rPr>
        <w:t xml:space="preserve">ary source. The revolt is not Polybius’ main focus ut it comes in </w:t>
      </w:r>
      <w:r w:rsidR="009F7962">
        <w:rPr>
          <w:rFonts w:ascii="Times New Roman" w:hAnsi="Times New Roman" w:cs="Times New Roman"/>
          <w:sz w:val="24"/>
          <w:szCs w:val="24"/>
        </w:rPr>
        <w:t>tangentially</w:t>
      </w:r>
      <w:r w:rsidR="002E0F41">
        <w:rPr>
          <w:rFonts w:ascii="Times New Roman" w:hAnsi="Times New Roman" w:cs="Times New Roman"/>
          <w:sz w:val="24"/>
          <w:szCs w:val="24"/>
        </w:rPr>
        <w:t xml:space="preserve"> as the Roman have an impact on the outcome of the revolt as well as the broader Seleucid position at the time. I will also have a look at Polybius’   </w:t>
      </w:r>
      <w:r w:rsidR="002E0F41">
        <w:rPr>
          <w:rFonts w:ascii="Times New Roman" w:hAnsi="Times New Roman" w:cs="Times New Roman"/>
          <w:sz w:val="24"/>
          <w:szCs w:val="24"/>
        </w:rPr>
        <w:lastRenderedPageBreak/>
        <w:t>proximity to even and how this effects his narrative</w:t>
      </w:r>
      <w:r w:rsidR="009F7962">
        <w:rPr>
          <w:rFonts w:ascii="Times New Roman" w:hAnsi="Times New Roman" w:cs="Times New Roman"/>
          <w:sz w:val="24"/>
          <w:szCs w:val="24"/>
        </w:rPr>
        <w:t>. I do not yet a literature on this other than my own personal reading of Polybius</w:t>
      </w:r>
    </w:p>
    <w:p w14:paraId="4710B582" w14:textId="241D6DFF" w:rsidR="00806898" w:rsidRPr="003365BA" w:rsidRDefault="00806898" w:rsidP="007C27FD">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Josephus will also be used </w:t>
      </w:r>
      <w:r w:rsidRPr="00806898">
        <w:rPr>
          <w:rFonts w:ascii="Times New Roman" w:hAnsi="Times New Roman" w:cs="Times New Roman"/>
          <w:i/>
          <w:sz w:val="24"/>
          <w:szCs w:val="24"/>
        </w:rPr>
        <w:t>Antiquities of the Jews</w:t>
      </w:r>
      <w:r>
        <w:rPr>
          <w:rFonts w:ascii="Times New Roman" w:hAnsi="Times New Roman" w:cs="Times New Roman"/>
          <w:sz w:val="24"/>
          <w:szCs w:val="24"/>
        </w:rPr>
        <w:t xml:space="preserve"> and </w:t>
      </w:r>
      <w:r w:rsidRPr="00806898">
        <w:rPr>
          <w:rFonts w:ascii="Times New Roman" w:hAnsi="Times New Roman" w:cs="Times New Roman"/>
          <w:i/>
          <w:sz w:val="24"/>
          <w:szCs w:val="24"/>
        </w:rPr>
        <w:t>The Jewish Revolt</w:t>
      </w:r>
      <w:r>
        <w:rPr>
          <w:rFonts w:ascii="Times New Roman" w:hAnsi="Times New Roman" w:cs="Times New Roman"/>
          <w:sz w:val="24"/>
          <w:szCs w:val="24"/>
        </w:rPr>
        <w:t xml:space="preserve"> both make mention of the Maccabees. Again, I have not yet looked thoroughly at the scholarship surrounding him. He is writing two hundred years after the event after the fall of Hasmonian power and in the wake of the destruction of the Temple which will presumably have had an impact on his narrative.  </w:t>
      </w:r>
    </w:p>
    <w:p w14:paraId="3D0971AA" w14:textId="4573F352" w:rsidR="00A462C3" w:rsidRDefault="003365BA" w:rsidP="007C27FD">
      <w:pPr>
        <w:spacing w:line="480" w:lineRule="auto"/>
        <w:rPr>
          <w:rFonts w:ascii="Times New Roman" w:hAnsi="Times New Roman" w:cs="Times New Roman"/>
          <w:b/>
          <w:sz w:val="24"/>
          <w:szCs w:val="24"/>
        </w:rPr>
      </w:pPr>
      <w:r>
        <w:rPr>
          <w:rFonts w:ascii="Times New Roman" w:hAnsi="Times New Roman" w:cs="Times New Roman"/>
          <w:b/>
          <w:sz w:val="24"/>
          <w:szCs w:val="24"/>
        </w:rPr>
        <w:t>Second Chapter</w:t>
      </w:r>
    </w:p>
    <w:p w14:paraId="33FF2886" w14:textId="77777777" w:rsidR="00806898" w:rsidRPr="00806898" w:rsidRDefault="003365BA" w:rsidP="007C27FD">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An in depth historical ove</w:t>
      </w:r>
      <w:r w:rsidR="00806898">
        <w:rPr>
          <w:rFonts w:ascii="Times New Roman" w:hAnsi="Times New Roman" w:cs="Times New Roman"/>
          <w:sz w:val="24"/>
          <w:szCs w:val="24"/>
        </w:rPr>
        <w:t>rview of the Maccabean Revolt.</w:t>
      </w:r>
    </w:p>
    <w:p w14:paraId="57372AE2" w14:textId="77777777" w:rsidR="00806898" w:rsidRPr="00806898" w:rsidRDefault="00806898" w:rsidP="007C27FD">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For this I will use one and two Maccabees as my main ancient sources. I will also make use of the works of Josephus for my narrative of events and the causes and aftermath of the revolt.</w:t>
      </w:r>
    </w:p>
    <w:p w14:paraId="2656655C" w14:textId="77777777" w:rsidR="00B14A95" w:rsidRPr="00B14A95" w:rsidRDefault="00806898" w:rsidP="007C27FD">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I will be using Honigman here as she gives a very full and interesting reading of events</w:t>
      </w:r>
      <w:r w:rsidR="00B14A95">
        <w:rPr>
          <w:rFonts w:ascii="Times New Roman" w:hAnsi="Times New Roman" w:cs="Times New Roman"/>
          <w:sz w:val="24"/>
          <w:szCs w:val="24"/>
        </w:rPr>
        <w:t>.</w:t>
      </w:r>
    </w:p>
    <w:p w14:paraId="375E780F" w14:textId="0BA048F7" w:rsidR="003365BA" w:rsidRPr="003365BA" w:rsidRDefault="00B14A95" w:rsidP="007C27FD">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I shall also use Kosmin and Taylor to broaden the readers understanding of events. </w:t>
      </w:r>
      <w:r w:rsidR="00806898">
        <w:rPr>
          <w:rFonts w:ascii="Times New Roman" w:hAnsi="Times New Roman" w:cs="Times New Roman"/>
          <w:sz w:val="24"/>
          <w:szCs w:val="24"/>
        </w:rPr>
        <w:t xml:space="preserve">  </w:t>
      </w:r>
    </w:p>
    <w:p w14:paraId="137807B5" w14:textId="682E5A6F" w:rsidR="00433B5D" w:rsidRPr="00923B9F" w:rsidRDefault="003365BA" w:rsidP="007C27FD">
      <w:pPr>
        <w:spacing w:line="480" w:lineRule="auto"/>
        <w:rPr>
          <w:rFonts w:ascii="Times New Roman" w:hAnsi="Times New Roman" w:cs="Times New Roman"/>
          <w:b/>
          <w:sz w:val="24"/>
          <w:szCs w:val="24"/>
        </w:rPr>
      </w:pPr>
      <w:r>
        <w:rPr>
          <w:rFonts w:ascii="Times New Roman" w:hAnsi="Times New Roman" w:cs="Times New Roman"/>
          <w:b/>
          <w:sz w:val="24"/>
          <w:szCs w:val="24"/>
        </w:rPr>
        <w:t>Third C</w:t>
      </w:r>
      <w:r w:rsidR="003632D4" w:rsidRPr="00923B9F">
        <w:rPr>
          <w:rFonts w:ascii="Times New Roman" w:hAnsi="Times New Roman" w:cs="Times New Roman"/>
          <w:b/>
          <w:sz w:val="24"/>
          <w:szCs w:val="24"/>
        </w:rPr>
        <w:t>hapter</w:t>
      </w:r>
    </w:p>
    <w:p w14:paraId="7ECC6EA3" w14:textId="677727D5" w:rsidR="00923B9F" w:rsidRDefault="003632D4" w:rsidP="007C27FD">
      <w:pPr>
        <w:pStyle w:val="ListParagraph"/>
        <w:numPr>
          <w:ilvl w:val="0"/>
          <w:numId w:val="3"/>
        </w:numPr>
        <w:spacing w:line="480" w:lineRule="auto"/>
        <w:rPr>
          <w:rFonts w:ascii="Times New Roman" w:hAnsi="Times New Roman" w:cs="Times New Roman"/>
          <w:sz w:val="24"/>
          <w:szCs w:val="24"/>
        </w:rPr>
      </w:pPr>
      <w:r w:rsidRPr="00923B9F">
        <w:rPr>
          <w:rFonts w:ascii="Times New Roman" w:hAnsi="Times New Roman" w:cs="Times New Roman"/>
          <w:sz w:val="24"/>
          <w:szCs w:val="24"/>
        </w:rPr>
        <w:t>An in depth historical overview of the position of the Seleucid empire at this point in</w:t>
      </w:r>
      <w:r w:rsidR="007E5F78" w:rsidRPr="00923B9F">
        <w:rPr>
          <w:rFonts w:ascii="Times New Roman" w:hAnsi="Times New Roman" w:cs="Times New Roman"/>
          <w:sz w:val="24"/>
          <w:szCs w:val="24"/>
        </w:rPr>
        <w:t xml:space="preserve"> its</w:t>
      </w:r>
      <w:r w:rsidR="00B14A95">
        <w:rPr>
          <w:rFonts w:ascii="Times New Roman" w:hAnsi="Times New Roman" w:cs="Times New Roman"/>
          <w:sz w:val="24"/>
          <w:szCs w:val="24"/>
        </w:rPr>
        <w:t xml:space="preserve"> history and the other revolts it had been subject to. </w:t>
      </w:r>
      <w:r w:rsidRPr="00923B9F">
        <w:rPr>
          <w:rFonts w:ascii="Times New Roman" w:hAnsi="Times New Roman" w:cs="Times New Roman"/>
          <w:sz w:val="24"/>
          <w:szCs w:val="24"/>
        </w:rPr>
        <w:t xml:space="preserve"> </w:t>
      </w:r>
    </w:p>
    <w:p w14:paraId="03BD52C9" w14:textId="13B4D5AE" w:rsidR="003632D4" w:rsidRDefault="007E5F78" w:rsidP="007C27FD">
      <w:pPr>
        <w:pStyle w:val="ListParagraph"/>
        <w:numPr>
          <w:ilvl w:val="0"/>
          <w:numId w:val="3"/>
        </w:numPr>
        <w:spacing w:line="480" w:lineRule="auto"/>
        <w:rPr>
          <w:rFonts w:ascii="Times New Roman" w:hAnsi="Times New Roman" w:cs="Times New Roman"/>
          <w:sz w:val="24"/>
          <w:szCs w:val="24"/>
        </w:rPr>
      </w:pPr>
      <w:r w:rsidRPr="00923B9F">
        <w:rPr>
          <w:rFonts w:ascii="Times New Roman" w:hAnsi="Times New Roman" w:cs="Times New Roman"/>
          <w:sz w:val="24"/>
          <w:szCs w:val="24"/>
        </w:rPr>
        <w:t>Looking at the external and internal pressures that an incremental loss of territory had on the actions of t</w:t>
      </w:r>
      <w:r w:rsidR="00F55B86">
        <w:rPr>
          <w:rFonts w:ascii="Times New Roman" w:hAnsi="Times New Roman" w:cs="Times New Roman"/>
          <w:sz w:val="24"/>
          <w:szCs w:val="24"/>
        </w:rPr>
        <w:t>he Seleucids within the Empire, bearing in mind that the combination of i</w:t>
      </w:r>
      <w:r w:rsidR="0002427C">
        <w:rPr>
          <w:rFonts w:ascii="Times New Roman" w:hAnsi="Times New Roman" w:cs="Times New Roman"/>
          <w:sz w:val="24"/>
          <w:szCs w:val="24"/>
        </w:rPr>
        <w:t>nvasions, internal revolts and breakaway states</w:t>
      </w:r>
      <w:r w:rsidRPr="00923B9F">
        <w:rPr>
          <w:rFonts w:ascii="Times New Roman" w:hAnsi="Times New Roman" w:cs="Times New Roman"/>
          <w:sz w:val="24"/>
          <w:szCs w:val="24"/>
        </w:rPr>
        <w:t xml:space="preserve"> </w:t>
      </w:r>
      <w:r w:rsidR="0002427C">
        <w:rPr>
          <w:rFonts w:ascii="Times New Roman" w:hAnsi="Times New Roman" w:cs="Times New Roman"/>
          <w:sz w:val="24"/>
          <w:szCs w:val="24"/>
        </w:rPr>
        <w:t>equate</w:t>
      </w:r>
      <w:r w:rsidR="00F55B86">
        <w:rPr>
          <w:rFonts w:ascii="Times New Roman" w:hAnsi="Times New Roman" w:cs="Times New Roman"/>
          <w:sz w:val="24"/>
          <w:szCs w:val="24"/>
        </w:rPr>
        <w:t>d</w:t>
      </w:r>
      <w:r w:rsidR="0002427C">
        <w:rPr>
          <w:rFonts w:ascii="Times New Roman" w:hAnsi="Times New Roman" w:cs="Times New Roman"/>
          <w:sz w:val="24"/>
          <w:szCs w:val="24"/>
        </w:rPr>
        <w:t xml:space="preserve"> to </w:t>
      </w:r>
      <w:r w:rsidR="00F55B86">
        <w:rPr>
          <w:rFonts w:ascii="Times New Roman" w:hAnsi="Times New Roman" w:cs="Times New Roman"/>
          <w:sz w:val="24"/>
          <w:szCs w:val="24"/>
        </w:rPr>
        <w:t xml:space="preserve">a </w:t>
      </w:r>
      <w:r w:rsidR="00745FCC">
        <w:rPr>
          <w:rFonts w:ascii="Times New Roman" w:hAnsi="Times New Roman" w:cs="Times New Roman"/>
          <w:sz w:val="24"/>
          <w:szCs w:val="24"/>
        </w:rPr>
        <w:t>“near continuous crisi</w:t>
      </w:r>
      <w:r w:rsidR="0002427C">
        <w:rPr>
          <w:rFonts w:ascii="Times New Roman" w:hAnsi="Times New Roman" w:cs="Times New Roman"/>
          <w:sz w:val="24"/>
          <w:szCs w:val="24"/>
        </w:rPr>
        <w:t>s”. (Taylor: 2014.</w:t>
      </w:r>
      <w:r w:rsidR="0013749D">
        <w:rPr>
          <w:rFonts w:ascii="Times New Roman" w:hAnsi="Times New Roman" w:cs="Times New Roman"/>
          <w:sz w:val="24"/>
          <w:szCs w:val="24"/>
        </w:rPr>
        <w:t xml:space="preserve"> 241</w:t>
      </w:r>
      <w:r w:rsidR="00F55B86">
        <w:rPr>
          <w:rFonts w:ascii="Times New Roman" w:hAnsi="Times New Roman" w:cs="Times New Roman"/>
          <w:sz w:val="24"/>
          <w:szCs w:val="24"/>
        </w:rPr>
        <w:t>)</w:t>
      </w:r>
    </w:p>
    <w:p w14:paraId="501B907C" w14:textId="77777777" w:rsidR="00D9577D" w:rsidRDefault="00B14A95" w:rsidP="007C27FD">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I will look deeply into the other revolts as well as looking at the difficulties in recognising and dating these revolts</w:t>
      </w:r>
      <w:r w:rsidR="00336EB3">
        <w:rPr>
          <w:rFonts w:ascii="Times New Roman" w:hAnsi="Times New Roman" w:cs="Times New Roman"/>
          <w:sz w:val="24"/>
          <w:szCs w:val="24"/>
        </w:rPr>
        <w:t xml:space="preserve">. For this I will be relying partially on the work of </w:t>
      </w:r>
      <w:r w:rsidR="00D9577D">
        <w:rPr>
          <w:rFonts w:ascii="Times New Roman" w:hAnsi="Times New Roman" w:cs="Times New Roman"/>
          <w:sz w:val="24"/>
          <w:szCs w:val="24"/>
        </w:rPr>
        <w:lastRenderedPageBreak/>
        <w:t xml:space="preserve">Churbasik (though I have not yet read this), I will also be looking at Katell and Taylor.   </w:t>
      </w:r>
    </w:p>
    <w:p w14:paraId="1B763E05" w14:textId="28D421D5" w:rsidR="00B14A95" w:rsidRDefault="00D9577D" w:rsidP="007C27FD">
      <w:pPr>
        <w:spacing w:line="480" w:lineRule="auto"/>
        <w:rPr>
          <w:rFonts w:ascii="Times New Roman" w:hAnsi="Times New Roman" w:cs="Times New Roman"/>
          <w:b/>
          <w:sz w:val="24"/>
          <w:szCs w:val="24"/>
        </w:rPr>
      </w:pPr>
      <w:r w:rsidRPr="00D9577D">
        <w:rPr>
          <w:rFonts w:ascii="Times New Roman" w:hAnsi="Times New Roman" w:cs="Times New Roman"/>
          <w:b/>
          <w:sz w:val="24"/>
          <w:szCs w:val="24"/>
        </w:rPr>
        <w:t>Fourth Chapter</w:t>
      </w:r>
    </w:p>
    <w:p w14:paraId="1F29D5FA" w14:textId="10C973B6" w:rsidR="00D9577D" w:rsidRDefault="00D9577D" w:rsidP="007C27FD">
      <w:pPr>
        <w:pStyle w:val="ListParagraph"/>
        <w:numPr>
          <w:ilvl w:val="0"/>
          <w:numId w:val="6"/>
        </w:numPr>
        <w:spacing w:line="480" w:lineRule="auto"/>
        <w:rPr>
          <w:rFonts w:ascii="Times New Roman" w:hAnsi="Times New Roman" w:cs="Times New Roman"/>
          <w:sz w:val="24"/>
          <w:szCs w:val="24"/>
        </w:rPr>
      </w:pPr>
      <w:r w:rsidRPr="00D9577D">
        <w:rPr>
          <w:rFonts w:ascii="Times New Roman" w:hAnsi="Times New Roman" w:cs="Times New Roman"/>
          <w:sz w:val="24"/>
          <w:szCs w:val="24"/>
        </w:rPr>
        <w:t xml:space="preserve">In this section I will compare the rebellions and revolts in order to determine the role of the Maccabees and evaluate their place in Seleucid history. </w:t>
      </w:r>
    </w:p>
    <w:p w14:paraId="1B68D247" w14:textId="3881A805" w:rsidR="007C27FD" w:rsidRDefault="007C27FD" w:rsidP="007C27FD">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This will be further developed as my research continues.</w:t>
      </w:r>
    </w:p>
    <w:p w14:paraId="01A04724" w14:textId="1BB4D828" w:rsidR="007C27FD" w:rsidRDefault="007C27FD" w:rsidP="007C27FD">
      <w:pPr>
        <w:spacing w:line="480" w:lineRule="auto"/>
        <w:rPr>
          <w:rFonts w:ascii="Times New Roman" w:hAnsi="Times New Roman" w:cs="Times New Roman"/>
          <w:b/>
          <w:sz w:val="24"/>
          <w:szCs w:val="24"/>
        </w:rPr>
      </w:pPr>
      <w:r w:rsidRPr="007C27FD">
        <w:rPr>
          <w:rFonts w:ascii="Times New Roman" w:hAnsi="Times New Roman" w:cs="Times New Roman"/>
          <w:b/>
          <w:sz w:val="24"/>
          <w:szCs w:val="24"/>
        </w:rPr>
        <w:t>Conclusion</w:t>
      </w:r>
    </w:p>
    <w:p w14:paraId="03D53626" w14:textId="1EC46946" w:rsidR="007C27FD" w:rsidRPr="007C27FD" w:rsidRDefault="007C27FD" w:rsidP="007C27FD">
      <w:pPr>
        <w:pStyle w:val="ListParagraph"/>
        <w:numPr>
          <w:ilvl w:val="0"/>
          <w:numId w:val="7"/>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I believe my conclusion will be that The Maccabean revolt and subsequent independence is fairly typical within the context of the later Seleucid empire, and that its particular prominence is due to the survival of sources and their incorporation into Christian traditions. The way in which the events tie into the Roman narrative also influence our perception of events.   </w:t>
      </w:r>
    </w:p>
    <w:p w14:paraId="3D3D12A1" w14:textId="77777777" w:rsidR="007C27FD" w:rsidRDefault="007C27FD" w:rsidP="007C27FD">
      <w:pPr>
        <w:spacing w:line="480" w:lineRule="auto"/>
        <w:rPr>
          <w:rFonts w:ascii="Times New Roman" w:hAnsi="Times New Roman" w:cs="Times New Roman"/>
          <w:sz w:val="24"/>
          <w:szCs w:val="24"/>
        </w:rPr>
      </w:pPr>
    </w:p>
    <w:p w14:paraId="04E3CE33" w14:textId="77777777" w:rsidR="007C27FD" w:rsidRDefault="007C27FD" w:rsidP="007C27FD">
      <w:pPr>
        <w:spacing w:line="480" w:lineRule="auto"/>
        <w:rPr>
          <w:rFonts w:ascii="Times New Roman" w:hAnsi="Times New Roman" w:cs="Times New Roman"/>
          <w:sz w:val="24"/>
          <w:szCs w:val="24"/>
        </w:rPr>
      </w:pPr>
    </w:p>
    <w:p w14:paraId="661DCD56" w14:textId="77777777" w:rsidR="007C27FD" w:rsidRDefault="007C27FD" w:rsidP="007C27FD">
      <w:pPr>
        <w:spacing w:line="480" w:lineRule="auto"/>
        <w:rPr>
          <w:rFonts w:ascii="Times New Roman" w:hAnsi="Times New Roman" w:cs="Times New Roman"/>
          <w:sz w:val="24"/>
          <w:szCs w:val="24"/>
        </w:rPr>
      </w:pPr>
    </w:p>
    <w:p w14:paraId="68769BB5" w14:textId="77777777" w:rsidR="007C27FD" w:rsidRDefault="007C27FD" w:rsidP="007C27FD">
      <w:pPr>
        <w:spacing w:line="480" w:lineRule="auto"/>
        <w:rPr>
          <w:rFonts w:ascii="Times New Roman" w:hAnsi="Times New Roman" w:cs="Times New Roman"/>
          <w:sz w:val="24"/>
          <w:szCs w:val="24"/>
        </w:rPr>
      </w:pPr>
    </w:p>
    <w:p w14:paraId="7EC33AC4" w14:textId="77777777" w:rsidR="007C27FD" w:rsidRDefault="007C27FD" w:rsidP="007C27FD">
      <w:pPr>
        <w:spacing w:line="480" w:lineRule="auto"/>
        <w:rPr>
          <w:rFonts w:ascii="Times New Roman" w:hAnsi="Times New Roman" w:cs="Times New Roman"/>
          <w:sz w:val="24"/>
          <w:szCs w:val="24"/>
        </w:rPr>
      </w:pPr>
    </w:p>
    <w:p w14:paraId="3B7DD2CA" w14:textId="77777777" w:rsidR="007C27FD" w:rsidRDefault="007C27FD" w:rsidP="007C27FD">
      <w:pPr>
        <w:spacing w:line="480" w:lineRule="auto"/>
        <w:rPr>
          <w:rFonts w:ascii="Times New Roman" w:hAnsi="Times New Roman" w:cs="Times New Roman"/>
          <w:sz w:val="24"/>
          <w:szCs w:val="24"/>
        </w:rPr>
      </w:pPr>
    </w:p>
    <w:p w14:paraId="620F4643" w14:textId="77777777" w:rsidR="007C27FD" w:rsidRDefault="007C27FD" w:rsidP="007C27FD">
      <w:pPr>
        <w:spacing w:line="480" w:lineRule="auto"/>
        <w:rPr>
          <w:rFonts w:ascii="Times New Roman" w:hAnsi="Times New Roman" w:cs="Times New Roman"/>
          <w:sz w:val="24"/>
          <w:szCs w:val="24"/>
        </w:rPr>
      </w:pPr>
    </w:p>
    <w:p w14:paraId="0209EDDD" w14:textId="77777777" w:rsidR="007C27FD" w:rsidRDefault="007C27FD" w:rsidP="007C27FD">
      <w:pPr>
        <w:spacing w:line="480" w:lineRule="auto"/>
        <w:rPr>
          <w:rFonts w:ascii="Times New Roman" w:hAnsi="Times New Roman" w:cs="Times New Roman"/>
          <w:sz w:val="24"/>
          <w:szCs w:val="24"/>
        </w:rPr>
      </w:pPr>
    </w:p>
    <w:p w14:paraId="7DEDD5A1" w14:textId="77777777" w:rsidR="007C27FD" w:rsidRDefault="007C27FD" w:rsidP="007C27FD">
      <w:pPr>
        <w:spacing w:line="480" w:lineRule="auto"/>
        <w:rPr>
          <w:rFonts w:ascii="Times New Roman" w:hAnsi="Times New Roman" w:cs="Times New Roman"/>
          <w:sz w:val="24"/>
          <w:szCs w:val="24"/>
        </w:rPr>
      </w:pPr>
    </w:p>
    <w:p w14:paraId="53EBC080" w14:textId="3182B1DA" w:rsidR="004E3487" w:rsidRPr="00D9577D" w:rsidRDefault="004E3487" w:rsidP="007C27FD">
      <w:pPr>
        <w:spacing w:line="480" w:lineRule="auto"/>
        <w:rPr>
          <w:rFonts w:ascii="Times New Roman" w:hAnsi="Times New Roman" w:cs="Times New Roman"/>
          <w:b/>
          <w:sz w:val="28"/>
          <w:szCs w:val="24"/>
        </w:rPr>
      </w:pPr>
      <w:bookmarkStart w:id="0" w:name="_GoBack"/>
      <w:bookmarkEnd w:id="0"/>
      <w:r w:rsidRPr="00D9577D">
        <w:rPr>
          <w:rFonts w:ascii="Times New Roman" w:hAnsi="Times New Roman" w:cs="Times New Roman"/>
          <w:b/>
          <w:sz w:val="28"/>
          <w:szCs w:val="24"/>
        </w:rPr>
        <w:lastRenderedPageBreak/>
        <w:t>Bibliography</w:t>
      </w:r>
    </w:p>
    <w:p w14:paraId="1644E03E" w14:textId="77777777" w:rsidR="004E3487" w:rsidRDefault="004E3487" w:rsidP="007C27FD">
      <w:pPr>
        <w:spacing w:line="480" w:lineRule="auto"/>
        <w:rPr>
          <w:rFonts w:ascii="Times New Roman" w:hAnsi="Times New Roman" w:cs="Times New Roman"/>
          <w:b/>
          <w:sz w:val="24"/>
          <w:szCs w:val="24"/>
        </w:rPr>
      </w:pPr>
      <w:r>
        <w:rPr>
          <w:rFonts w:ascii="Times New Roman" w:hAnsi="Times New Roman" w:cs="Times New Roman"/>
          <w:b/>
          <w:sz w:val="24"/>
          <w:szCs w:val="24"/>
        </w:rPr>
        <w:t>Ancient Sources</w:t>
      </w:r>
    </w:p>
    <w:p w14:paraId="2F65074E" w14:textId="3A3423C7" w:rsidR="00055194" w:rsidRPr="00E64A1E" w:rsidRDefault="00E64A1E"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Authorized (King James) version. </w:t>
      </w:r>
      <w:r>
        <w:rPr>
          <w:rFonts w:ascii="Times New Roman" w:hAnsi="Times New Roman" w:cs="Times New Roman"/>
          <w:i/>
          <w:sz w:val="24"/>
          <w:szCs w:val="24"/>
        </w:rPr>
        <w:t>Apocrypha</w:t>
      </w:r>
      <w:r>
        <w:rPr>
          <w:rFonts w:ascii="Times New Roman" w:hAnsi="Times New Roman" w:cs="Times New Roman"/>
          <w:sz w:val="24"/>
          <w:szCs w:val="24"/>
        </w:rPr>
        <w:t>. 1992. Cambridge: Cambridge University Press</w:t>
      </w:r>
    </w:p>
    <w:p w14:paraId="51D60DFB" w14:textId="77777777" w:rsidR="00D3535A" w:rsidRDefault="00D3535A"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Diodorus Siculus. </w:t>
      </w:r>
      <w:r>
        <w:rPr>
          <w:rFonts w:ascii="Times New Roman" w:hAnsi="Times New Roman" w:cs="Times New Roman"/>
          <w:i/>
          <w:sz w:val="24"/>
          <w:szCs w:val="24"/>
        </w:rPr>
        <w:t xml:space="preserve">The Historical Library of Diodorus the Sicilian in Forty Books: Volume two. </w:t>
      </w:r>
      <w:r>
        <w:rPr>
          <w:rFonts w:ascii="Times New Roman" w:hAnsi="Times New Roman" w:cs="Times New Roman"/>
          <w:sz w:val="24"/>
          <w:szCs w:val="24"/>
        </w:rPr>
        <w:t>G.Lauren (trans.). 2014. Marston Gate: Sophron</w:t>
      </w:r>
    </w:p>
    <w:p w14:paraId="1BE33D70" w14:textId="77777777" w:rsidR="00D3535A" w:rsidRDefault="00D3535A"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Josephus. </w:t>
      </w:r>
      <w:hyperlink r:id="rId7" w:history="1">
        <w:r w:rsidR="00055194" w:rsidRPr="008E0065">
          <w:rPr>
            <w:rStyle w:val="Hyperlink"/>
            <w:rFonts w:ascii="Times New Roman" w:hAnsi="Times New Roman" w:cs="Times New Roman"/>
            <w:sz w:val="24"/>
            <w:szCs w:val="24"/>
          </w:rPr>
          <w:t>https://www-loebclassics-com.ezproxy.uwtsd.ac.uk/view/josephus-jewish_antiquities/1930/pb_LCL365</w:t>
        </w:r>
      </w:hyperlink>
    </w:p>
    <w:p w14:paraId="77B8B0B3" w14:textId="77777777" w:rsidR="00055194" w:rsidRDefault="00055194"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Josephus. </w:t>
      </w:r>
      <w:hyperlink r:id="rId8" w:history="1">
        <w:r w:rsidRPr="008E0065">
          <w:rPr>
            <w:rStyle w:val="Hyperlink"/>
            <w:rFonts w:ascii="Times New Roman" w:hAnsi="Times New Roman" w:cs="Times New Roman"/>
            <w:sz w:val="24"/>
            <w:szCs w:val="24"/>
          </w:rPr>
          <w:t>https://www-loebclassics-com.ezproxy.uwtsd.ac.uk/view/josephus-jewish_war/1927/pb_LCL487</w:t>
        </w:r>
      </w:hyperlink>
    </w:p>
    <w:p w14:paraId="035FBA04" w14:textId="77777777" w:rsidR="00E64A1E" w:rsidRPr="00E64A1E" w:rsidRDefault="00E64A1E" w:rsidP="007C27FD">
      <w:pPr>
        <w:spacing w:line="480" w:lineRule="auto"/>
        <w:rPr>
          <w:rFonts w:ascii="Times New Roman" w:hAnsi="Times New Roman" w:cs="Times New Roman"/>
          <w:i/>
          <w:sz w:val="24"/>
          <w:szCs w:val="24"/>
        </w:rPr>
      </w:pPr>
      <w:r>
        <w:rPr>
          <w:rFonts w:ascii="Times New Roman" w:hAnsi="Times New Roman" w:cs="Times New Roman"/>
          <w:sz w:val="24"/>
          <w:szCs w:val="24"/>
        </w:rPr>
        <w:t xml:space="preserve">Pliny. </w:t>
      </w:r>
      <w:r>
        <w:rPr>
          <w:rFonts w:ascii="Times New Roman" w:hAnsi="Times New Roman" w:cs="Times New Roman"/>
          <w:i/>
          <w:sz w:val="24"/>
          <w:szCs w:val="24"/>
        </w:rPr>
        <w:t>Natural Histories.</w:t>
      </w:r>
      <w:r>
        <w:rPr>
          <w:rFonts w:ascii="Times New Roman" w:hAnsi="Times New Roman" w:cs="Times New Roman"/>
          <w:sz w:val="24"/>
          <w:szCs w:val="24"/>
        </w:rPr>
        <w:t xml:space="preserve"> J.F. Healy (trans.). 1991. England: Clays Ltd. </w:t>
      </w:r>
    </w:p>
    <w:p w14:paraId="768BC65C" w14:textId="3AC77513" w:rsidR="009F7962" w:rsidRPr="009F7962" w:rsidRDefault="009F7962" w:rsidP="007C27FD">
      <w:pPr>
        <w:spacing w:line="480" w:lineRule="auto"/>
        <w:rPr>
          <w:rFonts w:ascii="Times New Roman" w:hAnsi="Times New Roman" w:cs="Times New Roman"/>
          <w:sz w:val="24"/>
          <w:szCs w:val="24"/>
        </w:rPr>
      </w:pPr>
      <w:r>
        <w:rPr>
          <w:rFonts w:ascii="Times New Roman" w:hAnsi="Times New Roman" w:cs="Times New Roman"/>
          <w:sz w:val="24"/>
          <w:szCs w:val="24"/>
        </w:rPr>
        <w:t xml:space="preserve">Polybius. </w:t>
      </w:r>
      <w:r>
        <w:rPr>
          <w:rFonts w:ascii="Times New Roman" w:hAnsi="Times New Roman" w:cs="Times New Roman"/>
          <w:i/>
          <w:sz w:val="24"/>
          <w:szCs w:val="24"/>
        </w:rPr>
        <w:t>The Histories.</w:t>
      </w:r>
      <w:r>
        <w:rPr>
          <w:rFonts w:ascii="Times New Roman" w:hAnsi="Times New Roman" w:cs="Times New Roman"/>
          <w:sz w:val="24"/>
          <w:szCs w:val="24"/>
        </w:rPr>
        <w:t xml:space="preserve"> R. Waterfield (trans). 2010. Oxford: Oxford University Press  </w:t>
      </w:r>
    </w:p>
    <w:p w14:paraId="035784A7" w14:textId="77777777" w:rsidR="009A3142" w:rsidRDefault="009A3142" w:rsidP="007C27FD">
      <w:pPr>
        <w:spacing w:line="480" w:lineRule="auto"/>
        <w:rPr>
          <w:rFonts w:ascii="Times New Roman" w:hAnsi="Times New Roman" w:cs="Times New Roman"/>
          <w:color w:val="4472C4" w:themeColor="accent1"/>
          <w:sz w:val="24"/>
          <w:szCs w:val="24"/>
          <w:u w:val="single"/>
        </w:rPr>
      </w:pPr>
    </w:p>
    <w:p w14:paraId="4F889AD0" w14:textId="77777777" w:rsidR="009A3142" w:rsidRDefault="009A3142" w:rsidP="007C27FD">
      <w:pPr>
        <w:spacing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Modern Sources</w:t>
      </w:r>
    </w:p>
    <w:p w14:paraId="46A7F47B" w14:textId="77777777" w:rsidR="00E2126B" w:rsidRDefault="00E2126B" w:rsidP="007C27FD">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Ager, S.L. 2005. ‘An uneasy Balance: from the Death of Seleukos to the Battle of Raphia’ in Erskine, A. (ed.) </w:t>
      </w:r>
      <w:r>
        <w:rPr>
          <w:rFonts w:ascii="Times New Roman" w:hAnsi="Times New Roman" w:cs="Times New Roman"/>
          <w:i/>
          <w:sz w:val="24"/>
          <w:szCs w:val="24"/>
        </w:rPr>
        <w:t xml:space="preserve">A Companion to the Hellenistic World, </w:t>
      </w:r>
      <w:r>
        <w:rPr>
          <w:rFonts w:ascii="Times New Roman" w:hAnsi="Times New Roman" w:cs="Times New Roman"/>
          <w:sz w:val="24"/>
          <w:szCs w:val="24"/>
        </w:rPr>
        <w:t>Oxford:  Blackwell Publishing Ltd, 35-50</w:t>
      </w:r>
    </w:p>
    <w:p w14:paraId="345AE122" w14:textId="77777777" w:rsidR="00452F53" w:rsidRPr="00F74D6A" w:rsidRDefault="00F9446E" w:rsidP="007C27FD">
      <w:pPr>
        <w:spacing w:line="480" w:lineRule="auto"/>
        <w:rPr>
          <w:rFonts w:ascii="Times New Roman" w:hAnsi="Times New Roman" w:cs="Times New Roman"/>
          <w:b/>
          <w:color w:val="000000" w:themeColor="text1"/>
          <w:sz w:val="24"/>
          <w:szCs w:val="24"/>
        </w:rPr>
      </w:pPr>
      <w:r>
        <w:rPr>
          <w:rFonts w:ascii="Times New Roman" w:hAnsi="Times New Roman" w:cs="Times New Roman"/>
          <w:color w:val="000000"/>
          <w:sz w:val="24"/>
          <w:szCs w:val="24"/>
          <w:shd w:val="clear" w:color="auto" w:fill="FFFFFF"/>
        </w:rPr>
        <w:t>Erickson, and Ramsey.</w:t>
      </w:r>
      <w:r w:rsidR="00F74D6A" w:rsidRPr="00F74D6A">
        <w:rPr>
          <w:rFonts w:ascii="Times New Roman" w:hAnsi="Times New Roman" w:cs="Times New Roman"/>
          <w:color w:val="000000"/>
          <w:sz w:val="24"/>
          <w:szCs w:val="24"/>
          <w:shd w:val="clear" w:color="auto" w:fill="FFFFFF"/>
        </w:rPr>
        <w:t xml:space="preserve"> 2011. </w:t>
      </w:r>
      <w:r w:rsidR="00F74D6A" w:rsidRPr="00F74D6A">
        <w:rPr>
          <w:rFonts w:ascii="Times New Roman" w:hAnsi="Times New Roman" w:cs="Times New Roman"/>
          <w:i/>
          <w:iCs/>
          <w:color w:val="000000"/>
          <w:sz w:val="24"/>
          <w:szCs w:val="24"/>
          <w:bdr w:val="none" w:sz="0" w:space="0" w:color="auto" w:frame="1"/>
          <w:shd w:val="clear" w:color="auto" w:fill="FFFFFF"/>
        </w:rPr>
        <w:t>Sele</w:t>
      </w:r>
      <w:r w:rsidR="00F74D6A">
        <w:rPr>
          <w:rFonts w:ascii="Times New Roman" w:hAnsi="Times New Roman" w:cs="Times New Roman"/>
          <w:i/>
          <w:iCs/>
          <w:color w:val="000000"/>
          <w:sz w:val="24"/>
          <w:szCs w:val="24"/>
          <w:bdr w:val="none" w:sz="0" w:space="0" w:color="auto" w:frame="1"/>
          <w:shd w:val="clear" w:color="auto" w:fill="FFFFFF"/>
        </w:rPr>
        <w:t>ucid Dissolution : T</w:t>
      </w:r>
      <w:r w:rsidR="00F74D6A" w:rsidRPr="00F74D6A">
        <w:rPr>
          <w:rFonts w:ascii="Times New Roman" w:hAnsi="Times New Roman" w:cs="Times New Roman"/>
          <w:i/>
          <w:iCs/>
          <w:color w:val="000000"/>
          <w:sz w:val="24"/>
          <w:szCs w:val="24"/>
          <w:bdr w:val="none" w:sz="0" w:space="0" w:color="auto" w:frame="1"/>
          <w:shd w:val="clear" w:color="auto" w:fill="FFFFFF"/>
        </w:rPr>
        <w:t>he sinking of the anchor</w:t>
      </w:r>
      <w:r w:rsidR="003917B3">
        <w:rPr>
          <w:rFonts w:ascii="Times New Roman" w:hAnsi="Times New Roman" w:cs="Times New Roman"/>
          <w:color w:val="000000"/>
          <w:sz w:val="24"/>
          <w:szCs w:val="24"/>
          <w:shd w:val="clear" w:color="auto" w:fill="FFFFFF"/>
        </w:rPr>
        <w:t>, Wiesbaden: Harrassowitz     (reserved from Library – should be back 10/11/17)</w:t>
      </w:r>
    </w:p>
    <w:p w14:paraId="1D7BB603" w14:textId="77777777" w:rsidR="00871E26" w:rsidRDefault="00452F53" w:rsidP="007C27FD">
      <w:pPr>
        <w:spacing w:line="480" w:lineRule="auto"/>
        <w:rPr>
          <w:rFonts w:ascii="Times New Roman" w:hAnsi="Times New Roman" w:cs="Times New Roman"/>
          <w:color w:val="000000" w:themeColor="text1"/>
          <w:sz w:val="24"/>
          <w:szCs w:val="24"/>
        </w:rPr>
      </w:pPr>
      <w:r w:rsidRPr="00452F53">
        <w:rPr>
          <w:rFonts w:ascii="Times New Roman" w:hAnsi="Times New Roman" w:cs="Times New Roman"/>
          <w:color w:val="000000" w:themeColor="text1"/>
          <w:sz w:val="24"/>
          <w:szCs w:val="24"/>
        </w:rPr>
        <w:t>Baumgarten, A</w:t>
      </w:r>
      <w:r>
        <w:rPr>
          <w:rFonts w:ascii="Times New Roman" w:hAnsi="Times New Roman" w:cs="Times New Roman"/>
          <w:color w:val="000000" w:themeColor="text1"/>
          <w:sz w:val="24"/>
          <w:szCs w:val="24"/>
        </w:rPr>
        <w:t>.</w:t>
      </w:r>
      <w:r w:rsidRPr="00452F53">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 2007.</w:t>
      </w:r>
      <w:r w:rsidRPr="00452F53">
        <w:rPr>
          <w:rFonts w:ascii="Times New Roman" w:hAnsi="Times New Roman" w:cs="Times New Roman"/>
          <w:color w:val="000000" w:themeColor="text1"/>
          <w:sz w:val="24"/>
          <w:szCs w:val="24"/>
        </w:rPr>
        <w:t xml:space="preserve"> 'Elias Bickerman on the Hellenizing Reformers: A Case Study of an Unconvincing Case', </w:t>
      </w:r>
      <w:r w:rsidRPr="00452F53">
        <w:rPr>
          <w:rFonts w:ascii="Times New Roman" w:hAnsi="Times New Roman" w:cs="Times New Roman"/>
          <w:i/>
          <w:iCs/>
          <w:color w:val="000000" w:themeColor="text1"/>
          <w:sz w:val="24"/>
          <w:szCs w:val="24"/>
        </w:rPr>
        <w:t>Jewish Quarterly Review</w:t>
      </w:r>
      <w:r>
        <w:rPr>
          <w:rFonts w:ascii="Times New Roman" w:hAnsi="Times New Roman" w:cs="Times New Roman"/>
          <w:color w:val="000000" w:themeColor="text1"/>
          <w:sz w:val="24"/>
          <w:szCs w:val="24"/>
        </w:rPr>
        <w:t>, 97, 2.</w:t>
      </w:r>
      <w:r w:rsidRPr="00452F53">
        <w:rPr>
          <w:rFonts w:ascii="Times New Roman" w:hAnsi="Times New Roman" w:cs="Times New Roman"/>
          <w:color w:val="000000" w:themeColor="text1"/>
          <w:sz w:val="24"/>
          <w:szCs w:val="24"/>
        </w:rPr>
        <w:t xml:space="preserve"> 149-179</w:t>
      </w:r>
    </w:p>
    <w:p w14:paraId="2E0250B5" w14:textId="77777777" w:rsidR="008270CA" w:rsidRDefault="008270CA" w:rsidP="007C27FD">
      <w:pPr>
        <w:spacing w:line="480" w:lineRule="auto"/>
        <w:rPr>
          <w:rFonts w:ascii="Times New Roman" w:hAnsi="Times New Roman" w:cs="Times New Roman"/>
          <w:color w:val="000000" w:themeColor="text1"/>
          <w:sz w:val="24"/>
          <w:szCs w:val="24"/>
        </w:rPr>
      </w:pPr>
      <w:r w:rsidRPr="008270CA">
        <w:rPr>
          <w:rFonts w:ascii="Times New Roman" w:hAnsi="Times New Roman" w:cs="Times New Roman"/>
          <w:color w:val="000000" w:themeColor="text1"/>
          <w:sz w:val="24"/>
          <w:szCs w:val="24"/>
        </w:rPr>
        <w:lastRenderedPageBreak/>
        <w:t xml:space="preserve">Berthelot, K 2014, 'Reclaiming the Land (1 Maccabees 15:28-36): Hasmonean Discourse between Biblical Tradition and Seleucid Rhetoric', </w:t>
      </w:r>
      <w:r w:rsidRPr="008270CA">
        <w:rPr>
          <w:rFonts w:ascii="Times New Roman" w:hAnsi="Times New Roman" w:cs="Times New Roman"/>
          <w:i/>
          <w:color w:val="000000" w:themeColor="text1"/>
          <w:sz w:val="24"/>
          <w:szCs w:val="24"/>
        </w:rPr>
        <w:t>Journal of Biblical Literature</w:t>
      </w:r>
      <w:r>
        <w:rPr>
          <w:rFonts w:ascii="Times New Roman" w:hAnsi="Times New Roman" w:cs="Times New Roman"/>
          <w:color w:val="000000" w:themeColor="text1"/>
          <w:sz w:val="24"/>
          <w:szCs w:val="24"/>
        </w:rPr>
        <w:t>,</w:t>
      </w:r>
      <w:r w:rsidR="00A726C1">
        <w:rPr>
          <w:rFonts w:ascii="Times New Roman" w:hAnsi="Times New Roman" w:cs="Times New Roman"/>
          <w:color w:val="000000" w:themeColor="text1"/>
          <w:sz w:val="24"/>
          <w:szCs w:val="24"/>
        </w:rPr>
        <w:t xml:space="preserve"> 133,3</w:t>
      </w:r>
      <w:r w:rsidRPr="008270CA">
        <w:rPr>
          <w:rFonts w:ascii="Times New Roman" w:hAnsi="Times New Roman" w:cs="Times New Roman"/>
          <w:color w:val="000000" w:themeColor="text1"/>
          <w:sz w:val="24"/>
          <w:szCs w:val="24"/>
        </w:rPr>
        <w:t>. 539-559</w:t>
      </w:r>
    </w:p>
    <w:p w14:paraId="29DEEB66" w14:textId="77777777" w:rsidR="00F74D6A" w:rsidRDefault="00F74D6A" w:rsidP="007C27FD">
      <w:pPr>
        <w:spacing w:line="480" w:lineRule="auto"/>
        <w:rPr>
          <w:rFonts w:ascii="Times New Roman" w:hAnsi="Times New Roman" w:cs="Times New Roman"/>
          <w:color w:val="555555"/>
          <w:sz w:val="24"/>
          <w:szCs w:val="24"/>
          <w:shd w:val="clear" w:color="auto" w:fill="FFFFFF"/>
        </w:rPr>
      </w:pPr>
      <w:r w:rsidRPr="008270CA">
        <w:rPr>
          <w:rFonts w:ascii="Times New Roman" w:hAnsi="Times New Roman" w:cs="Times New Roman"/>
          <w:color w:val="555555"/>
          <w:sz w:val="24"/>
          <w:szCs w:val="24"/>
          <w:shd w:val="clear" w:color="auto" w:fill="FFFFFF"/>
        </w:rPr>
        <w:t>Eckstein, A.M., 2013. ‘What is an empire and how do you know when you have one? Rome and the Greek States after 188 BC.’ </w:t>
      </w:r>
      <w:r w:rsidRPr="008270CA">
        <w:rPr>
          <w:rFonts w:ascii="Times New Roman" w:hAnsi="Times New Roman" w:cs="Times New Roman"/>
          <w:i/>
          <w:iCs/>
          <w:color w:val="555555"/>
          <w:sz w:val="24"/>
          <w:szCs w:val="24"/>
          <w:shd w:val="clear" w:color="auto" w:fill="FFFFFF"/>
        </w:rPr>
        <w:t>Antichthon, </w:t>
      </w:r>
      <w:r w:rsidRPr="008270CA">
        <w:rPr>
          <w:rFonts w:ascii="Times New Roman" w:hAnsi="Times New Roman" w:cs="Times New Roman"/>
          <w:color w:val="555555"/>
          <w:sz w:val="24"/>
          <w:szCs w:val="24"/>
          <w:shd w:val="clear" w:color="auto" w:fill="FFFFFF"/>
        </w:rPr>
        <w:t>173-190,</w:t>
      </w:r>
      <w:r w:rsidR="008270CA">
        <w:rPr>
          <w:rFonts w:ascii="Times New Roman" w:hAnsi="Times New Roman" w:cs="Times New Roman"/>
          <w:color w:val="555555"/>
          <w:sz w:val="24"/>
          <w:szCs w:val="24"/>
          <w:shd w:val="clear" w:color="auto" w:fill="FFFFFF"/>
        </w:rPr>
        <w:t xml:space="preserve"> </w:t>
      </w:r>
      <w:r w:rsidR="00E2126B">
        <w:rPr>
          <w:rFonts w:ascii="Times New Roman" w:hAnsi="Times New Roman" w:cs="Times New Roman"/>
          <w:color w:val="555555"/>
          <w:sz w:val="24"/>
          <w:szCs w:val="24"/>
          <w:shd w:val="clear" w:color="auto" w:fill="FFFFFF"/>
        </w:rPr>
        <w:t>219</w:t>
      </w:r>
    </w:p>
    <w:p w14:paraId="67F97202" w14:textId="77777777" w:rsidR="00A726C1" w:rsidRPr="00A726C1" w:rsidRDefault="00A726C1" w:rsidP="007C27FD">
      <w:pPr>
        <w:pStyle w:val="Heading1"/>
        <w:shd w:val="clear" w:color="auto" w:fill="FFFFFF"/>
        <w:spacing w:before="0" w:line="480" w:lineRule="auto"/>
        <w:rPr>
          <w:rFonts w:ascii="Times New Roman" w:hAnsi="Times New Roman" w:cs="Times New Roman"/>
          <w:color w:val="32322F"/>
          <w:sz w:val="24"/>
          <w:szCs w:val="24"/>
        </w:rPr>
      </w:pPr>
      <w:r w:rsidRPr="00A726C1">
        <w:rPr>
          <w:rFonts w:ascii="Times New Roman" w:hAnsi="Times New Roman" w:cs="Times New Roman"/>
          <w:bCs/>
          <w:color w:val="32322F"/>
          <w:sz w:val="24"/>
          <w:szCs w:val="24"/>
        </w:rPr>
        <w:t>Fischer - Bovet, C. 2015. ‘</w:t>
      </w:r>
      <w:r w:rsidRPr="00A726C1">
        <w:rPr>
          <w:rFonts w:ascii="Times New Roman" w:hAnsi="Times New Roman" w:cs="Times New Roman"/>
          <w:color w:val="32322F"/>
          <w:sz w:val="24"/>
          <w:szCs w:val="24"/>
        </w:rPr>
        <w:t xml:space="preserve">Social Unrest and Ethnic Coexistence in Ptolemaic Egypt and the Seleucid Empire’, </w:t>
      </w:r>
      <w:r w:rsidRPr="00A726C1">
        <w:rPr>
          <w:rFonts w:ascii="Times New Roman" w:hAnsi="Times New Roman" w:cs="Times New Roman"/>
          <w:i/>
          <w:color w:val="32322F"/>
          <w:sz w:val="24"/>
          <w:szCs w:val="24"/>
          <w:shd w:val="clear" w:color="auto" w:fill="FFFFFF"/>
        </w:rPr>
        <w:t>Past &amp; Present</w:t>
      </w:r>
      <w:r w:rsidRPr="00A726C1">
        <w:rPr>
          <w:rFonts w:ascii="Times New Roman" w:hAnsi="Times New Roman" w:cs="Times New Roman"/>
          <w:color w:val="32322F"/>
          <w:sz w:val="24"/>
          <w:szCs w:val="24"/>
          <w:shd w:val="clear" w:color="auto" w:fill="FFFFFF"/>
        </w:rPr>
        <w:t>, 229,1. 3-45</w:t>
      </w:r>
      <w:r w:rsidRPr="00A726C1">
        <w:rPr>
          <w:rFonts w:ascii="Times New Roman" w:hAnsi="Times New Roman" w:cs="Times New Roman"/>
          <w:color w:val="32322F"/>
          <w:sz w:val="24"/>
          <w:szCs w:val="24"/>
        </w:rPr>
        <w:t> </w:t>
      </w:r>
    </w:p>
    <w:p w14:paraId="67979B47" w14:textId="77777777" w:rsidR="00F74D6A" w:rsidRPr="00452F53" w:rsidRDefault="00F74D6A" w:rsidP="007C27FD">
      <w:pPr>
        <w:spacing w:line="480" w:lineRule="auto"/>
        <w:rPr>
          <w:rFonts w:ascii="Times New Roman" w:hAnsi="Times New Roman" w:cs="Times New Roman"/>
          <w:color w:val="000000" w:themeColor="text1"/>
          <w:sz w:val="24"/>
          <w:szCs w:val="24"/>
        </w:rPr>
      </w:pPr>
    </w:p>
    <w:p w14:paraId="3E2CE9DB" w14:textId="77777777" w:rsidR="00551BD8" w:rsidRDefault="00551BD8" w:rsidP="007C27FD">
      <w:pPr>
        <w:pStyle w:val="Heading1"/>
        <w:shd w:val="clear" w:color="auto" w:fill="FFFFFF"/>
        <w:spacing w:before="0" w:line="480" w:lineRule="auto"/>
        <w:rPr>
          <w:rFonts w:ascii="Times New Roman" w:eastAsia="Times New Roman" w:hAnsi="Times New Roman" w:cs="Times New Roman"/>
          <w:color w:val="32322F"/>
          <w:sz w:val="24"/>
          <w:szCs w:val="24"/>
          <w:bdr w:val="none" w:sz="0" w:space="0" w:color="auto" w:frame="1"/>
          <w:shd w:val="clear" w:color="auto" w:fill="FFFFFF"/>
          <w:lang w:eastAsia="en-GB"/>
        </w:rPr>
      </w:pPr>
      <w:r w:rsidRPr="00486C17">
        <w:rPr>
          <w:rFonts w:ascii="Times New Roman" w:eastAsia="Times New Roman" w:hAnsi="Times New Roman" w:cs="Times New Roman"/>
          <w:color w:val="32322F"/>
          <w:sz w:val="24"/>
          <w:szCs w:val="24"/>
          <w:lang w:eastAsia="en-GB"/>
        </w:rPr>
        <w:t xml:space="preserve">Grabbe, L. 1991. </w:t>
      </w:r>
      <w:r w:rsidR="00E24BAB">
        <w:rPr>
          <w:rFonts w:ascii="Times New Roman" w:eastAsia="Times New Roman" w:hAnsi="Times New Roman" w:cs="Times New Roman"/>
          <w:color w:val="32322F"/>
          <w:sz w:val="24"/>
          <w:szCs w:val="24"/>
          <w:lang w:eastAsia="en-GB"/>
        </w:rPr>
        <w:t>‘</w:t>
      </w:r>
      <w:r w:rsidRPr="00486C17">
        <w:rPr>
          <w:rFonts w:ascii="Times New Roman" w:eastAsia="Times New Roman" w:hAnsi="Times New Roman" w:cs="Times New Roman"/>
          <w:color w:val="32322F"/>
          <w:sz w:val="24"/>
          <w:szCs w:val="24"/>
          <w:lang w:eastAsia="en-GB"/>
        </w:rPr>
        <w:t xml:space="preserve">Maccabean Chronology: </w:t>
      </w:r>
      <w:r w:rsidRPr="00486C17">
        <w:rPr>
          <w:rFonts w:ascii="Times New Roman" w:hAnsi="Times New Roman" w:cs="Times New Roman"/>
          <w:color w:val="32322F"/>
          <w:sz w:val="24"/>
          <w:szCs w:val="24"/>
        </w:rPr>
        <w:t>167-164 or 168-165 BCE</w:t>
      </w:r>
      <w:r w:rsidR="00E24BAB">
        <w:rPr>
          <w:rFonts w:ascii="Times New Roman" w:hAnsi="Times New Roman" w:cs="Times New Roman"/>
          <w:color w:val="32322F"/>
          <w:sz w:val="24"/>
          <w:szCs w:val="24"/>
        </w:rPr>
        <w:t>’</w:t>
      </w:r>
      <w:r w:rsidRPr="00486C17">
        <w:rPr>
          <w:rFonts w:ascii="Times New Roman" w:hAnsi="Times New Roman" w:cs="Times New Roman"/>
          <w:color w:val="32322F"/>
          <w:sz w:val="24"/>
          <w:szCs w:val="24"/>
        </w:rPr>
        <w:t xml:space="preserve">. </w:t>
      </w:r>
      <w:r w:rsidRPr="00486C17">
        <w:rPr>
          <w:rFonts w:ascii="Times New Roman" w:eastAsia="Times New Roman" w:hAnsi="Times New Roman" w:cs="Times New Roman"/>
          <w:i/>
          <w:color w:val="32322F"/>
          <w:sz w:val="24"/>
          <w:szCs w:val="24"/>
          <w:bdr w:val="none" w:sz="0" w:space="0" w:color="auto" w:frame="1"/>
          <w:shd w:val="clear" w:color="auto" w:fill="FFFFFF"/>
          <w:lang w:eastAsia="en-GB"/>
        </w:rPr>
        <w:t>Journal of Biblical Literature</w:t>
      </w:r>
      <w:r w:rsidRPr="00486C17">
        <w:rPr>
          <w:rFonts w:ascii="Times New Roman" w:eastAsia="Times New Roman" w:hAnsi="Times New Roman" w:cs="Times New Roman"/>
          <w:color w:val="32322F"/>
          <w:sz w:val="24"/>
          <w:szCs w:val="24"/>
          <w:bdr w:val="none" w:sz="0" w:space="0" w:color="auto" w:frame="1"/>
          <w:shd w:val="clear" w:color="auto" w:fill="FFFFFF"/>
          <w:lang w:eastAsia="en-GB"/>
        </w:rPr>
        <w:t>, 110,1.</w:t>
      </w:r>
      <w:r w:rsidR="00486C17">
        <w:rPr>
          <w:rFonts w:ascii="Times New Roman" w:eastAsia="Times New Roman" w:hAnsi="Times New Roman" w:cs="Times New Roman"/>
          <w:color w:val="32322F"/>
          <w:sz w:val="24"/>
          <w:szCs w:val="24"/>
          <w:bdr w:val="none" w:sz="0" w:space="0" w:color="auto" w:frame="1"/>
          <w:shd w:val="clear" w:color="auto" w:fill="FFFFFF"/>
          <w:lang w:eastAsia="en-GB"/>
        </w:rPr>
        <w:t xml:space="preserve"> </w:t>
      </w:r>
      <w:r w:rsidRPr="00486C17">
        <w:rPr>
          <w:rFonts w:ascii="Times New Roman" w:eastAsia="Times New Roman" w:hAnsi="Times New Roman" w:cs="Times New Roman"/>
          <w:color w:val="32322F"/>
          <w:sz w:val="24"/>
          <w:szCs w:val="24"/>
          <w:bdr w:val="none" w:sz="0" w:space="0" w:color="auto" w:frame="1"/>
          <w:shd w:val="clear" w:color="auto" w:fill="FFFFFF"/>
          <w:lang w:eastAsia="en-GB"/>
        </w:rPr>
        <w:t xml:space="preserve">59 </w:t>
      </w:r>
      <w:r w:rsidR="00486C17">
        <w:rPr>
          <w:rFonts w:ascii="Times New Roman" w:eastAsia="Times New Roman" w:hAnsi="Times New Roman" w:cs="Times New Roman"/>
          <w:color w:val="32322F"/>
          <w:sz w:val="24"/>
          <w:szCs w:val="24"/>
          <w:bdr w:val="none" w:sz="0" w:space="0" w:color="auto" w:frame="1"/>
          <w:shd w:val="clear" w:color="auto" w:fill="FFFFFF"/>
          <w:lang w:eastAsia="en-GB"/>
        </w:rPr>
        <w:t>–</w:t>
      </w:r>
      <w:r w:rsidRPr="00486C17">
        <w:rPr>
          <w:rFonts w:ascii="Times New Roman" w:eastAsia="Times New Roman" w:hAnsi="Times New Roman" w:cs="Times New Roman"/>
          <w:color w:val="32322F"/>
          <w:sz w:val="24"/>
          <w:szCs w:val="24"/>
          <w:bdr w:val="none" w:sz="0" w:space="0" w:color="auto" w:frame="1"/>
          <w:shd w:val="clear" w:color="auto" w:fill="FFFFFF"/>
          <w:lang w:eastAsia="en-GB"/>
        </w:rPr>
        <w:t xml:space="preserve"> </w:t>
      </w:r>
      <w:r w:rsidR="00486C17">
        <w:rPr>
          <w:rFonts w:ascii="Times New Roman" w:eastAsia="Times New Roman" w:hAnsi="Times New Roman" w:cs="Times New Roman"/>
          <w:color w:val="32322F"/>
          <w:sz w:val="24"/>
          <w:szCs w:val="24"/>
          <w:bdr w:val="none" w:sz="0" w:space="0" w:color="auto" w:frame="1"/>
          <w:shd w:val="clear" w:color="auto" w:fill="FFFFFF"/>
          <w:lang w:eastAsia="en-GB"/>
        </w:rPr>
        <w:t>74</w:t>
      </w:r>
    </w:p>
    <w:p w14:paraId="5C144216" w14:textId="77777777" w:rsidR="00486C17" w:rsidRDefault="00486C17" w:rsidP="007C27FD">
      <w:pPr>
        <w:spacing w:line="480" w:lineRule="auto"/>
        <w:rPr>
          <w:rFonts w:ascii="Times New Roman" w:hAnsi="Times New Roman" w:cs="Times New Roman"/>
          <w:color w:val="000000" w:themeColor="text1"/>
          <w:sz w:val="24"/>
          <w:szCs w:val="24"/>
        </w:rPr>
      </w:pPr>
    </w:p>
    <w:p w14:paraId="1038236E" w14:textId="77777777" w:rsidR="009A3142" w:rsidRDefault="009A3142" w:rsidP="007C27F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Honigman, S. 2014. </w:t>
      </w:r>
      <w:r w:rsidR="00551BD8">
        <w:rPr>
          <w:rFonts w:ascii="Times New Roman" w:hAnsi="Times New Roman" w:cs="Times New Roman"/>
          <w:i/>
          <w:color w:val="000000" w:themeColor="text1"/>
          <w:sz w:val="24"/>
          <w:szCs w:val="24"/>
        </w:rPr>
        <w:t xml:space="preserve">Tales of High Priests and Taxes: The Books of the Maccabees and the Judean Rebellion against Antiochus IV. </w:t>
      </w:r>
      <w:r w:rsidR="00551BD8">
        <w:rPr>
          <w:rFonts w:ascii="Times New Roman" w:hAnsi="Times New Roman" w:cs="Times New Roman"/>
          <w:color w:val="000000" w:themeColor="text1"/>
          <w:sz w:val="24"/>
          <w:szCs w:val="24"/>
        </w:rPr>
        <w:t>Oakland, CA.: University of California Press</w:t>
      </w:r>
    </w:p>
    <w:p w14:paraId="54B3F9D8" w14:textId="77777777" w:rsidR="00E24BAB" w:rsidRDefault="00E24BAB" w:rsidP="007C27FD">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Kosmin</w:t>
      </w:r>
      <w:r w:rsidRPr="00E24BAB">
        <w:rPr>
          <w:rFonts w:ascii="Times New Roman" w:hAnsi="Times New Roman" w:cs="Times New Roman"/>
          <w:color w:val="000000" w:themeColor="text1"/>
          <w:sz w:val="24"/>
          <w:szCs w:val="24"/>
        </w:rPr>
        <w:t>, P</w:t>
      </w:r>
      <w:r>
        <w:rPr>
          <w:rFonts w:ascii="Times New Roman" w:hAnsi="Times New Roman" w:cs="Times New Roman"/>
          <w:color w:val="000000" w:themeColor="text1"/>
          <w:sz w:val="24"/>
          <w:szCs w:val="24"/>
        </w:rPr>
        <w:t>.</w:t>
      </w:r>
      <w:r w:rsidRPr="00E24BAB">
        <w:rPr>
          <w:rFonts w:ascii="Times New Roman" w:hAnsi="Times New Roman" w:cs="Times New Roman"/>
          <w:color w:val="000000" w:themeColor="text1"/>
          <w:sz w:val="24"/>
          <w:szCs w:val="24"/>
        </w:rPr>
        <w:t xml:space="preserve"> 2016, 'I</w:t>
      </w:r>
      <w:r>
        <w:rPr>
          <w:rFonts w:ascii="Times New Roman" w:hAnsi="Times New Roman" w:cs="Times New Roman"/>
          <w:color w:val="000000" w:themeColor="text1"/>
          <w:sz w:val="24"/>
          <w:szCs w:val="24"/>
        </w:rPr>
        <w:t>ndigenous</w:t>
      </w:r>
      <w:r w:rsidRPr="00E24BA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Revolts in</w:t>
      </w:r>
      <w:r w:rsidRPr="00E24BAB">
        <w:rPr>
          <w:rFonts w:ascii="Times New Roman" w:hAnsi="Times New Roman" w:cs="Times New Roman"/>
          <w:color w:val="000000" w:themeColor="text1"/>
          <w:sz w:val="24"/>
          <w:szCs w:val="24"/>
        </w:rPr>
        <w:t xml:space="preserve"> 2 M</w:t>
      </w:r>
      <w:r>
        <w:rPr>
          <w:rFonts w:ascii="Times New Roman" w:hAnsi="Times New Roman" w:cs="Times New Roman"/>
          <w:color w:val="000000" w:themeColor="text1"/>
          <w:sz w:val="24"/>
          <w:szCs w:val="24"/>
        </w:rPr>
        <w:t>accabees</w:t>
      </w:r>
      <w:r w:rsidRPr="00E24BAB">
        <w:rPr>
          <w:rFonts w:ascii="Times New Roman" w:hAnsi="Times New Roman" w:cs="Times New Roman"/>
          <w:color w:val="000000" w:themeColor="text1"/>
          <w:sz w:val="24"/>
          <w:szCs w:val="24"/>
        </w:rPr>
        <w:t>: T</w:t>
      </w:r>
      <w:r>
        <w:rPr>
          <w:rFonts w:ascii="Times New Roman" w:hAnsi="Times New Roman" w:cs="Times New Roman"/>
          <w:color w:val="000000" w:themeColor="text1"/>
          <w:sz w:val="24"/>
          <w:szCs w:val="24"/>
        </w:rPr>
        <w:t xml:space="preserve">he </w:t>
      </w:r>
      <w:r w:rsidRPr="00E24BAB">
        <w:rPr>
          <w:rFonts w:ascii="Times New Roman" w:hAnsi="Times New Roman" w:cs="Times New Roman"/>
          <w:color w:val="000000" w:themeColor="text1"/>
          <w:sz w:val="24"/>
          <w:szCs w:val="24"/>
        </w:rPr>
        <w:t>P</w:t>
      </w:r>
      <w:r>
        <w:rPr>
          <w:rFonts w:ascii="Times New Roman" w:hAnsi="Times New Roman" w:cs="Times New Roman"/>
          <w:color w:val="000000" w:themeColor="text1"/>
          <w:sz w:val="24"/>
          <w:szCs w:val="24"/>
        </w:rPr>
        <w:t>ersian</w:t>
      </w:r>
      <w:r w:rsidRPr="00E24BAB">
        <w:rPr>
          <w:rFonts w:ascii="Times New Roman" w:hAnsi="Times New Roman" w:cs="Times New Roman"/>
          <w:color w:val="000000" w:themeColor="text1"/>
          <w:sz w:val="24"/>
          <w:szCs w:val="24"/>
        </w:rPr>
        <w:t xml:space="preserve"> V</w:t>
      </w:r>
      <w:r>
        <w:rPr>
          <w:rFonts w:ascii="Times New Roman" w:hAnsi="Times New Roman" w:cs="Times New Roman"/>
          <w:color w:val="000000" w:themeColor="text1"/>
          <w:sz w:val="24"/>
          <w:szCs w:val="24"/>
        </w:rPr>
        <w:t>ersion</w:t>
      </w:r>
      <w:r w:rsidRPr="00E24BAB">
        <w:rPr>
          <w:rFonts w:ascii="Times New Roman" w:hAnsi="Times New Roman" w:cs="Times New Roman"/>
          <w:color w:val="000000" w:themeColor="text1"/>
          <w:sz w:val="24"/>
          <w:szCs w:val="24"/>
        </w:rPr>
        <w:t xml:space="preserve">', </w:t>
      </w:r>
      <w:r w:rsidRPr="00E24BAB">
        <w:rPr>
          <w:rFonts w:ascii="Times New Roman" w:hAnsi="Times New Roman" w:cs="Times New Roman"/>
          <w:i/>
          <w:color w:val="000000" w:themeColor="text1"/>
          <w:sz w:val="24"/>
          <w:szCs w:val="24"/>
        </w:rPr>
        <w:t>Classical Philology</w:t>
      </w:r>
      <w:r>
        <w:rPr>
          <w:rFonts w:ascii="Times New Roman" w:hAnsi="Times New Roman" w:cs="Times New Roman"/>
          <w:color w:val="000000" w:themeColor="text1"/>
          <w:sz w:val="24"/>
          <w:szCs w:val="24"/>
        </w:rPr>
        <w:t>, 111,1. 32-53</w:t>
      </w:r>
    </w:p>
    <w:p w14:paraId="1784A6DE" w14:textId="77777777" w:rsidR="00452F53" w:rsidRDefault="00E24BAB" w:rsidP="007C27FD">
      <w:pPr>
        <w:pStyle w:val="Heading1"/>
        <w:shd w:val="clear" w:color="auto" w:fill="FFFFFF"/>
        <w:spacing w:before="0" w:line="480" w:lineRule="auto"/>
        <w:rPr>
          <w:rFonts w:ascii="Times New Roman" w:hAnsi="Times New Roman" w:cs="Times New Roman"/>
          <w:color w:val="32322F"/>
          <w:sz w:val="24"/>
          <w:szCs w:val="24"/>
          <w:shd w:val="clear" w:color="auto" w:fill="FFFFFF"/>
        </w:rPr>
      </w:pPr>
      <w:r>
        <w:rPr>
          <w:rFonts w:ascii="Times New Roman" w:hAnsi="Times New Roman" w:cs="Times New Roman"/>
          <w:color w:val="000000" w:themeColor="text1"/>
          <w:sz w:val="24"/>
          <w:szCs w:val="24"/>
        </w:rPr>
        <w:t xml:space="preserve">Mendels, D. 2011. </w:t>
      </w:r>
      <w:r w:rsidRPr="00452F53">
        <w:rPr>
          <w:rFonts w:ascii="Times New Roman" w:hAnsi="Times New Roman" w:cs="Times New Roman"/>
          <w:color w:val="000000" w:themeColor="text1"/>
          <w:sz w:val="24"/>
          <w:szCs w:val="24"/>
        </w:rPr>
        <w:t>‘</w:t>
      </w:r>
      <w:r w:rsidR="00452F53" w:rsidRPr="00452F53">
        <w:rPr>
          <w:rFonts w:ascii="Times New Roman" w:hAnsi="Times New Roman" w:cs="Times New Roman"/>
          <w:color w:val="32322F"/>
          <w:sz w:val="24"/>
          <w:szCs w:val="24"/>
        </w:rPr>
        <w:t xml:space="preserve">Was the Rejection of Gifts One of the </w:t>
      </w:r>
      <w:r w:rsidR="00E2126B">
        <w:rPr>
          <w:rFonts w:ascii="Times New Roman" w:hAnsi="Times New Roman" w:cs="Times New Roman"/>
          <w:color w:val="32322F"/>
          <w:sz w:val="24"/>
          <w:szCs w:val="24"/>
        </w:rPr>
        <w:t>Reasons for the Outbreak of the Maccabean Revolt</w:t>
      </w:r>
      <w:r w:rsidR="00452F53" w:rsidRPr="00452F53">
        <w:rPr>
          <w:rFonts w:ascii="Times New Roman" w:hAnsi="Times New Roman" w:cs="Times New Roman"/>
          <w:color w:val="32322F"/>
          <w:sz w:val="24"/>
          <w:szCs w:val="24"/>
        </w:rPr>
        <w:t xml:space="preserve">? A Preliminary Note on the Role of Gifting in the Book of 1 Maccabees.’ </w:t>
      </w:r>
      <w:r w:rsidR="00452F53" w:rsidRPr="00452F53">
        <w:rPr>
          <w:rFonts w:ascii="Times New Roman" w:hAnsi="Times New Roman" w:cs="Times New Roman"/>
          <w:i/>
          <w:color w:val="32322F"/>
          <w:sz w:val="24"/>
          <w:szCs w:val="24"/>
          <w:shd w:val="clear" w:color="auto" w:fill="FFFFFF"/>
        </w:rPr>
        <w:t>Journal for the Study of the Pseudepigrapha</w:t>
      </w:r>
      <w:r w:rsidR="00452F53" w:rsidRPr="00452F53">
        <w:rPr>
          <w:rFonts w:ascii="Times New Roman" w:hAnsi="Times New Roman" w:cs="Times New Roman"/>
          <w:color w:val="32322F"/>
          <w:sz w:val="24"/>
          <w:szCs w:val="24"/>
          <w:shd w:val="clear" w:color="auto" w:fill="FFFFFF"/>
        </w:rPr>
        <w:t>, 20,4. 243-257</w:t>
      </w:r>
    </w:p>
    <w:p w14:paraId="57024C7E" w14:textId="77777777" w:rsidR="00F74D6A" w:rsidRDefault="00F74D6A" w:rsidP="007C27FD">
      <w:pPr>
        <w:spacing w:line="480" w:lineRule="auto"/>
      </w:pPr>
    </w:p>
    <w:p w14:paraId="0E3D604F" w14:textId="77777777" w:rsidR="00452F53" w:rsidRPr="008270CA" w:rsidRDefault="00F74D6A" w:rsidP="007C27FD">
      <w:pPr>
        <w:spacing w:line="480" w:lineRule="auto"/>
        <w:rPr>
          <w:rFonts w:ascii="Times New Roman" w:hAnsi="Times New Roman" w:cs="Times New Roman"/>
          <w:color w:val="000000" w:themeColor="text1"/>
          <w:sz w:val="24"/>
          <w:szCs w:val="24"/>
        </w:rPr>
      </w:pPr>
      <w:r w:rsidRPr="00F74D6A">
        <w:rPr>
          <w:rFonts w:ascii="Times New Roman" w:hAnsi="Times New Roman" w:cs="Times New Roman"/>
          <w:color w:val="000000" w:themeColor="text1"/>
          <w:sz w:val="24"/>
          <w:szCs w:val="24"/>
        </w:rPr>
        <w:t xml:space="preserve">Nadooshan, F, Moosavi, S, &amp; Pour, F 2005, 'The politics of Parthian coinage in Media', </w:t>
      </w:r>
      <w:r w:rsidRPr="00F74D6A">
        <w:rPr>
          <w:rFonts w:ascii="Times New Roman" w:hAnsi="Times New Roman" w:cs="Times New Roman"/>
          <w:i/>
          <w:color w:val="000000" w:themeColor="text1"/>
          <w:sz w:val="24"/>
          <w:szCs w:val="24"/>
        </w:rPr>
        <w:t>Near Eastern Archaeology</w:t>
      </w:r>
      <w:r>
        <w:rPr>
          <w:rFonts w:ascii="Times New Roman" w:hAnsi="Times New Roman" w:cs="Times New Roman"/>
          <w:color w:val="000000" w:themeColor="text1"/>
          <w:sz w:val="24"/>
          <w:szCs w:val="24"/>
        </w:rPr>
        <w:t>, 68,3</w:t>
      </w:r>
      <w:r w:rsidRPr="00F74D6A">
        <w:rPr>
          <w:rFonts w:ascii="Times New Roman" w:hAnsi="Times New Roman" w:cs="Times New Roman"/>
          <w:color w:val="000000" w:themeColor="text1"/>
          <w:sz w:val="24"/>
          <w:szCs w:val="24"/>
        </w:rPr>
        <w:t>. 123-127</w:t>
      </w:r>
    </w:p>
    <w:p w14:paraId="63A464B4" w14:textId="77777777" w:rsidR="008270CA" w:rsidRDefault="00452F53" w:rsidP="007C27FD">
      <w:pPr>
        <w:spacing w:line="480" w:lineRule="auto"/>
        <w:rPr>
          <w:rFonts w:ascii="Verdana" w:hAnsi="Verdana"/>
          <w:color w:val="555555"/>
          <w:sz w:val="18"/>
          <w:szCs w:val="18"/>
          <w:shd w:val="clear" w:color="auto" w:fill="FFFFFF"/>
        </w:rPr>
      </w:pPr>
      <w:r w:rsidRPr="00452F53">
        <w:rPr>
          <w:rFonts w:ascii="Times New Roman" w:hAnsi="Times New Roman" w:cs="Times New Roman"/>
          <w:color w:val="000000"/>
          <w:sz w:val="24"/>
          <w:szCs w:val="24"/>
          <w:shd w:val="clear" w:color="auto" w:fill="FFFFFF"/>
        </w:rPr>
        <w:t xml:space="preserve">Rooke, D. 2000. </w:t>
      </w:r>
      <w:r w:rsidRPr="00452F53">
        <w:rPr>
          <w:rFonts w:ascii="Times New Roman" w:hAnsi="Times New Roman" w:cs="Times New Roman"/>
          <w:i/>
          <w:color w:val="000000"/>
          <w:sz w:val="24"/>
          <w:szCs w:val="24"/>
          <w:shd w:val="clear" w:color="auto" w:fill="FFFFFF"/>
        </w:rPr>
        <w:t>Zadok's Heirs: The Role and Development of the High Priesthood in Ancient Israel.</w:t>
      </w:r>
      <w:r w:rsidRPr="00452F53">
        <w:rPr>
          <w:rFonts w:ascii="Times New Roman" w:hAnsi="Times New Roman" w:cs="Times New Roman"/>
          <w:color w:val="000000"/>
          <w:sz w:val="24"/>
          <w:szCs w:val="24"/>
          <w:shd w:val="clear" w:color="auto" w:fill="FFFFFF"/>
        </w:rPr>
        <w:t xml:space="preserve"> Oxford: Oxford University Press</w:t>
      </w:r>
      <w:r w:rsidR="008270CA" w:rsidRPr="008270CA">
        <w:rPr>
          <w:rFonts w:ascii="Verdana" w:hAnsi="Verdana"/>
          <w:color w:val="555555"/>
          <w:sz w:val="18"/>
          <w:szCs w:val="18"/>
          <w:shd w:val="clear" w:color="auto" w:fill="FFFFFF"/>
        </w:rPr>
        <w:t xml:space="preserve"> </w:t>
      </w:r>
    </w:p>
    <w:p w14:paraId="34B83B76" w14:textId="77777777" w:rsidR="000C7C14" w:rsidRPr="000C7C14" w:rsidRDefault="000C7C14" w:rsidP="007C27FD">
      <w:pPr>
        <w:pStyle w:val="Heading1"/>
        <w:shd w:val="clear" w:color="auto" w:fill="FFFFFF"/>
        <w:spacing w:before="0" w:line="480" w:lineRule="auto"/>
        <w:rPr>
          <w:rFonts w:ascii="Times New Roman" w:hAnsi="Times New Roman" w:cs="Times New Roman"/>
          <w:color w:val="002F36"/>
          <w:sz w:val="24"/>
          <w:szCs w:val="24"/>
        </w:rPr>
      </w:pPr>
      <w:r>
        <w:rPr>
          <w:rStyle w:val="a-size-large"/>
          <w:rFonts w:ascii="Times New Roman" w:hAnsi="Times New Roman" w:cs="Times New Roman"/>
          <w:color w:val="002F36"/>
          <w:sz w:val="24"/>
          <w:szCs w:val="24"/>
        </w:rPr>
        <w:lastRenderedPageBreak/>
        <w:t xml:space="preserve">Salway, B. Wees, H. van. (eds.). 2017. </w:t>
      </w:r>
      <w:r w:rsidRPr="000C7C14">
        <w:rPr>
          <w:rStyle w:val="a-size-large"/>
          <w:rFonts w:ascii="Times New Roman" w:hAnsi="Times New Roman" w:cs="Times New Roman"/>
          <w:i/>
          <w:color w:val="002F36"/>
          <w:sz w:val="24"/>
          <w:szCs w:val="24"/>
        </w:rPr>
        <w:t>Atlas of Classical History</w:t>
      </w:r>
      <w:r>
        <w:rPr>
          <w:rStyle w:val="a-size-large"/>
          <w:rFonts w:ascii="Times New Roman" w:hAnsi="Times New Roman" w:cs="Times New Roman"/>
          <w:color w:val="002F36"/>
          <w:sz w:val="24"/>
          <w:szCs w:val="24"/>
        </w:rPr>
        <w:t>. London: Routledge  (publication date 1/12/17)</w:t>
      </w:r>
    </w:p>
    <w:p w14:paraId="1ACDF131" w14:textId="77777777" w:rsidR="000C7C14" w:rsidRPr="00E2126B" w:rsidRDefault="000C7C14" w:rsidP="007C27FD">
      <w:pPr>
        <w:spacing w:line="480" w:lineRule="auto"/>
        <w:rPr>
          <w:rFonts w:ascii="Times New Roman" w:hAnsi="Times New Roman" w:cs="Times New Roman"/>
          <w:sz w:val="24"/>
          <w:szCs w:val="24"/>
        </w:rPr>
      </w:pPr>
    </w:p>
    <w:p w14:paraId="69AA97AD" w14:textId="77777777" w:rsidR="00486C17" w:rsidRDefault="00486C17" w:rsidP="007C27FD">
      <w:pPr>
        <w:spacing w:line="480" w:lineRule="auto"/>
        <w:rPr>
          <w:rFonts w:ascii="Times New Roman" w:hAnsi="Times New Roman" w:cs="Times New Roman"/>
          <w:color w:val="32322F"/>
          <w:sz w:val="24"/>
          <w:szCs w:val="24"/>
          <w:shd w:val="clear" w:color="auto" w:fill="FFFFFF"/>
        </w:rPr>
      </w:pPr>
      <w:r w:rsidRPr="00486C17">
        <w:rPr>
          <w:rFonts w:ascii="Times New Roman" w:hAnsi="Times New Roman" w:cs="Times New Roman"/>
          <w:color w:val="000000" w:themeColor="text1"/>
          <w:sz w:val="24"/>
          <w:szCs w:val="24"/>
        </w:rPr>
        <w:t xml:space="preserve">Shanks, H. 2008. </w:t>
      </w:r>
      <w:r w:rsidR="00E24BAB">
        <w:rPr>
          <w:rFonts w:ascii="Times New Roman" w:hAnsi="Times New Roman" w:cs="Times New Roman"/>
          <w:color w:val="000000" w:themeColor="text1"/>
          <w:sz w:val="24"/>
          <w:szCs w:val="24"/>
        </w:rPr>
        <w:t>‘</w:t>
      </w:r>
      <w:r w:rsidRPr="00486C17">
        <w:rPr>
          <w:rFonts w:ascii="Times New Roman" w:hAnsi="Times New Roman" w:cs="Times New Roman"/>
          <w:color w:val="32322F"/>
          <w:sz w:val="24"/>
          <w:szCs w:val="24"/>
          <w:shd w:val="clear" w:color="auto" w:fill="FFFFFF"/>
        </w:rPr>
        <w:t>Inscription Reveals Roots of Maccabean Revolt.</w:t>
      </w:r>
      <w:r w:rsidR="00E24BAB">
        <w:rPr>
          <w:rFonts w:ascii="Times New Roman" w:hAnsi="Times New Roman" w:cs="Times New Roman"/>
          <w:color w:val="32322F"/>
          <w:sz w:val="24"/>
          <w:szCs w:val="24"/>
          <w:shd w:val="clear" w:color="auto" w:fill="FFFFFF"/>
        </w:rPr>
        <w:t>’</w:t>
      </w:r>
      <w:r w:rsidRPr="00486C17">
        <w:rPr>
          <w:rFonts w:ascii="Times New Roman" w:hAnsi="Times New Roman" w:cs="Times New Roman"/>
          <w:color w:val="32322F"/>
          <w:sz w:val="24"/>
          <w:szCs w:val="24"/>
          <w:shd w:val="clear" w:color="auto" w:fill="FFFFFF"/>
        </w:rPr>
        <w:t xml:space="preserve"> </w:t>
      </w:r>
      <w:r w:rsidRPr="00486C17">
        <w:rPr>
          <w:rStyle w:val="exldetailsdisplayval"/>
          <w:rFonts w:ascii="Times New Roman" w:hAnsi="Times New Roman" w:cs="Times New Roman"/>
          <w:i/>
          <w:color w:val="32322F"/>
          <w:sz w:val="24"/>
          <w:szCs w:val="24"/>
          <w:bdr w:val="none" w:sz="0" w:space="0" w:color="auto" w:frame="1"/>
          <w:shd w:val="clear" w:color="auto" w:fill="FFFFFF"/>
        </w:rPr>
        <w:t>Biblical Archaeology Review</w:t>
      </w:r>
      <w:r w:rsidRPr="00486C17">
        <w:rPr>
          <w:rStyle w:val="exldetailsdisplayval"/>
          <w:rFonts w:ascii="Times New Roman" w:hAnsi="Times New Roman" w:cs="Times New Roman"/>
          <w:color w:val="32322F"/>
          <w:sz w:val="24"/>
          <w:szCs w:val="24"/>
          <w:bdr w:val="none" w:sz="0" w:space="0" w:color="auto" w:frame="1"/>
          <w:shd w:val="clear" w:color="auto" w:fill="FFFFFF"/>
        </w:rPr>
        <w:t>,</w:t>
      </w:r>
      <w:r w:rsidR="00E24BAB">
        <w:rPr>
          <w:rStyle w:val="exldetailsdisplayval"/>
          <w:rFonts w:ascii="Times New Roman" w:hAnsi="Times New Roman" w:cs="Times New Roman"/>
          <w:color w:val="32322F"/>
          <w:sz w:val="24"/>
          <w:szCs w:val="24"/>
          <w:bdr w:val="none" w:sz="0" w:space="0" w:color="auto" w:frame="1"/>
          <w:shd w:val="clear" w:color="auto" w:fill="FFFFFF"/>
        </w:rPr>
        <w:t xml:space="preserve"> </w:t>
      </w:r>
      <w:r w:rsidRPr="00486C17">
        <w:rPr>
          <w:rStyle w:val="exldetailsdisplayval"/>
          <w:rFonts w:ascii="Times New Roman" w:hAnsi="Times New Roman" w:cs="Times New Roman"/>
          <w:color w:val="32322F"/>
          <w:sz w:val="24"/>
          <w:szCs w:val="24"/>
          <w:bdr w:val="none" w:sz="0" w:space="0" w:color="auto" w:frame="1"/>
          <w:shd w:val="clear" w:color="auto" w:fill="FFFFFF"/>
        </w:rPr>
        <w:t>34,6. 56-60</w:t>
      </w:r>
      <w:r w:rsidRPr="00486C17">
        <w:rPr>
          <w:rFonts w:ascii="Times New Roman" w:hAnsi="Times New Roman" w:cs="Times New Roman"/>
          <w:color w:val="32322F"/>
          <w:sz w:val="24"/>
          <w:szCs w:val="24"/>
          <w:shd w:val="clear" w:color="auto" w:fill="FFFFFF"/>
        </w:rPr>
        <w:t> </w:t>
      </w:r>
    </w:p>
    <w:p w14:paraId="5089AE80" w14:textId="77777777" w:rsidR="000C7C14" w:rsidRDefault="000C7C14" w:rsidP="007C27FD">
      <w:pPr>
        <w:spacing w:line="480" w:lineRule="auto"/>
        <w:rPr>
          <w:rFonts w:ascii="Times New Roman" w:hAnsi="Times New Roman" w:cs="Times New Roman"/>
          <w:sz w:val="24"/>
          <w:szCs w:val="24"/>
          <w:shd w:val="clear" w:color="auto" w:fill="FFFFFF"/>
        </w:rPr>
      </w:pPr>
      <w:r w:rsidRPr="00E2126B">
        <w:rPr>
          <w:rFonts w:ascii="Times New Roman" w:hAnsi="Times New Roman" w:cs="Times New Roman"/>
          <w:sz w:val="24"/>
          <w:szCs w:val="24"/>
          <w:shd w:val="clear" w:color="auto" w:fill="FFFFFF"/>
        </w:rPr>
        <w:t>Taylor, M.J., 2014. ‘Sacred Plunder and the Seleucid Near East.’ </w:t>
      </w:r>
      <w:r w:rsidRPr="00E2126B">
        <w:rPr>
          <w:rFonts w:ascii="Times New Roman" w:hAnsi="Times New Roman" w:cs="Times New Roman"/>
          <w:i/>
          <w:iCs/>
          <w:sz w:val="24"/>
          <w:szCs w:val="24"/>
          <w:shd w:val="clear" w:color="auto" w:fill="FFFFFF"/>
        </w:rPr>
        <w:t>Greece &amp; Rome, </w:t>
      </w:r>
      <w:r w:rsidRPr="00E2126B">
        <w:rPr>
          <w:rFonts w:ascii="Times New Roman" w:hAnsi="Times New Roman" w:cs="Times New Roman"/>
          <w:bCs/>
          <w:sz w:val="24"/>
          <w:szCs w:val="24"/>
          <w:shd w:val="clear" w:color="auto" w:fill="FFFFFF"/>
        </w:rPr>
        <w:t>61</w:t>
      </w:r>
      <w:r w:rsidRPr="00E2126B">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 xml:space="preserve"> </w:t>
      </w:r>
      <w:r w:rsidRPr="00E2126B">
        <w:rPr>
          <w:rFonts w:ascii="Times New Roman" w:hAnsi="Times New Roman" w:cs="Times New Roman"/>
          <w:sz w:val="24"/>
          <w:szCs w:val="24"/>
          <w:shd w:val="clear" w:color="auto" w:fill="FFFFFF"/>
        </w:rPr>
        <w:t>222-241</w:t>
      </w:r>
    </w:p>
    <w:p w14:paraId="4CF8387F" w14:textId="77777777" w:rsidR="000C7C14" w:rsidRPr="00486C17" w:rsidRDefault="000C7C14" w:rsidP="00486C17">
      <w:pPr>
        <w:spacing w:line="480" w:lineRule="auto"/>
        <w:rPr>
          <w:rFonts w:ascii="Times New Roman" w:hAnsi="Times New Roman" w:cs="Times New Roman"/>
          <w:color w:val="000000" w:themeColor="text1"/>
          <w:sz w:val="24"/>
          <w:szCs w:val="24"/>
        </w:rPr>
      </w:pPr>
    </w:p>
    <w:p w14:paraId="699C2B5D" w14:textId="77777777" w:rsidR="00551BD8" w:rsidRPr="00551BD8" w:rsidRDefault="00551BD8" w:rsidP="009A3142">
      <w:pPr>
        <w:spacing w:line="360" w:lineRule="auto"/>
        <w:rPr>
          <w:rFonts w:ascii="Times New Roman" w:hAnsi="Times New Roman" w:cs="Times New Roman"/>
          <w:color w:val="000000" w:themeColor="text1"/>
          <w:sz w:val="24"/>
          <w:szCs w:val="24"/>
        </w:rPr>
      </w:pPr>
    </w:p>
    <w:p w14:paraId="273876B6" w14:textId="77777777" w:rsidR="00D3535A" w:rsidRDefault="00D3535A" w:rsidP="00D3535A">
      <w:pPr>
        <w:spacing w:line="360" w:lineRule="auto"/>
        <w:rPr>
          <w:rFonts w:ascii="Times New Roman" w:hAnsi="Times New Roman" w:cs="Times New Roman"/>
          <w:sz w:val="24"/>
          <w:szCs w:val="24"/>
        </w:rPr>
      </w:pPr>
    </w:p>
    <w:p w14:paraId="3C2EFB7C" w14:textId="77777777" w:rsidR="00D3535A" w:rsidRPr="001633BE" w:rsidRDefault="00D3535A" w:rsidP="00D3535A">
      <w:pPr>
        <w:spacing w:line="360" w:lineRule="auto"/>
        <w:rPr>
          <w:rFonts w:ascii="Times New Roman" w:hAnsi="Times New Roman" w:cs="Times New Roman"/>
          <w:sz w:val="24"/>
          <w:szCs w:val="24"/>
        </w:rPr>
      </w:pPr>
    </w:p>
    <w:p w14:paraId="717295F1" w14:textId="77777777" w:rsidR="004E3487" w:rsidRPr="00960778" w:rsidRDefault="004E3487">
      <w:pPr>
        <w:rPr>
          <w:rFonts w:ascii="Times New Roman" w:hAnsi="Times New Roman" w:cs="Times New Roman"/>
          <w:b/>
          <w:sz w:val="24"/>
          <w:szCs w:val="24"/>
        </w:rPr>
      </w:pPr>
    </w:p>
    <w:sectPr w:rsidR="004E3487" w:rsidRPr="0096077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69DBF" w14:textId="77777777" w:rsidR="006B4E1F" w:rsidRDefault="006B4E1F" w:rsidP="00960778">
      <w:pPr>
        <w:spacing w:after="0" w:line="240" w:lineRule="auto"/>
      </w:pPr>
      <w:r>
        <w:separator/>
      </w:r>
    </w:p>
  </w:endnote>
  <w:endnote w:type="continuationSeparator" w:id="0">
    <w:p w14:paraId="6974C953" w14:textId="77777777" w:rsidR="006B4E1F" w:rsidRDefault="006B4E1F" w:rsidP="00960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2170951"/>
      <w:docPartObj>
        <w:docPartGallery w:val="Page Numbers (Bottom of Page)"/>
        <w:docPartUnique/>
      </w:docPartObj>
    </w:sdtPr>
    <w:sdtEndPr>
      <w:rPr>
        <w:noProof/>
      </w:rPr>
    </w:sdtEndPr>
    <w:sdtContent>
      <w:p w14:paraId="1B22F084" w14:textId="63B844F1" w:rsidR="00336EB3" w:rsidRDefault="00336EB3">
        <w:pPr>
          <w:pStyle w:val="Footer"/>
        </w:pPr>
        <w:r>
          <w:fldChar w:fldCharType="begin"/>
        </w:r>
        <w:r>
          <w:instrText xml:space="preserve"> PAGE   \* MERGEFORMAT </w:instrText>
        </w:r>
        <w:r>
          <w:fldChar w:fldCharType="separate"/>
        </w:r>
        <w:r w:rsidR="007C27FD">
          <w:rPr>
            <w:noProof/>
          </w:rPr>
          <w:t>7</w:t>
        </w:r>
        <w:r>
          <w:rPr>
            <w:noProof/>
          </w:rPr>
          <w:fldChar w:fldCharType="end"/>
        </w:r>
      </w:p>
    </w:sdtContent>
  </w:sdt>
  <w:p w14:paraId="2671B685" w14:textId="77777777" w:rsidR="00336EB3" w:rsidRDefault="00336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C4DEA" w14:textId="77777777" w:rsidR="006B4E1F" w:rsidRDefault="006B4E1F" w:rsidP="00960778">
      <w:pPr>
        <w:spacing w:after="0" w:line="240" w:lineRule="auto"/>
      </w:pPr>
      <w:r>
        <w:separator/>
      </w:r>
    </w:p>
  </w:footnote>
  <w:footnote w:type="continuationSeparator" w:id="0">
    <w:p w14:paraId="66F79EE3" w14:textId="77777777" w:rsidR="006B4E1F" w:rsidRDefault="006B4E1F" w:rsidP="009607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E530F" w14:textId="77777777" w:rsidR="00336EB3" w:rsidRDefault="00336EB3">
    <w:pPr>
      <w:pStyle w:val="Header"/>
    </w:pPr>
  </w:p>
  <w:p w14:paraId="57D517C0" w14:textId="77777777" w:rsidR="00336EB3" w:rsidRDefault="00336E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FA1DBA"/>
    <w:multiLevelType w:val="hybridMultilevel"/>
    <w:tmpl w:val="282EE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8502C"/>
    <w:multiLevelType w:val="hybridMultilevel"/>
    <w:tmpl w:val="B7D4D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9A7182"/>
    <w:multiLevelType w:val="hybridMultilevel"/>
    <w:tmpl w:val="CAC6A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0268C6"/>
    <w:multiLevelType w:val="hybridMultilevel"/>
    <w:tmpl w:val="5CF20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64624"/>
    <w:multiLevelType w:val="hybridMultilevel"/>
    <w:tmpl w:val="88F8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94592"/>
    <w:multiLevelType w:val="hybridMultilevel"/>
    <w:tmpl w:val="4AE6C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7E0075"/>
    <w:multiLevelType w:val="hybridMultilevel"/>
    <w:tmpl w:val="64F0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6"/>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778"/>
    <w:rsid w:val="0002427C"/>
    <w:rsid w:val="000333AC"/>
    <w:rsid w:val="00055194"/>
    <w:rsid w:val="000C7C14"/>
    <w:rsid w:val="000D6430"/>
    <w:rsid w:val="0013749D"/>
    <w:rsid w:val="001C7CB7"/>
    <w:rsid w:val="001D1F99"/>
    <w:rsid w:val="001D2BD2"/>
    <w:rsid w:val="002E0F41"/>
    <w:rsid w:val="003365BA"/>
    <w:rsid w:val="00336EB3"/>
    <w:rsid w:val="003632D4"/>
    <w:rsid w:val="003917B3"/>
    <w:rsid w:val="003E4E9A"/>
    <w:rsid w:val="00433B5D"/>
    <w:rsid w:val="00444E5F"/>
    <w:rsid w:val="00452F53"/>
    <w:rsid w:val="00486C17"/>
    <w:rsid w:val="004E3487"/>
    <w:rsid w:val="00551BD8"/>
    <w:rsid w:val="005C48AA"/>
    <w:rsid w:val="00621A91"/>
    <w:rsid w:val="006B4E1F"/>
    <w:rsid w:val="00745FCC"/>
    <w:rsid w:val="007C27FD"/>
    <w:rsid w:val="007E5F78"/>
    <w:rsid w:val="00806898"/>
    <w:rsid w:val="008270CA"/>
    <w:rsid w:val="00871E26"/>
    <w:rsid w:val="00883D65"/>
    <w:rsid w:val="008961E0"/>
    <w:rsid w:val="00923B9F"/>
    <w:rsid w:val="00960778"/>
    <w:rsid w:val="009A3142"/>
    <w:rsid w:val="009E4EEB"/>
    <w:rsid w:val="009F7962"/>
    <w:rsid w:val="00A10E1C"/>
    <w:rsid w:val="00A462C3"/>
    <w:rsid w:val="00A726C1"/>
    <w:rsid w:val="00B14A95"/>
    <w:rsid w:val="00B5359A"/>
    <w:rsid w:val="00C9670A"/>
    <w:rsid w:val="00CE6E46"/>
    <w:rsid w:val="00D3535A"/>
    <w:rsid w:val="00D40604"/>
    <w:rsid w:val="00D9577D"/>
    <w:rsid w:val="00E2126B"/>
    <w:rsid w:val="00E24BAB"/>
    <w:rsid w:val="00E30BED"/>
    <w:rsid w:val="00E55CD7"/>
    <w:rsid w:val="00E64A1E"/>
    <w:rsid w:val="00E739A7"/>
    <w:rsid w:val="00E95104"/>
    <w:rsid w:val="00EE1DC5"/>
    <w:rsid w:val="00EF7151"/>
    <w:rsid w:val="00F1025E"/>
    <w:rsid w:val="00F55B86"/>
    <w:rsid w:val="00F74D6A"/>
    <w:rsid w:val="00F94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9E7FD"/>
  <w15:chartTrackingRefBased/>
  <w15:docId w15:val="{3E5FA6F4-14DC-434B-AC3E-F24521DC2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B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51B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778"/>
  </w:style>
  <w:style w:type="paragraph" w:styleId="Footer">
    <w:name w:val="footer"/>
    <w:basedOn w:val="Normal"/>
    <w:link w:val="FooterChar"/>
    <w:uiPriority w:val="99"/>
    <w:unhideWhenUsed/>
    <w:rsid w:val="00960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778"/>
  </w:style>
  <w:style w:type="character" w:styleId="Hyperlink">
    <w:name w:val="Hyperlink"/>
    <w:basedOn w:val="DefaultParagraphFont"/>
    <w:uiPriority w:val="99"/>
    <w:unhideWhenUsed/>
    <w:rsid w:val="00055194"/>
    <w:rPr>
      <w:color w:val="0563C1" w:themeColor="hyperlink"/>
      <w:u w:val="single"/>
    </w:rPr>
  </w:style>
  <w:style w:type="character" w:styleId="UnresolvedMention">
    <w:name w:val="Unresolved Mention"/>
    <w:basedOn w:val="DefaultParagraphFont"/>
    <w:uiPriority w:val="99"/>
    <w:semiHidden/>
    <w:unhideWhenUsed/>
    <w:rsid w:val="00055194"/>
    <w:rPr>
      <w:color w:val="808080"/>
      <w:shd w:val="clear" w:color="auto" w:fill="E6E6E6"/>
    </w:rPr>
  </w:style>
  <w:style w:type="character" w:customStyle="1" w:styleId="Heading2Char">
    <w:name w:val="Heading 2 Char"/>
    <w:basedOn w:val="DefaultParagraphFont"/>
    <w:link w:val="Heading2"/>
    <w:uiPriority w:val="9"/>
    <w:rsid w:val="00551BD8"/>
    <w:rPr>
      <w:rFonts w:ascii="Times New Roman" w:eastAsia="Times New Roman" w:hAnsi="Times New Roman" w:cs="Times New Roman"/>
      <w:b/>
      <w:bCs/>
      <w:sz w:val="36"/>
      <w:szCs w:val="36"/>
      <w:lang w:eastAsia="en-GB"/>
    </w:rPr>
  </w:style>
  <w:style w:type="character" w:customStyle="1" w:styleId="exlresultdetails">
    <w:name w:val="exlresultdetails"/>
    <w:basedOn w:val="DefaultParagraphFont"/>
    <w:rsid w:val="00551BD8"/>
  </w:style>
  <w:style w:type="character" w:customStyle="1" w:styleId="Heading1Char">
    <w:name w:val="Heading 1 Char"/>
    <w:basedOn w:val="DefaultParagraphFont"/>
    <w:link w:val="Heading1"/>
    <w:uiPriority w:val="9"/>
    <w:rsid w:val="00551BD8"/>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86C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C17"/>
    <w:rPr>
      <w:rFonts w:ascii="Segoe UI" w:hAnsi="Segoe UI" w:cs="Segoe UI"/>
      <w:sz w:val="18"/>
      <w:szCs w:val="18"/>
    </w:rPr>
  </w:style>
  <w:style w:type="character" w:customStyle="1" w:styleId="searchword">
    <w:name w:val="searchword"/>
    <w:basedOn w:val="DefaultParagraphFont"/>
    <w:rsid w:val="00486C17"/>
  </w:style>
  <w:style w:type="character" w:customStyle="1" w:styleId="exldetailsdisplayval">
    <w:name w:val="exldetailsdisplayval"/>
    <w:basedOn w:val="DefaultParagraphFont"/>
    <w:rsid w:val="00486C17"/>
  </w:style>
  <w:style w:type="character" w:customStyle="1" w:styleId="a-size-large">
    <w:name w:val="a-size-large"/>
    <w:basedOn w:val="DefaultParagraphFont"/>
    <w:rsid w:val="00871E26"/>
  </w:style>
  <w:style w:type="paragraph" w:styleId="ListParagraph">
    <w:name w:val="List Paragraph"/>
    <w:basedOn w:val="Normal"/>
    <w:uiPriority w:val="34"/>
    <w:qFormat/>
    <w:rsid w:val="003632D4"/>
    <w:pPr>
      <w:ind w:left="720"/>
      <w:contextualSpacing/>
    </w:pPr>
  </w:style>
  <w:style w:type="character" w:styleId="CommentReference">
    <w:name w:val="annotation reference"/>
    <w:basedOn w:val="DefaultParagraphFont"/>
    <w:uiPriority w:val="99"/>
    <w:semiHidden/>
    <w:unhideWhenUsed/>
    <w:rsid w:val="000D6430"/>
    <w:rPr>
      <w:sz w:val="16"/>
      <w:szCs w:val="16"/>
    </w:rPr>
  </w:style>
  <w:style w:type="paragraph" w:styleId="CommentText">
    <w:name w:val="annotation text"/>
    <w:basedOn w:val="Normal"/>
    <w:link w:val="CommentTextChar"/>
    <w:uiPriority w:val="99"/>
    <w:semiHidden/>
    <w:unhideWhenUsed/>
    <w:rsid w:val="000D6430"/>
    <w:pPr>
      <w:spacing w:line="240" w:lineRule="auto"/>
    </w:pPr>
    <w:rPr>
      <w:sz w:val="20"/>
      <w:szCs w:val="20"/>
    </w:rPr>
  </w:style>
  <w:style w:type="character" w:customStyle="1" w:styleId="CommentTextChar">
    <w:name w:val="Comment Text Char"/>
    <w:basedOn w:val="DefaultParagraphFont"/>
    <w:link w:val="CommentText"/>
    <w:uiPriority w:val="99"/>
    <w:semiHidden/>
    <w:rsid w:val="000D6430"/>
    <w:rPr>
      <w:sz w:val="20"/>
      <w:szCs w:val="20"/>
    </w:rPr>
  </w:style>
  <w:style w:type="paragraph" w:styleId="CommentSubject">
    <w:name w:val="annotation subject"/>
    <w:basedOn w:val="CommentText"/>
    <w:next w:val="CommentText"/>
    <w:link w:val="CommentSubjectChar"/>
    <w:uiPriority w:val="99"/>
    <w:semiHidden/>
    <w:unhideWhenUsed/>
    <w:rsid w:val="000D6430"/>
    <w:rPr>
      <w:b/>
      <w:bCs/>
    </w:rPr>
  </w:style>
  <w:style w:type="character" w:customStyle="1" w:styleId="CommentSubjectChar">
    <w:name w:val="Comment Subject Char"/>
    <w:basedOn w:val="CommentTextChar"/>
    <w:link w:val="CommentSubject"/>
    <w:uiPriority w:val="99"/>
    <w:semiHidden/>
    <w:rsid w:val="000D64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5895">
      <w:bodyDiv w:val="1"/>
      <w:marLeft w:val="0"/>
      <w:marRight w:val="0"/>
      <w:marTop w:val="0"/>
      <w:marBottom w:val="0"/>
      <w:divBdr>
        <w:top w:val="none" w:sz="0" w:space="0" w:color="auto"/>
        <w:left w:val="none" w:sz="0" w:space="0" w:color="auto"/>
        <w:bottom w:val="none" w:sz="0" w:space="0" w:color="auto"/>
        <w:right w:val="none" w:sz="0" w:space="0" w:color="auto"/>
      </w:divBdr>
    </w:div>
    <w:div w:id="942958885">
      <w:bodyDiv w:val="1"/>
      <w:marLeft w:val="0"/>
      <w:marRight w:val="0"/>
      <w:marTop w:val="0"/>
      <w:marBottom w:val="0"/>
      <w:divBdr>
        <w:top w:val="none" w:sz="0" w:space="0" w:color="auto"/>
        <w:left w:val="none" w:sz="0" w:space="0" w:color="auto"/>
        <w:bottom w:val="none" w:sz="0" w:space="0" w:color="auto"/>
        <w:right w:val="none" w:sz="0" w:space="0" w:color="auto"/>
      </w:divBdr>
    </w:div>
    <w:div w:id="1246956206">
      <w:bodyDiv w:val="1"/>
      <w:marLeft w:val="0"/>
      <w:marRight w:val="0"/>
      <w:marTop w:val="0"/>
      <w:marBottom w:val="0"/>
      <w:divBdr>
        <w:top w:val="none" w:sz="0" w:space="0" w:color="auto"/>
        <w:left w:val="none" w:sz="0" w:space="0" w:color="auto"/>
        <w:bottom w:val="none" w:sz="0" w:space="0" w:color="auto"/>
        <w:right w:val="none" w:sz="0" w:space="0" w:color="auto"/>
      </w:divBdr>
    </w:div>
    <w:div w:id="1658655557">
      <w:bodyDiv w:val="1"/>
      <w:marLeft w:val="0"/>
      <w:marRight w:val="0"/>
      <w:marTop w:val="0"/>
      <w:marBottom w:val="0"/>
      <w:divBdr>
        <w:top w:val="none" w:sz="0" w:space="0" w:color="auto"/>
        <w:left w:val="none" w:sz="0" w:space="0" w:color="auto"/>
        <w:bottom w:val="none" w:sz="0" w:space="0" w:color="auto"/>
        <w:right w:val="none" w:sz="0" w:space="0" w:color="auto"/>
      </w:divBdr>
    </w:div>
    <w:div w:id="1784183692">
      <w:bodyDiv w:val="1"/>
      <w:marLeft w:val="0"/>
      <w:marRight w:val="0"/>
      <w:marTop w:val="0"/>
      <w:marBottom w:val="0"/>
      <w:divBdr>
        <w:top w:val="none" w:sz="0" w:space="0" w:color="auto"/>
        <w:left w:val="none" w:sz="0" w:space="0" w:color="auto"/>
        <w:bottom w:val="none" w:sz="0" w:space="0" w:color="auto"/>
        <w:right w:val="none" w:sz="0" w:space="0" w:color="auto"/>
      </w:divBdr>
    </w:div>
    <w:div w:id="2128619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josephus-jewish_war/1927/pb_LCL487" TargetMode="External"/><Relationship Id="rId3" Type="http://schemas.openxmlformats.org/officeDocument/2006/relationships/settings" Target="settings.xml"/><Relationship Id="rId7" Type="http://schemas.openxmlformats.org/officeDocument/2006/relationships/hyperlink" Target="https://www-loebclassics-com.ezproxy.uwtsd.ac.uk/view/josephus-jewish_antiquities/1930/pb_LCL36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7</Pages>
  <Words>1278</Words>
  <Characters>7287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Hudson</dc:creator>
  <cp:keywords/>
  <dc:description/>
  <cp:lastModifiedBy>Izzy Hudson</cp:lastModifiedBy>
  <cp:revision>15</cp:revision>
  <dcterms:created xsi:type="dcterms:W3CDTF">2017-11-08T20:14:00Z</dcterms:created>
  <dcterms:modified xsi:type="dcterms:W3CDTF">2017-11-17T21:24:00Z</dcterms:modified>
</cp:coreProperties>
</file>