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4F25CB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66113">
              <w:rPr>
                <w:rFonts w:ascii="Times New Roman" w:hAnsi="Times New Roman" w:cs="Times New Roman"/>
                <w:b/>
                <w:color w:val="auto"/>
                <w:sz w:val="48"/>
              </w:rPr>
              <w:t>Jan-Marie Edwards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56CE55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B354F">
              <w:rPr>
                <w:rFonts w:ascii="Times New Roman" w:hAnsi="Times New Roman" w:cs="Times New Roman"/>
                <w:b/>
                <w:color w:val="auto"/>
                <w:sz w:val="48"/>
              </w:rPr>
              <w:t xml:space="preserve"> jmedwards444@hotmail.co.uk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824B206" w14:textId="77777777" w:rsidR="00CB354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7074B3DA" w:rsidR="00F927A1" w:rsidRPr="005D3F07" w:rsidRDefault="00CB354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2239164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42CE6560"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w:t>
      </w:r>
      <w:r w:rsidR="00CB354F">
        <w:rPr>
          <w:i/>
          <w:iCs/>
          <w:sz w:val="24"/>
          <w:szCs w:val="24"/>
        </w:rPr>
        <w:t>,</w:t>
      </w:r>
      <w:r w:rsidR="00D60F88" w:rsidRPr="00706BB5">
        <w:rPr>
          <w:i/>
          <w:iCs/>
          <w:sz w:val="24"/>
          <w:szCs w:val="24"/>
        </w:rPr>
        <w:t xml:space="preserve">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D8CB8AF"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06EA0D82" w14:textId="77777777" w:rsidR="00CB354F" w:rsidRPr="001C521E" w:rsidRDefault="00CB354F" w:rsidP="00CB354F">
            <w:pPr>
              <w:spacing w:line="360" w:lineRule="auto"/>
              <w:jc w:val="both"/>
              <w:rPr>
                <w:sz w:val="24"/>
                <w:szCs w:val="24"/>
              </w:rPr>
            </w:pPr>
            <w:r w:rsidRPr="001C521E">
              <w:rPr>
                <w:sz w:val="24"/>
                <w:szCs w:val="24"/>
              </w:rPr>
              <w:t xml:space="preserve">The Social Services and Well-being (Wales) Act 2014 (SSWBA 2014), creates the legislative framework for providing services to individuals in Wales with an emphasis on early intervention, empowerment and partnership working. It also includes regulations and codes of practice.  A social work professional has a responsibility to work within this legal framework necessitating them to have a thorough understanding of the laws pertaining to adult and child safety. </w:t>
            </w:r>
          </w:p>
          <w:p w14:paraId="5C14F14B" w14:textId="77777777" w:rsidR="00CB354F" w:rsidRPr="001C521E" w:rsidRDefault="00CB354F" w:rsidP="00CB354F">
            <w:pPr>
              <w:spacing w:line="360" w:lineRule="auto"/>
              <w:jc w:val="both"/>
              <w:rPr>
                <w:sz w:val="24"/>
                <w:szCs w:val="24"/>
              </w:rPr>
            </w:pPr>
          </w:p>
          <w:p w14:paraId="2A79A583" w14:textId="77777777" w:rsidR="00CB354F" w:rsidRPr="001C521E" w:rsidRDefault="00CB354F" w:rsidP="00CB354F">
            <w:pPr>
              <w:spacing w:line="360" w:lineRule="auto"/>
              <w:jc w:val="both"/>
              <w:rPr>
                <w:sz w:val="24"/>
                <w:szCs w:val="24"/>
              </w:rPr>
            </w:pPr>
            <w:r w:rsidRPr="001C521E">
              <w:rPr>
                <w:sz w:val="24"/>
                <w:szCs w:val="24"/>
              </w:rPr>
              <w:t xml:space="preserve">According to Article three of The United Nations Convention on the Rights of the Child (1989), the child’s best interest must always come first in any decisions involving children regardless of whether it is made by public or private social welfare organisations, courts of law, administrative agencies or legislative bodies. These rights have been acknowledged by the Welsh Government as the bedrock of all policies pertaining to children and young people. </w:t>
            </w:r>
          </w:p>
          <w:p w14:paraId="17CF4F36" w14:textId="77777777" w:rsidR="00CB354F" w:rsidRPr="001C521E" w:rsidRDefault="00CB354F" w:rsidP="00CB354F">
            <w:pPr>
              <w:spacing w:line="360" w:lineRule="auto"/>
              <w:jc w:val="both"/>
              <w:rPr>
                <w:sz w:val="24"/>
                <w:szCs w:val="24"/>
              </w:rPr>
            </w:pPr>
          </w:p>
          <w:p w14:paraId="071E7C13" w14:textId="77777777" w:rsidR="00CB354F" w:rsidRPr="001C521E" w:rsidRDefault="00CB354F" w:rsidP="00CB354F">
            <w:pPr>
              <w:spacing w:line="360" w:lineRule="auto"/>
              <w:jc w:val="both"/>
              <w:rPr>
                <w:sz w:val="24"/>
                <w:szCs w:val="24"/>
              </w:rPr>
            </w:pPr>
            <w:r w:rsidRPr="001C521E">
              <w:rPr>
                <w:sz w:val="24"/>
                <w:szCs w:val="24"/>
              </w:rPr>
              <w:t xml:space="preserve">Safeguarding children is “everybody’s responsibility”, as highlighted in Section 130 of the SSWBA 2014, which mandates "relevant partners" of a local authority to notify the authority and collaborate with the authority if they have reasonable grounds to suspect a child is at risk of abuse, neglect, or other forms of harm and requires care and support, irrespective of whether the authority meets those needs. The </w:t>
            </w:r>
            <w:proofErr w:type="gramStart"/>
            <w:r w:rsidRPr="001C521E">
              <w:rPr>
                <w:sz w:val="24"/>
                <w:szCs w:val="24"/>
              </w:rPr>
              <w:t>All Wales</w:t>
            </w:r>
            <w:proofErr w:type="gramEnd"/>
            <w:r w:rsidRPr="001C521E">
              <w:rPr>
                <w:sz w:val="24"/>
                <w:szCs w:val="24"/>
              </w:rPr>
              <w:t xml:space="preserve"> Practice Guides (Wales Safeguarding </w:t>
            </w:r>
            <w:r w:rsidRPr="001C521E">
              <w:rPr>
                <w:sz w:val="24"/>
                <w:szCs w:val="24"/>
              </w:rPr>
              <w:lastRenderedPageBreak/>
              <w:t>Procedures Project Board, 2020) support individuals and agencies across Wales to understand their responsibilities and roles in facilitating the implementation of legislation and guidance while standardising safeguarding practices across all agencies.</w:t>
            </w:r>
          </w:p>
          <w:p w14:paraId="378A93E2" w14:textId="77777777" w:rsidR="00CB354F" w:rsidRDefault="00CB354F" w:rsidP="00CB354F">
            <w:pPr>
              <w:spacing w:line="360" w:lineRule="auto"/>
              <w:jc w:val="both"/>
            </w:pPr>
          </w:p>
          <w:p w14:paraId="5A581AAB" w14:textId="77777777" w:rsidR="00CB354F" w:rsidRPr="001C521E" w:rsidRDefault="00CB354F" w:rsidP="00CB354F">
            <w:pPr>
              <w:spacing w:line="360" w:lineRule="auto"/>
              <w:jc w:val="both"/>
              <w:rPr>
                <w:sz w:val="24"/>
                <w:szCs w:val="24"/>
              </w:rPr>
            </w:pPr>
            <w:r w:rsidRPr="001C521E">
              <w:rPr>
                <w:sz w:val="24"/>
                <w:szCs w:val="24"/>
              </w:rPr>
              <w:t xml:space="preserve">Part 7 of the SSWBA 2014, outlined in Working Together to Safeguard People Volume 1 – Introduction and Overview (Welsh Government (WG), 2016), offers guidance specifically </w:t>
            </w:r>
            <w:r w:rsidRPr="001C521E">
              <w:rPr>
                <w:sz w:val="24"/>
                <w:szCs w:val="24"/>
              </w:rPr>
              <w:tab/>
              <w:t>on safeguarding. Section 131(1) provides the definition of an adult at risk, mandates the reporting of adults and children at risk, and imposes an obligation on local authorities to investigate, while section 132 establishes the National Independent Safeguarding Board. Safeguarding boards have two roles: prevention and protection.</w:t>
            </w:r>
          </w:p>
          <w:p w14:paraId="0103FC99" w14:textId="77777777" w:rsidR="00CB354F" w:rsidRPr="001C521E" w:rsidRDefault="00CB354F" w:rsidP="00CB354F">
            <w:pPr>
              <w:spacing w:line="360" w:lineRule="auto"/>
              <w:jc w:val="both"/>
              <w:rPr>
                <w:sz w:val="24"/>
                <w:szCs w:val="24"/>
              </w:rPr>
            </w:pPr>
          </w:p>
          <w:p w14:paraId="10FE3155" w14:textId="77777777" w:rsidR="00CB354F" w:rsidRPr="001C521E" w:rsidRDefault="00CB354F" w:rsidP="00CB354F">
            <w:pPr>
              <w:spacing w:line="360" w:lineRule="auto"/>
              <w:jc w:val="both"/>
              <w:rPr>
                <w:sz w:val="24"/>
                <w:szCs w:val="24"/>
              </w:rPr>
            </w:pPr>
            <w:r w:rsidRPr="001C521E">
              <w:rPr>
                <w:sz w:val="24"/>
                <w:szCs w:val="24"/>
              </w:rPr>
              <w:t xml:space="preserve">Regional safeguarding children boards oversee local child protection policies and procedures, provide advice to local safeguarding boards, monitor the effectiveness of safeguarding arrangements and make recommendations about how arrangements can be improved. </w:t>
            </w:r>
          </w:p>
          <w:p w14:paraId="02B742C1" w14:textId="77777777" w:rsidR="00CB354F" w:rsidRPr="001C521E" w:rsidRDefault="00CB354F" w:rsidP="00CB354F">
            <w:pPr>
              <w:spacing w:line="360" w:lineRule="auto"/>
              <w:jc w:val="both"/>
              <w:rPr>
                <w:sz w:val="24"/>
                <w:szCs w:val="24"/>
              </w:rPr>
            </w:pPr>
          </w:p>
          <w:p w14:paraId="4B889FEC" w14:textId="77777777" w:rsidR="00CB354F" w:rsidRPr="001C521E" w:rsidRDefault="00CB354F" w:rsidP="00CB354F">
            <w:pPr>
              <w:spacing w:line="360" w:lineRule="auto"/>
              <w:jc w:val="both"/>
              <w:rPr>
                <w:sz w:val="24"/>
                <w:szCs w:val="24"/>
              </w:rPr>
            </w:pPr>
            <w:r w:rsidRPr="001C521E">
              <w:rPr>
                <w:sz w:val="24"/>
                <w:szCs w:val="24"/>
              </w:rPr>
              <w:t>The Wales Safeguarding Procedures (2019) serves not to replace but act alongside and strengthen the SSWB (Wales) Act 2014. These procedures ensure that statutory guidance is standardised across all agencies. Professionals and agencies should aim to provide the best outcomes for children at risk.</w:t>
            </w:r>
          </w:p>
          <w:p w14:paraId="536BEC9A" w14:textId="77777777" w:rsidR="00CB354F" w:rsidRPr="001C521E" w:rsidRDefault="00CB354F" w:rsidP="00CB354F">
            <w:pPr>
              <w:spacing w:line="360" w:lineRule="auto"/>
              <w:jc w:val="both"/>
              <w:rPr>
                <w:sz w:val="24"/>
                <w:szCs w:val="24"/>
              </w:rPr>
            </w:pPr>
          </w:p>
          <w:p w14:paraId="6E60AA28" w14:textId="77777777" w:rsidR="00CB354F" w:rsidRPr="001C521E" w:rsidRDefault="00CB354F" w:rsidP="00CB354F">
            <w:pPr>
              <w:spacing w:line="360" w:lineRule="auto"/>
              <w:jc w:val="both"/>
              <w:rPr>
                <w:sz w:val="24"/>
                <w:szCs w:val="24"/>
              </w:rPr>
            </w:pPr>
            <w:r w:rsidRPr="001C521E">
              <w:rPr>
                <w:sz w:val="24"/>
                <w:szCs w:val="24"/>
              </w:rPr>
              <w:t xml:space="preserve">Section 47 of The Children Act 1989 gives children’s social care a duty to make enquiries to decide whether they should take action to safeguard or promote the welfare of a child who is suffering or likely to suffer significant harm. These will be an outcome of a Strategy Discussion and can be Joint Agency (Police &amp; Social Care) or Single Agency (Police or Social Care). </w:t>
            </w:r>
          </w:p>
          <w:p w14:paraId="0D6CB50C" w14:textId="77777777" w:rsidR="00CB354F" w:rsidRPr="001C521E" w:rsidRDefault="00CB354F" w:rsidP="00CB354F">
            <w:pPr>
              <w:spacing w:line="360" w:lineRule="auto"/>
              <w:jc w:val="both"/>
              <w:rPr>
                <w:sz w:val="24"/>
                <w:szCs w:val="24"/>
              </w:rPr>
            </w:pPr>
          </w:p>
          <w:p w14:paraId="1E6A5239" w14:textId="77777777" w:rsidR="00CB354F" w:rsidRPr="001C521E" w:rsidRDefault="00CB354F" w:rsidP="00CB354F">
            <w:pPr>
              <w:spacing w:line="360" w:lineRule="auto"/>
              <w:jc w:val="both"/>
              <w:rPr>
                <w:sz w:val="24"/>
                <w:szCs w:val="24"/>
              </w:rPr>
            </w:pPr>
            <w:r w:rsidRPr="001C521E">
              <w:rPr>
                <w:sz w:val="24"/>
                <w:szCs w:val="24"/>
              </w:rPr>
              <w:t>Following the strategy discussion, if it is concluded that there is evidence to support the concern that the child is at risk of significant harm, a Child Protection meeting will be held with multi-agency professionals to decide what plans need to be put in place to safeguard the child. A safety plan will then be put in place.</w:t>
            </w:r>
          </w:p>
          <w:p w14:paraId="26996988" w14:textId="77777777" w:rsidR="00CB354F" w:rsidRPr="001C521E" w:rsidRDefault="00CB354F" w:rsidP="00CB354F">
            <w:pPr>
              <w:spacing w:line="360" w:lineRule="auto"/>
              <w:jc w:val="both"/>
              <w:rPr>
                <w:sz w:val="24"/>
                <w:szCs w:val="24"/>
              </w:rPr>
            </w:pPr>
          </w:p>
          <w:p w14:paraId="72D3D68C" w14:textId="7A381B6F" w:rsidR="00CB354F" w:rsidRDefault="00CB354F" w:rsidP="001C521E">
            <w:pPr>
              <w:spacing w:line="360" w:lineRule="auto"/>
              <w:jc w:val="both"/>
              <w:rPr>
                <w:sz w:val="24"/>
                <w:szCs w:val="24"/>
              </w:rPr>
            </w:pPr>
            <w:proofErr w:type="gramStart"/>
            <w:r w:rsidRPr="001C521E">
              <w:rPr>
                <w:sz w:val="24"/>
                <w:szCs w:val="24"/>
              </w:rPr>
              <w:t>51</w:t>
            </w:r>
            <w:r w:rsidR="00247494" w:rsidRPr="001C521E">
              <w:rPr>
                <w:sz w:val="24"/>
                <w:szCs w:val="24"/>
              </w:rPr>
              <w:t xml:space="preserve">5 </w:t>
            </w:r>
            <w:r w:rsidRPr="001C521E">
              <w:rPr>
                <w:sz w:val="24"/>
                <w:szCs w:val="24"/>
              </w:rPr>
              <w:t xml:space="preserve"> words</w:t>
            </w:r>
            <w:proofErr w:type="gramEnd"/>
          </w:p>
          <w:p w14:paraId="34CA3CB9" w14:textId="77777777" w:rsidR="00CB354F" w:rsidRPr="006108C9" w:rsidRDefault="00CB354F"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Default="00AA666E" w:rsidP="00FF7EBB">
      <w:pPr>
        <w:jc w:val="both"/>
        <w:rPr>
          <w:sz w:val="24"/>
          <w:szCs w:val="24"/>
        </w:rPr>
      </w:pPr>
    </w:p>
    <w:p w14:paraId="30A49C12" w14:textId="77777777" w:rsidR="006E1098" w:rsidRDefault="006E1098" w:rsidP="00FF7EBB">
      <w:pPr>
        <w:jc w:val="both"/>
        <w:rPr>
          <w:sz w:val="24"/>
          <w:szCs w:val="24"/>
        </w:rPr>
      </w:pPr>
    </w:p>
    <w:p w14:paraId="586FCFE1" w14:textId="77777777" w:rsidR="006E1098" w:rsidRPr="008B28E7" w:rsidRDefault="006E1098"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7620630D" w14:textId="754A0417" w:rsidR="00B8273C" w:rsidRPr="001C521E" w:rsidRDefault="00B8273C" w:rsidP="00B8273C">
            <w:pPr>
              <w:spacing w:line="360" w:lineRule="auto"/>
              <w:jc w:val="both"/>
              <w:rPr>
                <w:sz w:val="24"/>
                <w:szCs w:val="24"/>
              </w:rPr>
            </w:pPr>
            <w:r w:rsidRPr="001C521E">
              <w:rPr>
                <w:sz w:val="24"/>
                <w:szCs w:val="24"/>
              </w:rPr>
              <w:t xml:space="preserve">After the Social Service and Well-being </w:t>
            </w:r>
            <w:r w:rsidR="00B17B6D">
              <w:rPr>
                <w:sz w:val="24"/>
                <w:szCs w:val="24"/>
              </w:rPr>
              <w:t>(</w:t>
            </w:r>
            <w:r w:rsidRPr="001C521E">
              <w:rPr>
                <w:sz w:val="24"/>
                <w:szCs w:val="24"/>
              </w:rPr>
              <w:t>Wales</w:t>
            </w:r>
            <w:r w:rsidR="00B17B6D">
              <w:rPr>
                <w:sz w:val="24"/>
                <w:szCs w:val="24"/>
              </w:rPr>
              <w:t>)</w:t>
            </w:r>
            <w:r w:rsidRPr="001C521E">
              <w:rPr>
                <w:sz w:val="24"/>
                <w:szCs w:val="24"/>
              </w:rPr>
              <w:t xml:space="preserve"> Act 2014 (SSWBA) was passed, adult safeguarding was elevated to a comparable level with children's safeguarding. The SSWBA 2014 now encompasses adults at risk and mandates the same duty to report and investigate safeguarding concerns as applicable for children. Furthermore, the SSWBA 2014 emphasizes prevention and early intervention for both adults and children's safeguarding, ensuring improved outcomes for vulnerable adults and children alike, and underscoring the pivotal role of safeguarding in all facets of social work.</w:t>
            </w:r>
          </w:p>
          <w:p w14:paraId="5384EB33" w14:textId="77777777" w:rsidR="00B8273C" w:rsidRPr="001C521E" w:rsidRDefault="00B8273C" w:rsidP="00B8273C">
            <w:pPr>
              <w:spacing w:line="360" w:lineRule="auto"/>
              <w:jc w:val="both"/>
              <w:rPr>
                <w:sz w:val="24"/>
                <w:szCs w:val="24"/>
              </w:rPr>
            </w:pPr>
          </w:p>
          <w:p w14:paraId="2D3FD893" w14:textId="77777777" w:rsidR="00B8273C" w:rsidRPr="001C521E" w:rsidRDefault="00B8273C" w:rsidP="00B8273C">
            <w:pPr>
              <w:spacing w:line="360" w:lineRule="auto"/>
              <w:jc w:val="both"/>
              <w:rPr>
                <w:sz w:val="24"/>
                <w:szCs w:val="24"/>
              </w:rPr>
            </w:pPr>
            <w:r w:rsidRPr="001C521E">
              <w:rPr>
                <w:sz w:val="24"/>
                <w:szCs w:val="24"/>
              </w:rPr>
              <w:t>The National Independent Safeguarding Board supervises the safeguarding team in a local authority, and they are entrusted with improving safeguarding practices for both adult and children's safeguarding, thereby guaranteeing consistency in relation to outcomes.</w:t>
            </w:r>
          </w:p>
          <w:p w14:paraId="0564391A" w14:textId="77777777" w:rsidR="00B8273C" w:rsidRPr="001C521E" w:rsidRDefault="00B8273C" w:rsidP="00B8273C">
            <w:pPr>
              <w:spacing w:line="360" w:lineRule="auto"/>
              <w:jc w:val="both"/>
              <w:rPr>
                <w:sz w:val="24"/>
                <w:szCs w:val="24"/>
              </w:rPr>
            </w:pPr>
          </w:p>
          <w:p w14:paraId="70EF48AC" w14:textId="77777777" w:rsidR="00B8273C" w:rsidRPr="001C521E" w:rsidRDefault="00B8273C" w:rsidP="00B8273C">
            <w:pPr>
              <w:spacing w:line="360" w:lineRule="auto"/>
              <w:jc w:val="both"/>
              <w:rPr>
                <w:sz w:val="24"/>
                <w:szCs w:val="24"/>
              </w:rPr>
            </w:pPr>
            <w:r w:rsidRPr="001C521E">
              <w:rPr>
                <w:sz w:val="24"/>
                <w:szCs w:val="24"/>
              </w:rPr>
              <w:t>While there are only slight differences in the definitions of an adult at risk and a child at risk, the scope of what constitutes abuse or neglect is principally much the same. However, a distinction arises in the territory of consent. The SSWBA 2014 stipulates that "the consent of the adult is a significant factor" in determining the course of action in response to a safeguarding concern or allegation. In contrast, The Children Act 1989 emphasizes considering the child's feelings, wishes, and views but does not mandate consent before professional intervention, granting greater intervention powers in child safeguarding. Conversely, in adult safeguarding, practitioners grapple with dilemmas regarding limited powers to intervene if the adult at risk possesses capacity and declines involvement in a safeguarding investigation.</w:t>
            </w:r>
          </w:p>
          <w:p w14:paraId="26C3F176" w14:textId="77777777" w:rsidR="00B8273C" w:rsidRPr="001C521E" w:rsidRDefault="00B8273C" w:rsidP="00B8273C">
            <w:pPr>
              <w:spacing w:line="360" w:lineRule="auto"/>
              <w:jc w:val="both"/>
              <w:rPr>
                <w:sz w:val="24"/>
                <w:szCs w:val="24"/>
              </w:rPr>
            </w:pPr>
          </w:p>
          <w:p w14:paraId="461302D3" w14:textId="77777777" w:rsidR="00B8273C" w:rsidRPr="001C521E" w:rsidRDefault="00B8273C" w:rsidP="00B8273C">
            <w:pPr>
              <w:spacing w:line="360" w:lineRule="auto"/>
              <w:jc w:val="both"/>
              <w:rPr>
                <w:sz w:val="24"/>
                <w:szCs w:val="24"/>
              </w:rPr>
            </w:pPr>
            <w:r w:rsidRPr="001C521E">
              <w:rPr>
                <w:sz w:val="24"/>
                <w:szCs w:val="24"/>
              </w:rPr>
              <w:lastRenderedPageBreak/>
              <w:t>Another discrepancy lies in the utilisation of the Mental Capacity Act 2005. In adult safeguarding cases where the adult at risk lacks capacity to consent to a safeguarding investigation, the inquiry can proceed in the adult's best interest under the MCA 2005, allowing professionals to intervene for the adult's protection if deemed necessary. However, the MCA 2005 does not extend</w:t>
            </w:r>
            <w:r w:rsidRPr="005C021B">
              <w:t xml:space="preserve"> </w:t>
            </w:r>
            <w:r w:rsidRPr="001C521E">
              <w:rPr>
                <w:sz w:val="24"/>
                <w:szCs w:val="24"/>
              </w:rPr>
              <w:t>to children under 16 and thus is not integrated into the children's safeguarding process.</w:t>
            </w:r>
          </w:p>
          <w:p w14:paraId="62603304" w14:textId="77777777" w:rsidR="00B8273C" w:rsidRPr="001C521E" w:rsidRDefault="00B8273C" w:rsidP="00B8273C">
            <w:pPr>
              <w:spacing w:line="360" w:lineRule="auto"/>
              <w:jc w:val="both"/>
              <w:rPr>
                <w:sz w:val="24"/>
                <w:szCs w:val="24"/>
              </w:rPr>
            </w:pPr>
          </w:p>
          <w:p w14:paraId="1F91FC8B" w14:textId="77777777" w:rsidR="00B8273C" w:rsidRPr="001C521E" w:rsidRDefault="00B8273C" w:rsidP="00B8273C">
            <w:pPr>
              <w:spacing w:line="360" w:lineRule="auto"/>
              <w:jc w:val="both"/>
              <w:rPr>
                <w:sz w:val="24"/>
                <w:szCs w:val="24"/>
              </w:rPr>
            </w:pPr>
            <w:r w:rsidRPr="001C521E">
              <w:rPr>
                <w:sz w:val="24"/>
                <w:szCs w:val="24"/>
              </w:rPr>
              <w:t>Under the Children Act 1989, the LA is mandated to conduct the inquiry process and take the lead, precluding third-party involvement. Conversely, in the adult safeguarding process, the LA can enlist a third party to conduct the investigation and gather information in alignment with the co-production principle outlined in the SSWBA 2014.</w:t>
            </w:r>
          </w:p>
          <w:p w14:paraId="3E921D0A" w14:textId="77777777" w:rsidR="00B8273C" w:rsidRPr="001C521E" w:rsidRDefault="00B8273C" w:rsidP="00B8273C">
            <w:pPr>
              <w:spacing w:line="360" w:lineRule="auto"/>
              <w:jc w:val="both"/>
              <w:rPr>
                <w:sz w:val="24"/>
                <w:szCs w:val="24"/>
              </w:rPr>
            </w:pPr>
          </w:p>
          <w:p w14:paraId="7B7B4827" w14:textId="7AA0DE9D" w:rsidR="00FC0334" w:rsidRPr="001C521E" w:rsidRDefault="00B8273C" w:rsidP="00FC0334">
            <w:pPr>
              <w:jc w:val="both"/>
              <w:rPr>
                <w:sz w:val="24"/>
                <w:szCs w:val="24"/>
              </w:rPr>
            </w:pPr>
            <w:r w:rsidRPr="001C521E">
              <w:rPr>
                <w:sz w:val="24"/>
                <w:szCs w:val="24"/>
              </w:rPr>
              <w:t>3</w:t>
            </w:r>
            <w:r w:rsidR="00633B40" w:rsidRPr="001C521E">
              <w:rPr>
                <w:sz w:val="24"/>
                <w:szCs w:val="24"/>
              </w:rPr>
              <w:t>70</w:t>
            </w:r>
            <w:r w:rsidRPr="001C521E">
              <w:rPr>
                <w:sz w:val="24"/>
                <w:szCs w:val="24"/>
              </w:rPr>
              <w:t xml:space="preserve"> words</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CD50AC">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40916" w14:textId="77777777" w:rsidR="008D2161" w:rsidRDefault="008D2161">
      <w:r>
        <w:separator/>
      </w:r>
    </w:p>
  </w:endnote>
  <w:endnote w:type="continuationSeparator" w:id="0">
    <w:p w14:paraId="35BFD55A" w14:textId="77777777" w:rsidR="008D2161" w:rsidRDefault="008D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8AF2E" w14:textId="77777777" w:rsidR="008D2161" w:rsidRDefault="008D2161">
      <w:r>
        <w:separator/>
      </w:r>
    </w:p>
  </w:footnote>
  <w:footnote w:type="continuationSeparator" w:id="0">
    <w:p w14:paraId="6D7095C0" w14:textId="77777777" w:rsidR="008D2161" w:rsidRDefault="008D2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31D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886"/>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2267"/>
    <w:rsid w:val="0019496C"/>
    <w:rsid w:val="001961CF"/>
    <w:rsid w:val="001A59BB"/>
    <w:rsid w:val="001A607E"/>
    <w:rsid w:val="001A6A51"/>
    <w:rsid w:val="001A79C4"/>
    <w:rsid w:val="001B331A"/>
    <w:rsid w:val="001C0237"/>
    <w:rsid w:val="001C0E74"/>
    <w:rsid w:val="001C4DB8"/>
    <w:rsid w:val="001C50B8"/>
    <w:rsid w:val="001C521E"/>
    <w:rsid w:val="001D229F"/>
    <w:rsid w:val="001E2EB6"/>
    <w:rsid w:val="001F4552"/>
    <w:rsid w:val="002019EB"/>
    <w:rsid w:val="00204B58"/>
    <w:rsid w:val="00205051"/>
    <w:rsid w:val="00211F65"/>
    <w:rsid w:val="0021363D"/>
    <w:rsid w:val="00214047"/>
    <w:rsid w:val="00216563"/>
    <w:rsid w:val="0021792F"/>
    <w:rsid w:val="00220D06"/>
    <w:rsid w:val="002246A0"/>
    <w:rsid w:val="00230439"/>
    <w:rsid w:val="00231717"/>
    <w:rsid w:val="00232A09"/>
    <w:rsid w:val="00235176"/>
    <w:rsid w:val="00236061"/>
    <w:rsid w:val="0024100E"/>
    <w:rsid w:val="00241C1B"/>
    <w:rsid w:val="0024288B"/>
    <w:rsid w:val="00243DB0"/>
    <w:rsid w:val="00247265"/>
    <w:rsid w:val="00247494"/>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6D14"/>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0DB"/>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8D7"/>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71F"/>
    <w:rsid w:val="00430DE3"/>
    <w:rsid w:val="004348AE"/>
    <w:rsid w:val="004376C0"/>
    <w:rsid w:val="0044223A"/>
    <w:rsid w:val="00450B67"/>
    <w:rsid w:val="00451851"/>
    <w:rsid w:val="0045189A"/>
    <w:rsid w:val="00453343"/>
    <w:rsid w:val="004538C3"/>
    <w:rsid w:val="004608B9"/>
    <w:rsid w:val="00463B55"/>
    <w:rsid w:val="00465947"/>
    <w:rsid w:val="00466113"/>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4249"/>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021B"/>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B40"/>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1098"/>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30B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161"/>
    <w:rsid w:val="008D5813"/>
    <w:rsid w:val="008D5999"/>
    <w:rsid w:val="008D634E"/>
    <w:rsid w:val="008D778A"/>
    <w:rsid w:val="008D78C9"/>
    <w:rsid w:val="008E3195"/>
    <w:rsid w:val="008E5A35"/>
    <w:rsid w:val="008F127E"/>
    <w:rsid w:val="008F32D9"/>
    <w:rsid w:val="008F7D64"/>
    <w:rsid w:val="00902A65"/>
    <w:rsid w:val="00903932"/>
    <w:rsid w:val="009079BD"/>
    <w:rsid w:val="00912BD9"/>
    <w:rsid w:val="00916FB2"/>
    <w:rsid w:val="00920E5B"/>
    <w:rsid w:val="00926436"/>
    <w:rsid w:val="00926C53"/>
    <w:rsid w:val="0093018C"/>
    <w:rsid w:val="00943628"/>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53"/>
    <w:rsid w:val="009D7BC9"/>
    <w:rsid w:val="009E122F"/>
    <w:rsid w:val="009E1982"/>
    <w:rsid w:val="009E4D2C"/>
    <w:rsid w:val="009F0978"/>
    <w:rsid w:val="009F3AEC"/>
    <w:rsid w:val="009F6801"/>
    <w:rsid w:val="00A00081"/>
    <w:rsid w:val="00A06422"/>
    <w:rsid w:val="00A10D56"/>
    <w:rsid w:val="00A12AAE"/>
    <w:rsid w:val="00A12F22"/>
    <w:rsid w:val="00A16DD1"/>
    <w:rsid w:val="00A205C9"/>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B6D"/>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73C"/>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4F83"/>
    <w:rsid w:val="00C555FC"/>
    <w:rsid w:val="00C55E9B"/>
    <w:rsid w:val="00C56D09"/>
    <w:rsid w:val="00C57D24"/>
    <w:rsid w:val="00C604D6"/>
    <w:rsid w:val="00C63CAB"/>
    <w:rsid w:val="00C63D00"/>
    <w:rsid w:val="00C6441B"/>
    <w:rsid w:val="00C65921"/>
    <w:rsid w:val="00C7108B"/>
    <w:rsid w:val="00C75883"/>
    <w:rsid w:val="00C77FA5"/>
    <w:rsid w:val="00C806F1"/>
    <w:rsid w:val="00C8089F"/>
    <w:rsid w:val="00C835FE"/>
    <w:rsid w:val="00C836CC"/>
    <w:rsid w:val="00C852D6"/>
    <w:rsid w:val="00C860C9"/>
    <w:rsid w:val="00C87A74"/>
    <w:rsid w:val="00C92C71"/>
    <w:rsid w:val="00C93F8F"/>
    <w:rsid w:val="00CA0894"/>
    <w:rsid w:val="00CA3593"/>
    <w:rsid w:val="00CA5726"/>
    <w:rsid w:val="00CA7E6A"/>
    <w:rsid w:val="00CB258E"/>
    <w:rsid w:val="00CB354F"/>
    <w:rsid w:val="00CB3C8F"/>
    <w:rsid w:val="00CC02F1"/>
    <w:rsid w:val="00CC1122"/>
    <w:rsid w:val="00CC11A6"/>
    <w:rsid w:val="00CC135E"/>
    <w:rsid w:val="00CC7226"/>
    <w:rsid w:val="00CD0735"/>
    <w:rsid w:val="00CD45E3"/>
    <w:rsid w:val="00CD4771"/>
    <w:rsid w:val="00CD5089"/>
    <w:rsid w:val="00CD50AC"/>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C806F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373667">
      <w:bodyDiv w:val="1"/>
      <w:marLeft w:val="0"/>
      <w:marRight w:val="0"/>
      <w:marTop w:val="0"/>
      <w:marBottom w:val="0"/>
      <w:divBdr>
        <w:top w:val="none" w:sz="0" w:space="0" w:color="auto"/>
        <w:left w:val="none" w:sz="0" w:space="0" w:color="auto"/>
        <w:bottom w:val="none" w:sz="0" w:space="0" w:color="auto"/>
        <w:right w:val="none" w:sz="0" w:space="0" w:color="auto"/>
      </w:divBdr>
      <w:divsChild>
        <w:div w:id="1862744522">
          <w:marLeft w:val="0"/>
          <w:marRight w:val="0"/>
          <w:marTop w:val="0"/>
          <w:marBottom w:val="0"/>
          <w:divBdr>
            <w:top w:val="none" w:sz="0" w:space="0" w:color="auto"/>
            <w:left w:val="none" w:sz="0" w:space="0" w:color="auto"/>
            <w:bottom w:val="none" w:sz="0" w:space="0" w:color="auto"/>
            <w:right w:val="none" w:sz="0" w:space="0" w:color="auto"/>
          </w:divBdr>
          <w:divsChild>
            <w:div w:id="49111790">
              <w:marLeft w:val="0"/>
              <w:marRight w:val="0"/>
              <w:marTop w:val="0"/>
              <w:marBottom w:val="0"/>
              <w:divBdr>
                <w:top w:val="none" w:sz="0" w:space="0" w:color="auto"/>
                <w:left w:val="none" w:sz="0" w:space="0" w:color="auto"/>
                <w:bottom w:val="none" w:sz="0" w:space="0" w:color="auto"/>
                <w:right w:val="none" w:sz="0" w:space="0" w:color="auto"/>
              </w:divBdr>
              <w:divsChild>
                <w:div w:id="370763420">
                  <w:marLeft w:val="0"/>
                  <w:marRight w:val="0"/>
                  <w:marTop w:val="0"/>
                  <w:marBottom w:val="0"/>
                  <w:divBdr>
                    <w:top w:val="none" w:sz="0" w:space="0" w:color="auto"/>
                    <w:left w:val="none" w:sz="0" w:space="0" w:color="auto"/>
                    <w:bottom w:val="none" w:sz="0" w:space="0" w:color="auto"/>
                    <w:right w:val="none" w:sz="0" w:space="0" w:color="auto"/>
                  </w:divBdr>
                  <w:divsChild>
                    <w:div w:id="16132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38661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983980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1082</Words>
  <Characters>6173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Tamsin Benn</cp:lastModifiedBy>
  <cp:revision>2</cp:revision>
  <cp:lastPrinted>2020-02-11T19:20:00Z</cp:lastPrinted>
  <dcterms:created xsi:type="dcterms:W3CDTF">2024-07-28T15:20:00Z</dcterms:created>
  <dcterms:modified xsi:type="dcterms:W3CDTF">2024-07-28T15:20:00Z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