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53CBC" w14:textId="6AB9E019" w:rsidR="00E03C4F" w:rsidRPr="00E03C4F" w:rsidRDefault="00E03C4F" w:rsidP="00E03C4F">
      <w:pPr>
        <w:spacing w:after="0" w:line="240" w:lineRule="auto"/>
        <w:rPr>
          <w:rFonts w:ascii="Georgia" w:eastAsia="Georgia" w:hAnsi="Georgia" w:cs="Georgia"/>
          <w:color w:val="000000"/>
          <w:sz w:val="21"/>
          <w:szCs w:val="21"/>
          <w:u w:color="000000"/>
        </w:rPr>
      </w:pPr>
      <w:r w:rsidRPr="00E03C4F">
        <w:rPr>
          <w:rFonts w:ascii="Georgia" w:eastAsia="Georgia" w:hAnsi="Georgia" w:cs="Georgia"/>
          <w:noProof/>
          <w:color w:val="000000"/>
          <w:sz w:val="21"/>
          <w:szCs w:val="21"/>
          <w:u w:color="000000"/>
        </w:rPr>
        <w:drawing>
          <wp:inline distT="0" distB="0" distL="0" distR="0" wp14:anchorId="05ED69EC" wp14:editId="441813BC">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63F79C09" w14:textId="77777777" w:rsidR="00E03C4F" w:rsidRPr="00E03C4F" w:rsidRDefault="00E03C4F" w:rsidP="00E03C4F">
      <w:pPr>
        <w:spacing w:after="0" w:line="240" w:lineRule="auto"/>
        <w:rPr>
          <w:rFonts w:ascii="Georgia" w:eastAsia="Georgia" w:hAnsi="Georgia" w:cs="Georgia"/>
          <w:color w:val="000000"/>
          <w:sz w:val="21"/>
          <w:szCs w:val="21"/>
          <w:u w:color="000000"/>
        </w:rPr>
      </w:pPr>
    </w:p>
    <w:p w14:paraId="2D29F7C3" w14:textId="77777777" w:rsidR="00E03C4F" w:rsidRPr="00E03C4F" w:rsidRDefault="00E03C4F" w:rsidP="00E03C4F">
      <w:pPr>
        <w:spacing w:after="0" w:line="240" w:lineRule="auto"/>
        <w:rPr>
          <w:rFonts w:ascii="Georgia" w:eastAsia="Georgia" w:hAnsi="Georgia" w:cs="Georgia"/>
          <w:color w:val="000000"/>
          <w:sz w:val="21"/>
          <w:szCs w:val="21"/>
          <w:u w:color="000000"/>
        </w:rPr>
      </w:pPr>
    </w:p>
    <w:p w14:paraId="3E12CA28" w14:textId="77777777" w:rsidR="00E03C4F" w:rsidRPr="00E03C4F" w:rsidRDefault="00E03C4F" w:rsidP="00E03C4F">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 xml:space="preserve">Postgraduate/Distance Learning </w:t>
      </w:r>
    </w:p>
    <w:p w14:paraId="71E243F5" w14:textId="77777777" w:rsidR="00E03C4F" w:rsidRPr="00E03C4F" w:rsidRDefault="00E03C4F" w:rsidP="00E03C4F">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Assignment coversheet &amp; feedback form</w:t>
      </w:r>
    </w:p>
    <w:p w14:paraId="10560FA2" w14:textId="77777777" w:rsidR="00E03C4F" w:rsidRPr="00E03C4F" w:rsidRDefault="00E03C4F" w:rsidP="00E03C4F">
      <w:pPr>
        <w:spacing w:before="160" w:after="0" w:line="240" w:lineRule="auto"/>
        <w:rPr>
          <w:rFonts w:ascii="Arial" w:eastAsia="Arial" w:hAnsi="Arial" w:cs="Arial"/>
          <w:color w:val="000000"/>
          <w:sz w:val="28"/>
          <w:szCs w:val="28"/>
          <w:u w:color="000000"/>
          <w:lang w:val="en-GB" w:eastAsia="en-GB"/>
        </w:rPr>
      </w:pPr>
    </w:p>
    <w:p w14:paraId="50A2769E" w14:textId="77777777" w:rsidR="00E03C4F" w:rsidRPr="00E03C4F" w:rsidRDefault="00E03C4F" w:rsidP="00E03C4F">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E03C4F">
        <w:rPr>
          <w:rFonts w:ascii="Tahoma Bold" w:eastAsia="Arial Unicode MS" w:hAnsi="Tahoma Bold" w:cs="Arial Unicode MS"/>
          <w:color w:val="000000"/>
          <w:sz w:val="20"/>
          <w:szCs w:val="20"/>
          <w:u w:color="000000"/>
          <w:lang w:val="en-GB" w:eastAsia="en-GB"/>
        </w:rPr>
        <w:t xml:space="preserve">THIS SHEET MUST BE THE FIRST PAGE OF THE ASSIGNMENT YOU ARE </w:t>
      </w:r>
      <w:proofErr w:type="gramStart"/>
      <w:r w:rsidRPr="00E03C4F">
        <w:rPr>
          <w:rFonts w:ascii="Tahoma Bold" w:eastAsia="Arial Unicode MS" w:hAnsi="Tahoma Bold" w:cs="Arial Unicode MS"/>
          <w:color w:val="000000"/>
          <w:sz w:val="20"/>
          <w:szCs w:val="20"/>
          <w:u w:color="000000"/>
          <w:lang w:val="en-GB" w:eastAsia="en-GB"/>
        </w:rPr>
        <w:t>SUBMITTING  (</w:t>
      </w:r>
      <w:proofErr w:type="gramEnd"/>
      <w:r w:rsidRPr="00E03C4F">
        <w:rPr>
          <w:rFonts w:ascii="Tahoma Bold" w:eastAsia="Arial Unicode MS" w:hAnsi="Tahoma Bold" w:cs="Arial Unicode MS"/>
          <w:color w:val="000000"/>
          <w:sz w:val="20"/>
          <w:szCs w:val="20"/>
          <w:u w:color="000000"/>
          <w:lang w:val="en-GB" w:eastAsia="en-GB"/>
        </w:rPr>
        <w:t>DO NOT SEND AS A SEPARATE FILE)</w:t>
      </w:r>
    </w:p>
    <w:p w14:paraId="03AD7128" w14:textId="77777777" w:rsidR="00E03C4F" w:rsidRPr="00E03C4F" w:rsidRDefault="00E03C4F" w:rsidP="00E03C4F">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03C4F" w:rsidRPr="00E03C4F" w14:paraId="73F5D762" w14:textId="77777777" w:rsidTr="0052568B">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FDAB245"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b/>
                <w:bCs/>
                <w:color w:val="000000"/>
                <w:u w:color="000000"/>
              </w:rPr>
              <w:t>For completion by the student</w:t>
            </w:r>
            <w:r w:rsidRPr="00E03C4F">
              <w:rPr>
                <w:rFonts w:ascii="Arial" w:eastAsia="Arial Unicode MS" w:hAnsi="Arial" w:cs="Arial Unicode MS"/>
                <w:color w:val="000000"/>
                <w:u w:color="000000"/>
              </w:rPr>
              <w:t>:</w:t>
            </w:r>
          </w:p>
        </w:tc>
      </w:tr>
      <w:tr w:rsidR="00E03C4F" w:rsidRPr="00E03C4F" w14:paraId="00A5443F" w14:textId="77777777" w:rsidTr="0052568B">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54AE08" w14:textId="02CC7BEF"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 xml:space="preserve"> Kimberly Corrall</w:t>
            </w:r>
          </w:p>
        </w:tc>
      </w:tr>
      <w:tr w:rsidR="00E03C4F" w:rsidRPr="00E03C4F" w14:paraId="4EB2AE8E" w14:textId="77777777" w:rsidTr="0052568B">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F37E878" w14:textId="3E3B3624"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code:  </w:t>
            </w:r>
            <w:r>
              <w:rPr>
                <w:rFonts w:ascii="Arial" w:eastAsia="Arial Unicode MS" w:hAnsi="Arial" w:cs="Arial Unicode MS"/>
                <w:color w:val="000000"/>
                <w:u w:color="000000"/>
              </w:rPr>
              <w:t>HPCA7023</w:t>
            </w:r>
          </w:p>
          <w:p w14:paraId="7EDE3DA6" w14:textId="77777777" w:rsidR="00E03C4F" w:rsidRPr="00E03C4F" w:rsidRDefault="00E03C4F" w:rsidP="00E03C4F">
            <w:pPr>
              <w:spacing w:after="0" w:line="240" w:lineRule="auto"/>
              <w:ind w:right="34"/>
              <w:rPr>
                <w:rFonts w:ascii="Arial" w:eastAsia="Arial" w:hAnsi="Arial" w:cs="Arial"/>
                <w:color w:val="000000"/>
                <w:u w:color="000000"/>
              </w:rPr>
            </w:pPr>
          </w:p>
          <w:p w14:paraId="2EF010DA" w14:textId="427B727E"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Ecology and Spirituality</w:t>
            </w:r>
          </w:p>
          <w:p w14:paraId="4AC3454D"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15854A1" w14:textId="77777777" w:rsidR="00E03C4F" w:rsidRDefault="00E03C4F" w:rsidP="00E03C4F">
            <w:pPr>
              <w:spacing w:after="0" w:line="240" w:lineRule="auto"/>
              <w:ind w:right="34"/>
              <w:rPr>
                <w:rFonts w:ascii="Arial" w:eastAsia="Arial Unicode MS" w:hAnsi="Arial" w:cs="Arial Unicode MS"/>
                <w:color w:val="000000"/>
                <w:u w:color="000000"/>
              </w:rPr>
            </w:pPr>
            <w:r w:rsidRPr="00E03C4F">
              <w:rPr>
                <w:rFonts w:ascii="Arial" w:eastAsia="Arial Unicode MS" w:hAnsi="Arial" w:cs="Arial Unicode MS"/>
                <w:color w:val="000000"/>
                <w:u w:color="000000"/>
              </w:rPr>
              <w:t xml:space="preserve">Student ID number:  </w:t>
            </w:r>
          </w:p>
          <w:p w14:paraId="4046671A" w14:textId="67B21CA6" w:rsidR="00E03C4F" w:rsidRPr="00E03C4F" w:rsidRDefault="00E03C4F" w:rsidP="00E03C4F">
            <w:pPr>
              <w:spacing w:after="0" w:line="240" w:lineRule="auto"/>
              <w:ind w:right="34"/>
              <w:rPr>
                <w:rFonts w:ascii="Times New Roman" w:eastAsia="Times New Roman" w:hAnsi="Times New Roman" w:cs="Times New Roman"/>
                <w:sz w:val="24"/>
                <w:szCs w:val="24"/>
              </w:rPr>
            </w:pPr>
            <w:r>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43E2232" w14:textId="6E9FF7F3"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Educational support needs:</w:t>
            </w:r>
            <w:r w:rsidR="00B3290C">
              <w:rPr>
                <w:rFonts w:ascii="Arial" w:eastAsia="Arial" w:hAnsi="Arial" w:cs="Arial"/>
                <w:color w:val="000000"/>
                <w:u w:color="000000"/>
              </w:rPr>
              <w:t xml:space="preserve">  </w:t>
            </w:r>
            <w:r w:rsidRPr="00E03C4F">
              <w:rPr>
                <w:rFonts w:ascii="Arial" w:eastAsia="Arial Unicode MS" w:hAnsi="Arial" w:cs="Arial Unicode MS"/>
                <w:color w:val="000000"/>
                <w:u w:color="000000"/>
              </w:rPr>
              <w:t>No</w:t>
            </w:r>
          </w:p>
        </w:tc>
      </w:tr>
      <w:tr w:rsidR="00E03C4F" w:rsidRPr="00E03C4F" w14:paraId="2ED1763C" w14:textId="77777777" w:rsidTr="0052568B">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7DF67FC" w14:textId="3547275E"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tutor:  </w:t>
            </w:r>
            <w:r w:rsidR="00B3290C">
              <w:rPr>
                <w:rFonts w:ascii="Arial" w:eastAsia="Arial Unicode MS" w:hAnsi="Arial" w:cs="Arial Unicode MS"/>
                <w:color w:val="000000"/>
                <w:u w:color="000000"/>
              </w:rPr>
              <w:t>Dr. Jack Hunter</w:t>
            </w:r>
          </w:p>
          <w:p w14:paraId="10A505B1" w14:textId="77777777" w:rsidR="00E03C4F" w:rsidRPr="00E03C4F" w:rsidRDefault="00E03C4F" w:rsidP="00E03C4F">
            <w:pPr>
              <w:spacing w:after="0" w:line="240" w:lineRule="auto"/>
              <w:ind w:right="34"/>
              <w:rPr>
                <w:rFonts w:ascii="Arial" w:eastAsia="Arial" w:hAnsi="Arial" w:cs="Arial"/>
                <w:color w:val="000000"/>
                <w:u w:color="000000"/>
              </w:rPr>
            </w:pPr>
          </w:p>
          <w:p w14:paraId="25D8144B" w14:textId="77777777" w:rsidR="00E03C4F" w:rsidRPr="00E03C4F" w:rsidRDefault="00E03C4F" w:rsidP="00E03C4F">
            <w:pPr>
              <w:spacing w:after="0" w:line="240" w:lineRule="auto"/>
              <w:ind w:right="34"/>
              <w:rPr>
                <w:rFonts w:ascii="Arial" w:eastAsia="Arial" w:hAnsi="Arial" w:cs="Arial"/>
                <w:color w:val="000000"/>
                <w:u w:color="000000"/>
              </w:rPr>
            </w:pPr>
          </w:p>
          <w:p w14:paraId="6D8F558A" w14:textId="04D63386"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Assignment due date:</w:t>
            </w:r>
            <w:r w:rsidR="00B3290C">
              <w:rPr>
                <w:rFonts w:ascii="Arial" w:eastAsia="Arial Unicode MS" w:hAnsi="Arial" w:cs="Arial Unicode MS"/>
                <w:color w:val="000000"/>
                <w:u w:color="000000"/>
              </w:rPr>
              <w:t xml:space="preserve">  November 17,2021</w:t>
            </w:r>
          </w:p>
        </w:tc>
      </w:tr>
      <w:tr w:rsidR="00E03C4F" w:rsidRPr="00E03C4F" w14:paraId="235C194C" w14:textId="77777777" w:rsidTr="0052568B">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B1B33D" w14:textId="77777777" w:rsidR="00E03C4F" w:rsidRPr="00E03C4F" w:rsidRDefault="00E03C4F" w:rsidP="00E03C4F">
            <w:pPr>
              <w:spacing w:before="160" w:after="0" w:line="240" w:lineRule="auto"/>
              <w:rPr>
                <w:rFonts w:ascii="Arial" w:eastAsia="Arial" w:hAnsi="Arial" w:cs="Arial"/>
                <w:color w:val="000000"/>
                <w:sz w:val="24"/>
                <w:szCs w:val="24"/>
                <w:u w:color="000000"/>
                <w:lang w:val="en-GB" w:eastAsia="en-GB"/>
              </w:rPr>
            </w:pPr>
            <w:r w:rsidRPr="00E03C4F">
              <w:rPr>
                <w:rFonts w:ascii="Arial" w:eastAsia="Arial Unicode MS" w:hAnsi="Arial" w:cs="Arial Unicode MS"/>
                <w:color w:val="000000"/>
                <w:sz w:val="24"/>
                <w:szCs w:val="24"/>
                <w:u w:color="000000"/>
                <w:lang w:eastAsia="en-GB"/>
              </w:rPr>
              <w:t xml:space="preserve">If your module has multiple </w:t>
            </w:r>
            <w:proofErr w:type="gramStart"/>
            <w:r w:rsidRPr="00E03C4F">
              <w:rPr>
                <w:rFonts w:ascii="Arial" w:eastAsia="Arial Unicode MS" w:hAnsi="Arial" w:cs="Arial Unicode MS"/>
                <w:color w:val="000000"/>
                <w:sz w:val="24"/>
                <w:szCs w:val="24"/>
                <w:u w:color="000000"/>
                <w:lang w:eastAsia="en-GB"/>
              </w:rPr>
              <w:t>submissions</w:t>
            </w:r>
            <w:proofErr w:type="gramEnd"/>
            <w:r w:rsidRPr="00E03C4F">
              <w:rPr>
                <w:rFonts w:ascii="Arial" w:eastAsia="Arial Unicode MS" w:hAnsi="Arial" w:cs="Arial Unicode MS"/>
                <w:color w:val="000000"/>
                <w:sz w:val="24"/>
                <w:szCs w:val="24"/>
                <w:u w:color="000000"/>
                <w:lang w:eastAsia="en-GB"/>
              </w:rPr>
              <w:t xml:space="preserve"> please indicate which piece of work this is.</w:t>
            </w:r>
          </w:p>
          <w:p w14:paraId="20360407" w14:textId="77777777" w:rsidR="00E03C4F" w:rsidRPr="00E03C4F" w:rsidRDefault="00E03C4F" w:rsidP="00E03C4F">
            <w:pPr>
              <w:spacing w:before="160" w:after="0" w:line="240" w:lineRule="auto"/>
              <w:rPr>
                <w:rFonts w:ascii="Arial" w:eastAsia="Arial" w:hAnsi="Arial" w:cs="Arial"/>
                <w:color w:val="000000"/>
                <w:sz w:val="24"/>
                <w:szCs w:val="24"/>
                <w:u w:color="000000"/>
                <w:lang w:eastAsia="en-GB"/>
              </w:rPr>
            </w:pPr>
          </w:p>
          <w:p w14:paraId="5345445A" w14:textId="44098A47" w:rsidR="00E03C4F" w:rsidRPr="00E03C4F" w:rsidRDefault="00377C44" w:rsidP="00E03C4F">
            <w:pPr>
              <w:spacing w:before="160" w:after="0" w:line="240" w:lineRule="auto"/>
              <w:rPr>
                <w:rFonts w:ascii="Arial" w:eastAsia="Arial Unicode MS" w:hAnsi="Arial" w:cs="Arial Unicode MS"/>
                <w:color w:val="000000"/>
                <w:sz w:val="24"/>
                <w:szCs w:val="24"/>
                <w:u w:color="000000"/>
                <w:lang w:eastAsia="en-GB"/>
              </w:rPr>
            </w:pP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Content>
                <w:r>
                  <w:rPr>
                    <w:rFonts w:ascii="MS Gothic" w:eastAsia="MS Gothic" w:hAnsi="MS Gothic" w:cs="Arial Unicode MS" w:hint="eastAsia"/>
                    <w:b/>
                    <w:bCs/>
                    <w:color w:val="000000"/>
                    <w:sz w:val="24"/>
                    <w:szCs w:val="24"/>
                    <w:u w:color="000000"/>
                    <w:lang w:eastAsia="en-GB"/>
                  </w:rPr>
                  <w:t>☒</w:t>
                </w:r>
              </w:sdtContent>
            </w:sdt>
            <w:r w:rsidR="00E03C4F" w:rsidRPr="00E03C4F">
              <w:rPr>
                <w:rFonts w:ascii="Arial" w:eastAsia="Arial Unicode MS" w:hAnsi="Arial" w:cs="Arial Unicode MS"/>
                <w:b/>
                <w:bCs/>
                <w:color w:val="000000"/>
                <w:sz w:val="24"/>
                <w:szCs w:val="24"/>
                <w:u w:color="000000"/>
                <w:lang w:eastAsia="en-GB"/>
              </w:rPr>
              <w:t>1</w:t>
            </w:r>
            <w:r w:rsidR="00E03C4F" w:rsidRPr="00E03C4F">
              <w:rPr>
                <w:rFonts w:ascii="Arial" w:eastAsia="Arial Unicode MS" w:hAnsi="Arial" w:cs="Arial Unicode MS"/>
                <w:b/>
                <w:bCs/>
                <w:color w:val="000000"/>
                <w:sz w:val="24"/>
                <w:szCs w:val="24"/>
                <w:u w:color="000000"/>
                <w:vertAlign w:val="superscript"/>
                <w:lang w:eastAsia="en-GB"/>
              </w:rPr>
              <w:t xml:space="preserve">st </w:t>
            </w:r>
            <w:r w:rsidR="00E03C4F" w:rsidRPr="00E03C4F">
              <w:rPr>
                <w:rFonts w:ascii="Arial" w:eastAsia="Arial Unicode MS" w:hAnsi="Arial" w:cs="Arial Unicode MS"/>
                <w:color w:val="000000"/>
                <w:sz w:val="24"/>
                <w:szCs w:val="24"/>
                <w:u w:color="000000"/>
                <w:lang w:eastAsia="en-GB"/>
              </w:rPr>
              <w:t xml:space="preserve">    2</w:t>
            </w:r>
            <w:r w:rsidR="00E03C4F" w:rsidRPr="00E03C4F">
              <w:rPr>
                <w:rFonts w:ascii="Arial" w:eastAsia="Arial Unicode MS" w:hAnsi="Arial" w:cs="Arial Unicode MS"/>
                <w:color w:val="000000"/>
                <w:sz w:val="24"/>
                <w:szCs w:val="24"/>
                <w:u w:color="000000"/>
                <w:vertAlign w:val="superscript"/>
                <w:lang w:eastAsia="en-GB"/>
              </w:rPr>
              <w:t>nd</w:t>
            </w:r>
            <w:r w:rsidR="00E03C4F" w:rsidRPr="00E03C4F">
              <w:rPr>
                <w:rFonts w:ascii="Arial" w:eastAsia="Arial Unicode MS" w:hAnsi="Arial" w:cs="Arial Unicode MS"/>
                <w:color w:val="000000"/>
                <w:sz w:val="24"/>
                <w:szCs w:val="24"/>
                <w:u w:color="000000"/>
                <w:lang w:eastAsia="en-GB"/>
              </w:rPr>
              <w:t xml:space="preserve">       3</w:t>
            </w:r>
            <w:r w:rsidR="00E03C4F" w:rsidRPr="00E03C4F">
              <w:rPr>
                <w:rFonts w:ascii="Arial" w:eastAsia="Arial Unicode MS" w:hAnsi="Arial" w:cs="Arial Unicode MS"/>
                <w:color w:val="000000"/>
                <w:sz w:val="24"/>
                <w:szCs w:val="24"/>
                <w:u w:color="000000"/>
                <w:vertAlign w:val="superscript"/>
                <w:lang w:eastAsia="en-GB"/>
              </w:rPr>
              <w:t>rd</w:t>
            </w:r>
            <w:r w:rsidR="00E03C4F" w:rsidRPr="00E03C4F">
              <w:rPr>
                <w:rFonts w:ascii="Arial" w:eastAsia="Arial Unicode MS" w:hAnsi="Arial" w:cs="Arial Unicode MS"/>
                <w:color w:val="000000"/>
                <w:sz w:val="24"/>
                <w:szCs w:val="24"/>
                <w:u w:color="000000"/>
                <w:lang w:eastAsia="en-GB"/>
              </w:rPr>
              <w:t xml:space="preserve">        4</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5</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6</w:t>
            </w:r>
            <w:r w:rsidR="00E03C4F" w:rsidRPr="00E03C4F">
              <w:rPr>
                <w:rFonts w:ascii="Arial" w:eastAsia="Arial Unicode MS" w:hAnsi="Arial" w:cs="Arial Unicode MS"/>
                <w:color w:val="000000"/>
                <w:sz w:val="24"/>
                <w:szCs w:val="24"/>
                <w:u w:color="000000"/>
                <w:vertAlign w:val="superscript"/>
                <w:lang w:eastAsia="en-GB"/>
              </w:rPr>
              <w:t>th</w:t>
            </w:r>
            <w:r w:rsidR="00E03C4F" w:rsidRPr="00E03C4F">
              <w:rPr>
                <w:rFonts w:ascii="Arial" w:eastAsia="Arial Unicode MS" w:hAnsi="Arial" w:cs="Arial Unicode MS"/>
                <w:color w:val="000000"/>
                <w:sz w:val="24"/>
                <w:szCs w:val="24"/>
                <w:u w:color="000000"/>
                <w:lang w:eastAsia="en-GB"/>
              </w:rPr>
              <w:t xml:space="preserve"> </w:t>
            </w:r>
          </w:p>
        </w:tc>
      </w:tr>
      <w:tr w:rsidR="00E03C4F" w:rsidRPr="00E03C4F" w14:paraId="5A20AE46" w14:textId="77777777" w:rsidTr="0052568B">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F4341F7" w14:textId="77777777"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I confirm that this is my original work and that I have adhered to the University policy on plagiarism.</w:t>
            </w:r>
          </w:p>
          <w:p w14:paraId="724673E6" w14:textId="537CC03F" w:rsidR="00E03C4F" w:rsidRPr="00E03C4F" w:rsidRDefault="00E03C4F" w:rsidP="00E03C4F">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Signed (type your name </w:t>
            </w:r>
            <w:proofErr w:type="gramStart"/>
            <w:r w:rsidRPr="00E03C4F">
              <w:rPr>
                <w:rFonts w:ascii="Arial" w:eastAsia="Arial Unicode MS" w:hAnsi="Arial" w:cs="Arial Unicode MS"/>
                <w:color w:val="000000"/>
                <w:u w:color="000000"/>
              </w:rPr>
              <w:t>in)…</w:t>
            </w:r>
            <w:proofErr w:type="gramEnd"/>
            <w:r w:rsidRPr="00E03C4F">
              <w:rPr>
                <w:rFonts w:ascii="Arial" w:eastAsia="Arial Unicode MS" w:hAnsi="Arial" w:cs="Arial Unicode MS"/>
                <w:color w:val="000000"/>
                <w:u w:color="000000"/>
              </w:rPr>
              <w:t>…</w:t>
            </w:r>
            <w:r w:rsidR="00B3290C">
              <w:rPr>
                <w:rFonts w:ascii="Arial" w:eastAsia="Arial Unicode MS" w:hAnsi="Arial" w:cs="Arial Unicode MS"/>
                <w:color w:val="000000"/>
                <w:u w:color="000000"/>
              </w:rPr>
              <w:t>Kimberly Corrall</w:t>
            </w:r>
            <w:r w:rsidRPr="00E03C4F">
              <w:rPr>
                <w:rFonts w:ascii="Arial" w:eastAsia="Arial Unicode MS" w:hAnsi="Arial" w:cs="Arial Unicode MS"/>
                <w:color w:val="000000"/>
                <w:u w:color="000000"/>
              </w:rPr>
              <w:t>……………………………………………</w:t>
            </w:r>
          </w:p>
          <w:p w14:paraId="13D93039" w14:textId="79CAC3A4" w:rsidR="00E03C4F" w:rsidRPr="00E03C4F" w:rsidRDefault="00E03C4F" w:rsidP="00E03C4F">
            <w:pPr>
              <w:spacing w:after="0" w:line="240" w:lineRule="auto"/>
              <w:ind w:right="34"/>
              <w:rPr>
                <w:rFonts w:ascii="Calibri" w:eastAsia="Calibri" w:hAnsi="Calibri" w:cs="Calibri"/>
                <w:b/>
                <w:bCs/>
                <w:color w:val="000000"/>
                <w:sz w:val="44"/>
                <w:szCs w:val="44"/>
                <w:u w:color="000000"/>
              </w:rPr>
            </w:pPr>
            <w:r w:rsidRPr="00E03C4F">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Content>
                <w:r w:rsidR="00B3290C" w:rsidRPr="00B3290C">
                  <w:rPr>
                    <w:rFonts w:ascii="MS Gothic" w:eastAsia="MS Gothic" w:hAnsi="MS Gothic" w:cs="Arial Unicode MS" w:hint="eastAsia"/>
                    <w:b/>
                    <w:bCs/>
                    <w:color w:val="000000"/>
                    <w:sz w:val="24"/>
                    <w:szCs w:val="24"/>
                    <w:u w:color="000000"/>
                  </w:rPr>
                  <w:t>☒</w:t>
                </w:r>
              </w:sdtContent>
            </w:sdt>
          </w:p>
          <w:p w14:paraId="0E1BC351" w14:textId="77777777" w:rsidR="00E03C4F" w:rsidRPr="00E03C4F" w:rsidRDefault="00E03C4F" w:rsidP="00E03C4F">
            <w:pPr>
              <w:spacing w:after="0" w:line="240" w:lineRule="auto"/>
              <w:ind w:right="34"/>
              <w:rPr>
                <w:rFonts w:ascii="Times New Roman" w:eastAsia="Times New Roman" w:hAnsi="Times New Roman" w:cs="Times New Roman"/>
                <w:sz w:val="24"/>
                <w:szCs w:val="24"/>
              </w:rPr>
            </w:pPr>
            <w:r w:rsidRPr="00E03C4F">
              <w:rPr>
                <w:rFonts w:ascii="Calibri" w:eastAsia="Arial Unicode MS" w:hAnsi="Calibri" w:cs="Arial Unicode MS"/>
                <w:b/>
                <w:bCs/>
                <w:color w:val="000000"/>
                <w:sz w:val="24"/>
                <w:szCs w:val="24"/>
                <w:u w:color="000000"/>
              </w:rPr>
              <w:t>(as a substitute for your signature) to confirm that you agree to the above declaration.</w:t>
            </w:r>
          </w:p>
        </w:tc>
      </w:tr>
      <w:tr w:rsidR="00E03C4F" w:rsidRPr="00E03C4F" w14:paraId="0F7A0B16" w14:textId="77777777" w:rsidTr="0052568B">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AA7F2"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2399B3B3"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Assignment Mark</w:t>
            </w:r>
          </w:p>
          <w:p w14:paraId="5A8FAA20" w14:textId="77777777" w:rsidR="00E03C4F" w:rsidRPr="00E03C4F" w:rsidRDefault="00E03C4F" w:rsidP="00E03C4F">
            <w:pPr>
              <w:spacing w:before="160" w:after="0" w:line="240" w:lineRule="auto"/>
              <w:rPr>
                <w:rFonts w:ascii="Arial" w:eastAsia="Arial" w:hAnsi="Arial" w:cs="Arial"/>
                <w:color w:val="000000"/>
                <w:sz w:val="20"/>
                <w:szCs w:val="20"/>
                <w:u w:color="000000"/>
                <w:lang w:eastAsia="en-GB"/>
              </w:rPr>
            </w:pPr>
          </w:p>
          <w:p w14:paraId="547E6E22" w14:textId="77777777" w:rsidR="00E03C4F" w:rsidRPr="00E03C4F" w:rsidRDefault="00E03C4F" w:rsidP="00E03C4F">
            <w:pPr>
              <w:spacing w:before="160" w:after="0" w:line="240" w:lineRule="auto"/>
              <w:rPr>
                <w:rFonts w:ascii="Arial" w:eastAsia="Arial" w:hAnsi="Arial" w:cs="Arial"/>
                <w:b/>
                <w:bCs/>
                <w:color w:val="000000"/>
                <w:sz w:val="20"/>
                <w:szCs w:val="20"/>
                <w:u w:color="000000"/>
                <w:lang w:val="en-GB" w:eastAsia="en-GB"/>
              </w:rPr>
            </w:pPr>
            <w:r w:rsidRPr="00E03C4F">
              <w:rPr>
                <w:rFonts w:ascii="Arial" w:eastAsia="Arial Unicode MS" w:hAnsi="Arial" w:cs="Arial Unicode MS"/>
                <w:b/>
                <w:bCs/>
                <w:color w:val="000000"/>
                <w:sz w:val="20"/>
                <w:szCs w:val="20"/>
                <w:u w:color="000000"/>
                <w:lang w:eastAsia="en-GB"/>
              </w:rPr>
              <w:t>Final Mark</w:t>
            </w:r>
          </w:p>
          <w:p w14:paraId="1153E665" w14:textId="77777777" w:rsidR="00E03C4F" w:rsidRPr="00E03C4F" w:rsidRDefault="00E03C4F" w:rsidP="00E03C4F">
            <w:pPr>
              <w:spacing w:before="160" w:after="0" w:line="240" w:lineRule="auto"/>
              <w:rPr>
                <w:rFonts w:ascii="Arial" w:eastAsia="Arial" w:hAnsi="Arial" w:cs="Arial"/>
                <w:color w:val="000000"/>
                <w:sz w:val="20"/>
                <w:szCs w:val="20"/>
                <w:u w:color="000000"/>
                <w:lang w:eastAsia="en-GB"/>
              </w:rPr>
            </w:pPr>
            <w:r w:rsidRPr="00E03C4F">
              <w:rPr>
                <w:rFonts w:ascii="Arial" w:eastAsia="Arial" w:hAnsi="Arial" w:cs="Arial"/>
                <w:b/>
                <w:bCs/>
                <w:color w:val="000000"/>
                <w:sz w:val="20"/>
                <w:szCs w:val="20"/>
                <w:u w:color="000000"/>
                <w:lang w:val="en-GB" w:eastAsia="en-GB"/>
              </w:rPr>
              <w:tab/>
            </w:r>
            <w:r w:rsidRPr="00E03C4F">
              <w:rPr>
                <w:rFonts w:ascii="Arial" w:eastAsia="Arial Unicode MS" w:hAnsi="Arial" w:cs="Arial Unicode MS"/>
                <w:color w:val="000000"/>
                <w:sz w:val="20"/>
                <w:szCs w:val="20"/>
                <w:u w:color="000000"/>
                <w:lang w:eastAsia="en-GB"/>
              </w:rPr>
              <w:t>WILL BE GIVEN ON TURNITIN</w:t>
            </w:r>
          </w:p>
          <w:p w14:paraId="5ABA7493" w14:textId="77777777" w:rsidR="00E03C4F" w:rsidRPr="00E03C4F" w:rsidRDefault="00E03C4F" w:rsidP="00E03C4F">
            <w:pPr>
              <w:spacing w:after="0" w:line="240" w:lineRule="auto"/>
              <w:ind w:left="142" w:right="34"/>
              <w:rPr>
                <w:rFonts w:ascii="Arial" w:eastAsia="Arial" w:hAnsi="Arial" w:cs="Arial"/>
                <w:b/>
                <w:bCs/>
                <w:color w:val="000000"/>
                <w:u w:color="000000"/>
              </w:rPr>
            </w:pPr>
          </w:p>
          <w:p w14:paraId="3E171AF9" w14:textId="77777777" w:rsidR="00E03C4F" w:rsidRPr="00E03C4F" w:rsidRDefault="00E03C4F" w:rsidP="00E03C4F">
            <w:pPr>
              <w:spacing w:after="0" w:line="240" w:lineRule="auto"/>
              <w:ind w:left="142" w:right="34"/>
              <w:rPr>
                <w:rFonts w:ascii="Arial" w:eastAsia="Arial" w:hAnsi="Arial" w:cs="Arial"/>
                <w:color w:val="000000"/>
                <w:u w:color="000000"/>
              </w:rPr>
            </w:pPr>
            <w:r w:rsidRPr="00E03C4F">
              <w:rPr>
                <w:rFonts w:ascii="Arial" w:eastAsia="Arial Unicode MS" w:hAnsi="Arial" w:cs="Arial Unicode MS"/>
                <w:b/>
                <w:bCs/>
                <w:color w:val="000000"/>
                <w:u w:color="000000"/>
              </w:rPr>
              <w:t>NB.</w:t>
            </w:r>
            <w:r w:rsidRPr="00E03C4F">
              <w:rPr>
                <w:rFonts w:ascii="Arial" w:eastAsia="Arial Unicode MS" w:hAnsi="Arial" w:cs="Arial Unicode MS"/>
                <w:color w:val="000000"/>
                <w:u w:color="000000"/>
              </w:rPr>
              <w:t xml:space="preserve">  All marks are provisional until confirmed by the Final Examination Board.</w:t>
            </w:r>
          </w:p>
          <w:p w14:paraId="177287B2" w14:textId="77777777" w:rsidR="00E03C4F" w:rsidRPr="00E03C4F" w:rsidRDefault="00E03C4F" w:rsidP="00E03C4F">
            <w:pPr>
              <w:spacing w:after="0" w:line="240" w:lineRule="auto"/>
              <w:rPr>
                <w:rFonts w:ascii="Arial" w:eastAsia="Arial" w:hAnsi="Arial" w:cs="Arial"/>
                <w:b/>
                <w:bCs/>
                <w:color w:val="000000"/>
                <w:u w:color="000000"/>
              </w:rPr>
            </w:pPr>
          </w:p>
          <w:p w14:paraId="1FCC64D9"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PLEASE NOTE: ALL COMMENTS WILL BE POSTED ON TURNITIN</w:t>
            </w:r>
          </w:p>
          <w:p w14:paraId="7F45A09C" w14:textId="77777777" w:rsidR="00E03C4F" w:rsidRPr="00E03C4F" w:rsidRDefault="00E03C4F" w:rsidP="00E03C4F">
            <w:pPr>
              <w:spacing w:after="0" w:line="240" w:lineRule="auto"/>
              <w:rPr>
                <w:rFonts w:ascii="Arial" w:eastAsia="Arial" w:hAnsi="Arial" w:cs="Arial"/>
                <w:b/>
                <w:bCs/>
                <w:color w:val="000000"/>
                <w:u w:color="000000"/>
              </w:rPr>
            </w:pPr>
          </w:p>
          <w:p w14:paraId="2D2F8153" w14:textId="77777777" w:rsidR="00E03C4F" w:rsidRPr="00E03C4F" w:rsidRDefault="00E03C4F" w:rsidP="00E03C4F">
            <w:pPr>
              <w:spacing w:after="0" w:line="240" w:lineRule="auto"/>
              <w:rPr>
                <w:rFonts w:ascii="Arial" w:eastAsia="Arial" w:hAnsi="Arial" w:cs="Arial"/>
                <w:b/>
                <w:bCs/>
                <w:color w:val="000000"/>
                <w:u w:color="000000"/>
              </w:rPr>
            </w:pPr>
          </w:p>
          <w:p w14:paraId="12812259"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 xml:space="preserve">For completion by Marker </w:t>
            </w:r>
            <w:proofErr w:type="gramStart"/>
            <w:r w:rsidRPr="00E03C4F">
              <w:rPr>
                <w:rFonts w:ascii="Arial" w:eastAsia="Arial Unicode MS" w:hAnsi="Arial" w:cs="Arial Unicode MS"/>
                <w:b/>
                <w:bCs/>
                <w:color w:val="000000"/>
                <w:u w:color="000000"/>
              </w:rPr>
              <w:t>1 :</w:t>
            </w:r>
            <w:proofErr w:type="gramEnd"/>
          </w:p>
          <w:p w14:paraId="7F0F77F6" w14:textId="77777777" w:rsidR="00E03C4F" w:rsidRPr="00E03C4F" w:rsidRDefault="00E03C4F" w:rsidP="00E03C4F">
            <w:pPr>
              <w:spacing w:before="100" w:after="10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Comments:</w:t>
            </w:r>
          </w:p>
        </w:tc>
      </w:tr>
      <w:tr w:rsidR="00E03C4F" w:rsidRPr="00E03C4F" w14:paraId="3BB5CBD8" w14:textId="77777777" w:rsidTr="0052568B">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8080210" w14:textId="77777777" w:rsidR="00E03C4F" w:rsidRPr="00E03C4F" w:rsidRDefault="00E03C4F" w:rsidP="00E03C4F">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6440D0F" w14:textId="77777777" w:rsidR="00E03C4F" w:rsidRPr="00E03C4F" w:rsidRDefault="00E03C4F" w:rsidP="00E03C4F">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03C4F" w:rsidRPr="00E03C4F" w14:paraId="237B2C17" w14:textId="77777777" w:rsidTr="0052568B">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9FDAD" w14:textId="77777777" w:rsidR="00E03C4F" w:rsidRPr="00E03C4F" w:rsidRDefault="00E03C4F" w:rsidP="00E03C4F">
            <w:pPr>
              <w:spacing w:after="0" w:line="240" w:lineRule="auto"/>
              <w:rPr>
                <w:rFonts w:ascii="Arial" w:eastAsia="Arial" w:hAnsi="Arial" w:cs="Arial"/>
                <w:i/>
                <w:iCs/>
                <w:color w:val="000000"/>
                <w:u w:color="000000"/>
              </w:rPr>
            </w:pPr>
          </w:p>
          <w:p w14:paraId="3F65B861" w14:textId="77777777" w:rsidR="00E03C4F" w:rsidRPr="00E03C4F" w:rsidRDefault="00E03C4F" w:rsidP="00E03C4F">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2/Moderator:</w:t>
            </w:r>
          </w:p>
          <w:p w14:paraId="3C5F359C" w14:textId="77777777" w:rsidR="00E03C4F" w:rsidRPr="00E03C4F" w:rsidRDefault="00E03C4F" w:rsidP="00E03C4F">
            <w:pPr>
              <w:spacing w:after="0" w:line="240" w:lineRule="auto"/>
              <w:rPr>
                <w:rFonts w:ascii="Arial" w:eastAsia="Arial" w:hAnsi="Arial" w:cs="Arial"/>
                <w:b/>
                <w:bCs/>
                <w:color w:val="000000"/>
                <w:u w:color="000000"/>
              </w:rPr>
            </w:pPr>
          </w:p>
          <w:p w14:paraId="2B986961" w14:textId="77777777" w:rsidR="00E03C4F" w:rsidRPr="00E03C4F" w:rsidRDefault="00E03C4F" w:rsidP="00E03C4F">
            <w:pPr>
              <w:spacing w:after="0" w:line="240" w:lineRule="auto"/>
              <w:rPr>
                <w:rFonts w:ascii="Arial" w:eastAsia="Arial" w:hAnsi="Arial" w:cs="Arial"/>
                <w:color w:val="000000"/>
                <w:u w:color="000000"/>
              </w:rPr>
            </w:pPr>
            <w:r w:rsidRPr="00E03C4F">
              <w:rPr>
                <w:rFonts w:ascii="Arial" w:eastAsia="Arial Unicode MS" w:hAnsi="Arial" w:cs="Arial Unicode MS"/>
                <w:color w:val="000000"/>
                <w:u w:color="000000"/>
              </w:rPr>
              <w:t>Comments:</w:t>
            </w:r>
          </w:p>
          <w:p w14:paraId="110F8190" w14:textId="77777777" w:rsidR="00E03C4F" w:rsidRPr="00E03C4F" w:rsidRDefault="00E03C4F" w:rsidP="00E03C4F">
            <w:pPr>
              <w:spacing w:after="0" w:line="240" w:lineRule="auto"/>
              <w:rPr>
                <w:rFonts w:ascii="Arial" w:eastAsia="Arial" w:hAnsi="Arial" w:cs="Arial"/>
                <w:color w:val="000000"/>
                <w:u w:color="000000"/>
              </w:rPr>
            </w:pPr>
          </w:p>
          <w:p w14:paraId="1AEA2431" w14:textId="77777777" w:rsidR="00E03C4F" w:rsidRPr="00E03C4F" w:rsidRDefault="00E03C4F" w:rsidP="00E03C4F">
            <w:pPr>
              <w:spacing w:after="0" w:line="240" w:lineRule="auto"/>
              <w:rPr>
                <w:rFonts w:ascii="Times New Roman" w:eastAsia="Times New Roman" w:hAnsi="Times New Roman" w:cs="Times New Roman"/>
                <w:sz w:val="24"/>
                <w:szCs w:val="24"/>
              </w:rPr>
            </w:pPr>
          </w:p>
        </w:tc>
      </w:tr>
      <w:tr w:rsidR="00E03C4F" w:rsidRPr="00E03C4F" w14:paraId="0782E2AA" w14:textId="77777777" w:rsidTr="0052568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57425A" w14:textId="77777777" w:rsidR="00E03C4F" w:rsidRPr="00E03C4F" w:rsidRDefault="00E03C4F" w:rsidP="00E03C4F">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9941EC" w14:textId="77777777" w:rsidR="00E03C4F" w:rsidRPr="00E03C4F" w:rsidRDefault="00E03C4F" w:rsidP="00E03C4F">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E03C4F" w:rsidRPr="00E03C4F" w14:paraId="27003990" w14:textId="77777777" w:rsidTr="0052568B">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E44D6"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AGREED INTERNAL MARK (where necessary):</w:t>
            </w:r>
          </w:p>
          <w:p w14:paraId="46E39E9B"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25488A7C"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Comment on process of arriving at agreed mark:</w:t>
            </w:r>
          </w:p>
          <w:p w14:paraId="6AF57948"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663AAEDF"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74539A9E"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465F9808"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5C5855D4"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43E18793" w14:textId="77777777" w:rsidR="00E03C4F" w:rsidRPr="00E03C4F" w:rsidRDefault="00E03C4F" w:rsidP="00E03C4F">
            <w:pPr>
              <w:spacing w:before="160" w:after="0" w:line="240" w:lineRule="auto"/>
              <w:rPr>
                <w:rFonts w:ascii="Arial" w:eastAsia="Arial" w:hAnsi="Arial" w:cs="Arial"/>
                <w:b/>
                <w:bCs/>
                <w:color w:val="000000"/>
                <w:sz w:val="24"/>
                <w:szCs w:val="24"/>
                <w:u w:color="000000"/>
                <w:lang w:eastAsia="en-GB"/>
              </w:rPr>
            </w:pPr>
          </w:p>
          <w:p w14:paraId="3E1AD8E9" w14:textId="77777777" w:rsidR="00E03C4F" w:rsidRPr="00E03C4F" w:rsidRDefault="00E03C4F" w:rsidP="00E03C4F">
            <w:pPr>
              <w:spacing w:before="160" w:after="0" w:line="240" w:lineRule="auto"/>
              <w:rPr>
                <w:rFonts w:ascii="Helvetica Neue" w:eastAsia="Arial Unicode MS" w:hAnsi="Helvetica Neue" w:cs="Arial Unicode MS"/>
                <w:color w:val="000000"/>
                <w:sz w:val="24"/>
                <w:szCs w:val="24"/>
                <w:lang w:val="en-GB" w:eastAsia="en-GB"/>
              </w:rPr>
            </w:pPr>
          </w:p>
        </w:tc>
      </w:tr>
      <w:tr w:rsidR="00E03C4F" w:rsidRPr="00E03C4F" w14:paraId="6B74D62F" w14:textId="77777777" w:rsidTr="0052568B">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D17C3" w14:textId="77777777" w:rsidR="00E03C4F" w:rsidRPr="00E03C4F" w:rsidRDefault="00E03C4F" w:rsidP="00E03C4F">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External Examiner’s comments (if relevant)</w:t>
            </w:r>
          </w:p>
          <w:p w14:paraId="6175747F" w14:textId="77777777" w:rsidR="00E03C4F" w:rsidRPr="00E03C4F" w:rsidRDefault="00E03C4F" w:rsidP="00E03C4F">
            <w:pPr>
              <w:spacing w:after="0" w:line="240" w:lineRule="auto"/>
              <w:rPr>
                <w:rFonts w:ascii="Arial" w:eastAsia="Arial" w:hAnsi="Arial" w:cs="Arial"/>
                <w:color w:val="000000"/>
                <w:u w:color="000000"/>
              </w:rPr>
            </w:pPr>
          </w:p>
          <w:p w14:paraId="7203121D" w14:textId="77777777" w:rsidR="00E03C4F" w:rsidRPr="00E03C4F" w:rsidRDefault="00E03C4F" w:rsidP="00E03C4F">
            <w:pPr>
              <w:spacing w:after="0" w:line="240" w:lineRule="auto"/>
              <w:rPr>
                <w:rFonts w:ascii="Arial" w:eastAsia="Arial" w:hAnsi="Arial" w:cs="Arial"/>
                <w:color w:val="000000"/>
                <w:u w:color="000000"/>
              </w:rPr>
            </w:pPr>
          </w:p>
          <w:p w14:paraId="7ADAC48A" w14:textId="77777777" w:rsidR="00E03C4F" w:rsidRPr="00E03C4F" w:rsidRDefault="00E03C4F" w:rsidP="00E03C4F">
            <w:pPr>
              <w:spacing w:after="0" w:line="240" w:lineRule="auto"/>
              <w:rPr>
                <w:rFonts w:ascii="Arial" w:eastAsia="Arial" w:hAnsi="Arial" w:cs="Arial"/>
                <w:color w:val="000000"/>
                <w:u w:color="000000"/>
              </w:rPr>
            </w:pPr>
          </w:p>
          <w:p w14:paraId="35B2D274" w14:textId="77777777" w:rsidR="00E03C4F" w:rsidRPr="00E03C4F" w:rsidRDefault="00E03C4F" w:rsidP="00E03C4F">
            <w:pPr>
              <w:spacing w:after="0" w:line="240" w:lineRule="auto"/>
              <w:rPr>
                <w:rFonts w:ascii="Arial" w:eastAsia="Arial" w:hAnsi="Arial" w:cs="Arial"/>
                <w:color w:val="000000"/>
                <w:u w:color="000000"/>
              </w:rPr>
            </w:pPr>
          </w:p>
          <w:p w14:paraId="28406A68" w14:textId="77777777" w:rsidR="00E03C4F" w:rsidRPr="00E03C4F" w:rsidRDefault="00E03C4F" w:rsidP="00E03C4F">
            <w:pPr>
              <w:spacing w:after="0" w:line="240" w:lineRule="auto"/>
              <w:rPr>
                <w:rFonts w:ascii="Arial" w:eastAsia="Arial" w:hAnsi="Arial" w:cs="Arial"/>
                <w:color w:val="000000"/>
                <w:u w:color="000000"/>
              </w:rPr>
            </w:pPr>
          </w:p>
          <w:p w14:paraId="4A3EEF72" w14:textId="77777777" w:rsidR="00E03C4F" w:rsidRPr="00E03C4F" w:rsidRDefault="00E03C4F" w:rsidP="00E03C4F">
            <w:pPr>
              <w:spacing w:after="0" w:line="240" w:lineRule="auto"/>
              <w:rPr>
                <w:rFonts w:ascii="Times New Roman" w:eastAsia="Times New Roman" w:hAnsi="Times New Roman" w:cs="Times New Roman"/>
                <w:sz w:val="24"/>
                <w:szCs w:val="24"/>
              </w:rPr>
            </w:pPr>
          </w:p>
        </w:tc>
      </w:tr>
      <w:tr w:rsidR="00E03C4F" w:rsidRPr="00E03C4F" w14:paraId="3C1624E2" w14:textId="77777777" w:rsidTr="0052568B">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9A6E2" w14:textId="77777777" w:rsidR="00E03C4F" w:rsidRPr="00E03C4F" w:rsidRDefault="00E03C4F" w:rsidP="00E03C4F">
            <w:pPr>
              <w:spacing w:before="160" w:after="0" w:line="240" w:lineRule="auto"/>
              <w:rPr>
                <w:rFonts w:ascii="Helvetica Neue" w:eastAsia="Arial Unicode MS" w:hAnsi="Helvetica Neue" w:cs="Arial Unicode MS"/>
                <w:color w:val="000000"/>
                <w:sz w:val="24"/>
                <w:szCs w:val="24"/>
                <w:lang w:val="en-GB" w:eastAsia="en-GB"/>
              </w:rPr>
            </w:pPr>
            <w:r w:rsidRPr="00E03C4F">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9415D4" w14:textId="77777777" w:rsidR="00E03C4F" w:rsidRPr="00E03C4F" w:rsidRDefault="00E03C4F" w:rsidP="00E03C4F">
            <w:pPr>
              <w:spacing w:before="160" w:after="0" w:line="240" w:lineRule="auto"/>
              <w:rPr>
                <w:rFonts w:ascii="Helvetica Neue" w:eastAsia="Arial Unicode MS" w:hAnsi="Helvetica Neue" w:cs="Arial Unicode MS"/>
                <w:color w:val="000000"/>
                <w:sz w:val="24"/>
                <w:szCs w:val="24"/>
                <w:lang w:val="en-GB" w:eastAsia="en-GB"/>
              </w:rPr>
            </w:pPr>
            <w:r w:rsidRPr="00E03C4F">
              <w:rPr>
                <w:rFonts w:ascii="Arial" w:eastAsia="Arial Unicode MS" w:hAnsi="Arial" w:cs="Arial Unicode MS"/>
                <w:color w:val="000000"/>
                <w:sz w:val="24"/>
                <w:szCs w:val="24"/>
                <w:u w:color="000000"/>
                <w:lang w:eastAsia="en-GB"/>
              </w:rPr>
              <w:t>Date:</w:t>
            </w:r>
          </w:p>
        </w:tc>
      </w:tr>
    </w:tbl>
    <w:p w14:paraId="3891B4CA"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48D1762F"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26AFC9E2" w14:textId="77777777" w:rsidR="00E03C4F" w:rsidRPr="00E03C4F" w:rsidRDefault="00E03C4F" w:rsidP="00E03C4F">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4973C04F" w14:textId="2675E750" w:rsidR="00884787" w:rsidRPr="00E03C4F" w:rsidRDefault="00E03C4F">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r w:rsidR="0076130B" w:rsidRPr="001A7666">
        <w:rPr>
          <w:b/>
          <w:bCs/>
          <w:i/>
          <w:iCs/>
        </w:rPr>
        <w:t>Introduction</w:t>
      </w:r>
    </w:p>
    <w:p w14:paraId="7942A6FD" w14:textId="132804FA" w:rsidR="0076130B" w:rsidRDefault="0076130B">
      <w:r>
        <w:t xml:space="preserve">This essay compares and contrasts </w:t>
      </w:r>
      <w:proofErr w:type="spellStart"/>
      <w:r>
        <w:t>Bron</w:t>
      </w:r>
      <w:proofErr w:type="spellEnd"/>
      <w:r>
        <w:t xml:space="preserve"> Taylor’s article on ‘The Greening of Religion Hypothesis (Part One)</w:t>
      </w:r>
      <w:r w:rsidR="003021C3">
        <w:t xml:space="preserve">’, published in the </w:t>
      </w:r>
      <w:r w:rsidR="003021C3" w:rsidRPr="003021C3">
        <w:rPr>
          <w:i/>
          <w:iCs/>
        </w:rPr>
        <w:t>Journal for the Study of Religion, Nature and Culture</w:t>
      </w:r>
      <w:r w:rsidR="003021C3" w:rsidRPr="0022518C">
        <w:rPr>
          <w:rStyle w:val="FootnoteReference"/>
        </w:rPr>
        <w:footnoteReference w:id="1"/>
      </w:r>
      <w:r w:rsidR="003021C3" w:rsidRPr="0022518C">
        <w:t xml:space="preserve">, </w:t>
      </w:r>
      <w:r w:rsidR="003021C3">
        <w:t xml:space="preserve">with </w:t>
      </w:r>
      <w:r w:rsidR="0022518C">
        <w:t>Maria Botelho</w:t>
      </w:r>
      <w:r w:rsidR="00E149B7">
        <w:t xml:space="preserve">, Irene Cardoso and Kei </w:t>
      </w:r>
      <w:proofErr w:type="spellStart"/>
      <w:r w:rsidR="00E149B7">
        <w:t>Otsuki’s</w:t>
      </w:r>
      <w:proofErr w:type="spellEnd"/>
      <w:r w:rsidR="0022518C">
        <w:t xml:space="preserve"> article </w:t>
      </w:r>
      <w:proofErr w:type="gramStart"/>
      <w:r w:rsidR="00E149B7">
        <w:t>‘”</w:t>
      </w:r>
      <w:r w:rsidR="0022518C">
        <w:t>I</w:t>
      </w:r>
      <w:proofErr w:type="gramEnd"/>
      <w:r w:rsidR="0022518C">
        <w:t xml:space="preserve"> </w:t>
      </w:r>
      <w:r w:rsidR="000355AD">
        <w:t>M</w:t>
      </w:r>
      <w:r w:rsidR="0022518C">
        <w:t xml:space="preserve">ade a </w:t>
      </w:r>
      <w:r w:rsidR="000355AD">
        <w:t>P</w:t>
      </w:r>
      <w:r w:rsidR="0022518C">
        <w:t xml:space="preserve">act with God, with </w:t>
      </w:r>
      <w:r w:rsidR="000355AD">
        <w:t>N</w:t>
      </w:r>
      <w:r w:rsidR="0022518C">
        <w:t xml:space="preserve">ature, and with </w:t>
      </w:r>
      <w:r w:rsidR="000355AD">
        <w:t>M</w:t>
      </w:r>
      <w:r w:rsidR="0022518C">
        <w:t xml:space="preserve">yself”: Exploring Deep Agroecology’, published in </w:t>
      </w:r>
      <w:r w:rsidR="0022518C">
        <w:rPr>
          <w:i/>
          <w:iCs/>
        </w:rPr>
        <w:t>Agroecology and Sustainable Food Systems</w:t>
      </w:r>
      <w:r w:rsidR="0022518C">
        <w:t>.</w:t>
      </w:r>
      <w:r w:rsidR="0022518C">
        <w:rPr>
          <w:rStyle w:val="FootnoteReference"/>
        </w:rPr>
        <w:footnoteReference w:id="2"/>
      </w:r>
    </w:p>
    <w:p w14:paraId="38F9D31A" w14:textId="130DAA7B" w:rsidR="000355AD" w:rsidRPr="001A7666" w:rsidRDefault="000355AD">
      <w:pPr>
        <w:rPr>
          <w:b/>
          <w:bCs/>
          <w:i/>
          <w:iCs/>
        </w:rPr>
      </w:pPr>
      <w:r w:rsidRPr="001A7666">
        <w:rPr>
          <w:b/>
          <w:bCs/>
          <w:i/>
          <w:iCs/>
        </w:rPr>
        <w:t>Context</w:t>
      </w:r>
    </w:p>
    <w:p w14:paraId="0E51E5E3" w14:textId="4CD46BEB" w:rsidR="000355AD" w:rsidRDefault="000355AD">
      <w:r>
        <w:t xml:space="preserve">Taylor’s article on the greening of religion is an in-depth </w:t>
      </w:r>
      <w:r w:rsidR="002400D4">
        <w:t>review</w:t>
      </w:r>
      <w:r>
        <w:t xml:space="preserve"> of the ideas that emerged prior to Lynn White Jr’s publication of ‘The Historical Roots of Our Ecological </w:t>
      </w:r>
      <w:r w:rsidR="0046335A">
        <w:t>Crisis’</w:t>
      </w:r>
      <w:r w:rsidR="0046335A">
        <w:rPr>
          <w:rStyle w:val="FootnoteReference"/>
        </w:rPr>
        <w:footnoteReference w:id="3"/>
      </w:r>
      <w:r w:rsidR="002400D4">
        <w:t xml:space="preserve"> and the various re</w:t>
      </w:r>
      <w:r w:rsidR="00E149B7">
        <w:t>sponse</w:t>
      </w:r>
      <w:r w:rsidR="002400D4">
        <w:t>s that</w:t>
      </w:r>
      <w:r w:rsidR="00F06112">
        <w:t xml:space="preserve"> White’s article</w:t>
      </w:r>
      <w:r w:rsidR="002400D4">
        <w:t xml:space="preserve"> invoked.  Although the article was published in an academic journal, it is also freely available on Taylor’s public website, indicating that there is interest in reaching a wide</w:t>
      </w:r>
      <w:r w:rsidR="00F06112">
        <w:t>r</w:t>
      </w:r>
      <w:r w:rsidR="002400D4">
        <w:t xml:space="preserve"> audience.</w:t>
      </w:r>
      <w:r w:rsidR="00BC70CD">
        <w:t xml:space="preserve">  </w:t>
      </w:r>
      <w:r w:rsidR="004D1873">
        <w:t xml:space="preserve">Dr. </w:t>
      </w:r>
      <w:r w:rsidR="00BC70CD">
        <w:t xml:space="preserve">Taylor has held academic appointments in the fields of </w:t>
      </w:r>
      <w:r w:rsidR="00E42904">
        <w:t>e</w:t>
      </w:r>
      <w:r w:rsidR="00BC70CD">
        <w:t xml:space="preserve">nvironmentalism and </w:t>
      </w:r>
      <w:r w:rsidR="00E42904">
        <w:t>r</w:t>
      </w:r>
      <w:r w:rsidR="00BC70CD">
        <w:t>eligion and is currently a Professor of Religion and Nature at the University of Florida</w:t>
      </w:r>
      <w:r w:rsidR="00E42904">
        <w:t>.</w:t>
      </w:r>
      <w:r w:rsidR="006C4A3D">
        <w:rPr>
          <w:rStyle w:val="FootnoteReference"/>
        </w:rPr>
        <w:footnoteReference w:id="4"/>
      </w:r>
      <w:r w:rsidR="00BC70CD">
        <w:t xml:space="preserve">  He has published many articles and several books on nature and religion and has won numerous awards, establishing him as an authority </w:t>
      </w:r>
      <w:r w:rsidR="00A41CA1">
        <w:t>o</w:t>
      </w:r>
      <w:r w:rsidR="00BC70CD">
        <w:t xml:space="preserve">n </w:t>
      </w:r>
      <w:r w:rsidR="00B82E07">
        <w:t>his</w:t>
      </w:r>
      <w:r w:rsidR="00BC70CD">
        <w:t xml:space="preserve"> subject matter</w:t>
      </w:r>
      <w:r w:rsidR="00660896">
        <w:t>.  This particular article was published in 2016 and buil</w:t>
      </w:r>
      <w:r w:rsidR="00594EB3">
        <w:t xml:space="preserve">t </w:t>
      </w:r>
      <w:r w:rsidR="00660896">
        <w:t>upon</w:t>
      </w:r>
      <w:r w:rsidR="00C755A1">
        <w:t xml:space="preserve"> some of</w:t>
      </w:r>
      <w:r w:rsidR="00660896">
        <w:t xml:space="preserve"> Taylor’s earlier work, including his book </w:t>
      </w:r>
      <w:r w:rsidR="00137548">
        <w:rPr>
          <w:i/>
          <w:iCs/>
        </w:rPr>
        <w:t>Dark Green Religion</w:t>
      </w:r>
      <w:r w:rsidR="00660896">
        <w:t>, which explore</w:t>
      </w:r>
      <w:r w:rsidR="00594EB3">
        <w:t>d</w:t>
      </w:r>
      <w:r w:rsidR="00660896">
        <w:t xml:space="preserve"> the various forms of nature and/or environmental-based s</w:t>
      </w:r>
      <w:r w:rsidR="006C4A3D">
        <w:t>piritual worldviews</w:t>
      </w:r>
      <w:r w:rsidR="00660896">
        <w:t xml:space="preserve"> </w:t>
      </w:r>
      <w:r w:rsidR="006C4A3D">
        <w:t xml:space="preserve">that have been emerging </w:t>
      </w:r>
      <w:r w:rsidR="001A7666">
        <w:t xml:space="preserve">since the 1960’s and which Taylor </w:t>
      </w:r>
      <w:r w:rsidR="00594EB3">
        <w:t xml:space="preserve">has </w:t>
      </w:r>
      <w:r w:rsidR="001A7666">
        <w:t>classifie</w:t>
      </w:r>
      <w:r w:rsidR="00594EB3">
        <w:t>d</w:t>
      </w:r>
      <w:r w:rsidR="001A7666">
        <w:t xml:space="preserve"> within the realm of religion</w:t>
      </w:r>
      <w:r w:rsidR="006C4A3D">
        <w:t>.</w:t>
      </w:r>
      <w:r w:rsidR="006D5A92" w:rsidRPr="006D5A92">
        <w:rPr>
          <w:rStyle w:val="FootnoteReference"/>
          <w:i/>
          <w:iCs/>
        </w:rPr>
        <w:t xml:space="preserve"> </w:t>
      </w:r>
      <w:r w:rsidR="006D5A92">
        <w:rPr>
          <w:rStyle w:val="FootnoteReference"/>
          <w:i/>
          <w:iCs/>
        </w:rPr>
        <w:footnoteReference w:id="5"/>
      </w:r>
    </w:p>
    <w:p w14:paraId="1197C727" w14:textId="6643D8B4" w:rsidR="006C4A3D" w:rsidRDefault="006C4A3D">
      <w:r>
        <w:t>Botelho</w:t>
      </w:r>
      <w:r w:rsidR="00E42904">
        <w:t xml:space="preserve">, Cardoso and </w:t>
      </w:r>
      <w:proofErr w:type="spellStart"/>
      <w:r w:rsidR="00E42904">
        <w:t>Otsuki</w:t>
      </w:r>
      <w:r>
        <w:t>’s</w:t>
      </w:r>
      <w:proofErr w:type="spellEnd"/>
      <w:r>
        <w:t xml:space="preserve"> article</w:t>
      </w:r>
      <w:r w:rsidR="00640C98">
        <w:t xml:space="preserve"> is </w:t>
      </w:r>
      <w:proofErr w:type="gramStart"/>
      <w:r w:rsidR="00E42904">
        <w:t>similar to</w:t>
      </w:r>
      <w:proofErr w:type="gramEnd"/>
      <w:r w:rsidR="00E42904">
        <w:t xml:space="preserve"> Taylor’s in that it is </w:t>
      </w:r>
      <w:r w:rsidR="00640C98">
        <w:t>also concerned with the connection between ecology and religion.</w:t>
      </w:r>
      <w:r w:rsidR="00E42904">
        <w:t xml:space="preserve">  In contrast, however, it</w:t>
      </w:r>
      <w:r>
        <w:t xml:space="preserve"> is based</w:t>
      </w:r>
      <w:r w:rsidR="0062317A">
        <w:t xml:space="preserve"> not on an article, but </w:t>
      </w:r>
      <w:r>
        <w:t>on interviews and longer</w:t>
      </w:r>
      <w:r w:rsidR="00E12919">
        <w:t>-</w:t>
      </w:r>
      <w:r>
        <w:t>term interaction</w:t>
      </w:r>
      <w:r w:rsidR="00E42904">
        <w:t>s</w:t>
      </w:r>
      <w:r>
        <w:t xml:space="preserve"> with coffee farmers in the </w:t>
      </w:r>
      <w:r w:rsidR="00723FD9">
        <w:t xml:space="preserve">Zona de Mata region of Brazil.  </w:t>
      </w:r>
      <w:r w:rsidR="00E42904">
        <w:t>Botelho and her coauthors</w:t>
      </w:r>
      <w:r w:rsidR="00723FD9">
        <w:t xml:space="preserve"> describe</w:t>
      </w:r>
      <w:r w:rsidR="007D2CBA">
        <w:t>d</w:t>
      </w:r>
      <w:r w:rsidR="00723FD9">
        <w:t xml:space="preserve"> how the</w:t>
      </w:r>
      <w:r w:rsidR="0062317A">
        <w:t xml:space="preserve"> farmers’</w:t>
      </w:r>
      <w:r w:rsidR="00723FD9">
        <w:t xml:space="preserve"> observation </w:t>
      </w:r>
      <w:r w:rsidR="00E12919">
        <w:t xml:space="preserve">of </w:t>
      </w:r>
      <w:r w:rsidR="00723FD9">
        <w:t>and interaction with the land through the process of agroecological farming and agroforestry ha</w:t>
      </w:r>
      <w:r w:rsidR="00A41CA1">
        <w:t>d</w:t>
      </w:r>
      <w:r w:rsidR="00723FD9">
        <w:t xml:space="preserve"> influenced their spiritual beliefs.  </w:t>
      </w:r>
      <w:r w:rsidR="00C755A1">
        <w:t>The</w:t>
      </w:r>
      <w:r w:rsidR="00723FD9">
        <w:t xml:space="preserve"> article was published in </w:t>
      </w:r>
      <w:r w:rsidR="00723FD9" w:rsidRPr="00EF09C2">
        <w:rPr>
          <w:i/>
          <w:iCs/>
        </w:rPr>
        <w:t>Agroecology and Sustainable Food Systems</w:t>
      </w:r>
      <w:r w:rsidR="00723FD9">
        <w:t xml:space="preserve"> and seems to be mainly targeted to other researchers and scientists who work in the fields of </w:t>
      </w:r>
      <w:r w:rsidR="00E12919">
        <w:t>a</w:t>
      </w:r>
      <w:r w:rsidR="00723FD9">
        <w:t xml:space="preserve">groecology and </w:t>
      </w:r>
      <w:r w:rsidR="00E12919">
        <w:t>a</w:t>
      </w:r>
      <w:r w:rsidR="00723FD9">
        <w:t xml:space="preserve">groforestry.  </w:t>
      </w:r>
      <w:r w:rsidR="001A24D7">
        <w:t xml:space="preserve">Two of the authors of this paper are professors at the Federal University of </w:t>
      </w:r>
      <w:proofErr w:type="spellStart"/>
      <w:r w:rsidR="001A24D7">
        <w:t>Vicosa</w:t>
      </w:r>
      <w:proofErr w:type="spellEnd"/>
      <w:r w:rsidR="001A24D7">
        <w:t xml:space="preserve"> in Brazil, </w:t>
      </w:r>
      <w:r w:rsidR="004D1873">
        <w:t xml:space="preserve">Dr. </w:t>
      </w:r>
      <w:r w:rsidR="001A24D7">
        <w:t xml:space="preserve">Botelho in the Department of Rural Economics and </w:t>
      </w:r>
      <w:r w:rsidR="004D1873">
        <w:t>Dr.</w:t>
      </w:r>
      <w:r w:rsidR="001A24D7">
        <w:t xml:space="preserve"> Cardoso in the Department of Soil</w:t>
      </w:r>
      <w:r w:rsidR="00E42904">
        <w:t>.</w:t>
      </w:r>
      <w:r w:rsidR="00580F8F">
        <w:rPr>
          <w:rStyle w:val="FootnoteReference"/>
        </w:rPr>
        <w:footnoteReference w:id="6"/>
      </w:r>
      <w:r w:rsidR="001A24D7">
        <w:t xml:space="preserve">  </w:t>
      </w:r>
      <w:r w:rsidR="004D1873">
        <w:t xml:space="preserve">Dr. </w:t>
      </w:r>
      <w:proofErr w:type="spellStart"/>
      <w:r w:rsidR="001A24D7">
        <w:t>Otsuki</w:t>
      </w:r>
      <w:proofErr w:type="spellEnd"/>
      <w:r w:rsidR="001A24D7">
        <w:t xml:space="preserve"> is a</w:t>
      </w:r>
      <w:r w:rsidR="004D1873">
        <w:t xml:space="preserve">n Associate Professor in the Department of Human Geography </w:t>
      </w:r>
      <w:r w:rsidR="00580F8F">
        <w:t xml:space="preserve">and Planning </w:t>
      </w:r>
      <w:r w:rsidR="004D1873">
        <w:t>at Utrecht University in the Netherlands</w:t>
      </w:r>
      <w:r w:rsidR="00C755A1">
        <w:t>.</w:t>
      </w:r>
      <w:r w:rsidR="00580F8F">
        <w:rPr>
          <w:rStyle w:val="FootnoteReference"/>
        </w:rPr>
        <w:footnoteReference w:id="7"/>
      </w:r>
      <w:r w:rsidR="004D1873">
        <w:t xml:space="preserve">  All three authors have </w:t>
      </w:r>
      <w:r w:rsidR="0062317A">
        <w:t xml:space="preserve">conducted research and </w:t>
      </w:r>
      <w:r w:rsidR="004D1873">
        <w:t>published articles related to agroecology and agroforestry</w:t>
      </w:r>
      <w:r w:rsidR="00580F8F">
        <w:t>, many of which are accessible on</w:t>
      </w:r>
      <w:r w:rsidR="00B82E07">
        <w:t>line at</w:t>
      </w:r>
      <w:r w:rsidR="00580F8F">
        <w:t xml:space="preserve"> ResearchGate,</w:t>
      </w:r>
      <w:r w:rsidR="0062317A">
        <w:t xml:space="preserve"> </w:t>
      </w:r>
      <w:r w:rsidR="00E7611F">
        <w:t>and</w:t>
      </w:r>
      <w:r w:rsidR="0062317A">
        <w:t xml:space="preserve"> are well-equipped </w:t>
      </w:r>
      <w:r w:rsidR="00580F8F">
        <w:t xml:space="preserve">to undertake the analysis offered in </w:t>
      </w:r>
      <w:r w:rsidR="00580F8F">
        <w:lastRenderedPageBreak/>
        <w:t>their paper.</w:t>
      </w:r>
      <w:r w:rsidR="00E12919">
        <w:t xml:space="preserve">  Th</w:t>
      </w:r>
      <w:r w:rsidR="00B82E07">
        <w:t>eir</w:t>
      </w:r>
      <w:r w:rsidR="00E12919">
        <w:t xml:space="preserve"> article was published in 2016 based on a study conducted from 2008-2013</w:t>
      </w:r>
      <w:r w:rsidR="00E12919">
        <w:rPr>
          <w:rStyle w:val="FootnoteReference"/>
        </w:rPr>
        <w:footnoteReference w:id="8"/>
      </w:r>
      <w:r w:rsidR="00E7611F">
        <w:t xml:space="preserve"> and is thus </w:t>
      </w:r>
      <w:proofErr w:type="gramStart"/>
      <w:r w:rsidR="00E7611F">
        <w:t>fairly contemporary</w:t>
      </w:r>
      <w:proofErr w:type="gramEnd"/>
      <w:r w:rsidR="00E7611F">
        <w:t>.</w:t>
      </w:r>
    </w:p>
    <w:p w14:paraId="4E0F6CBB" w14:textId="04CDFF46" w:rsidR="000355AD" w:rsidRPr="001A7666" w:rsidRDefault="000355AD">
      <w:pPr>
        <w:rPr>
          <w:b/>
          <w:bCs/>
          <w:i/>
          <w:iCs/>
        </w:rPr>
      </w:pPr>
      <w:r w:rsidRPr="001A7666">
        <w:rPr>
          <w:b/>
          <w:bCs/>
          <w:i/>
          <w:iCs/>
        </w:rPr>
        <w:t>Summary</w:t>
      </w:r>
    </w:p>
    <w:p w14:paraId="6DC6D5A0" w14:textId="21BDCCD6" w:rsidR="000355AD" w:rsidRDefault="001A7666">
      <w:r>
        <w:t>In ‘The Greening of Religion Hypothesis (Part 1)’, Taylor ma</w:t>
      </w:r>
      <w:r w:rsidR="00594EB3">
        <w:t>de</w:t>
      </w:r>
      <w:r>
        <w:t xml:space="preserve"> the argument that, </w:t>
      </w:r>
      <w:r w:rsidR="004F57E2">
        <w:t>while</w:t>
      </w:r>
      <w:r>
        <w:t xml:space="preserve"> Lynn White Jr.’s </w:t>
      </w:r>
      <w:r w:rsidR="00B82E07">
        <w:t xml:space="preserve">1967 </w:t>
      </w:r>
      <w:r>
        <w:t xml:space="preserve">article </w:t>
      </w:r>
      <w:r w:rsidR="00C51094">
        <w:t>received wide readers</w:t>
      </w:r>
      <w:r w:rsidR="00B82E07">
        <w:t xml:space="preserve">hip </w:t>
      </w:r>
      <w:r w:rsidR="00C51094">
        <w:t xml:space="preserve">and </w:t>
      </w:r>
      <w:r w:rsidR="00B82E07">
        <w:t xml:space="preserve">its </w:t>
      </w:r>
      <w:r w:rsidR="004F57E2">
        <w:t xml:space="preserve">criticism of Western religion’s </w:t>
      </w:r>
      <w:r w:rsidR="00C51094">
        <w:t>role in creating the ecological crisis</w:t>
      </w:r>
      <w:r w:rsidR="00B82E07">
        <w:t xml:space="preserve"> had a tremendous impact</w:t>
      </w:r>
      <w:r w:rsidR="00C51094">
        <w:t xml:space="preserve">, </w:t>
      </w:r>
      <w:r w:rsidR="00B82E07">
        <w:t>White’s</w:t>
      </w:r>
      <w:r w:rsidR="00C51094">
        <w:t xml:space="preserve"> ideas were not new.  Indeed, </w:t>
      </w:r>
      <w:r w:rsidR="007C4194">
        <w:t>Taylor</w:t>
      </w:r>
      <w:r w:rsidR="00C51094">
        <w:t xml:space="preserve"> trace</w:t>
      </w:r>
      <w:r w:rsidR="00594EB3">
        <w:t>d</w:t>
      </w:r>
      <w:r w:rsidR="00C51094">
        <w:t xml:space="preserve"> the history of </w:t>
      </w:r>
      <w:r w:rsidR="004F57E2">
        <w:t>these</w:t>
      </w:r>
      <w:r w:rsidR="00C51094">
        <w:t xml:space="preserve"> </w:t>
      </w:r>
      <w:r w:rsidR="004F57E2">
        <w:t>criticis</w:t>
      </w:r>
      <w:r w:rsidR="00B26638">
        <w:t>ms</w:t>
      </w:r>
      <w:r w:rsidR="00C51094">
        <w:t xml:space="preserve"> back to at least the 1850’s</w:t>
      </w:r>
      <w:r w:rsidR="00B13CBD">
        <w:t xml:space="preserve"> and early 1900’s</w:t>
      </w:r>
      <w:r w:rsidR="00C51094">
        <w:t xml:space="preserve"> with thinkers such as Ludwig Feuerbach</w:t>
      </w:r>
      <w:r w:rsidR="00B13CBD">
        <w:t>, Edward Payson Evans, John Burroughs</w:t>
      </w:r>
      <w:r w:rsidR="00C51094">
        <w:t xml:space="preserve"> and John Muir.</w:t>
      </w:r>
      <w:r w:rsidR="00B13CBD">
        <w:rPr>
          <w:rStyle w:val="FootnoteReference"/>
        </w:rPr>
        <w:footnoteReference w:id="9"/>
      </w:r>
      <w:r w:rsidR="00B13CBD">
        <w:t xml:space="preserve">  Following </w:t>
      </w:r>
      <w:r w:rsidR="00B26638">
        <w:t>t</w:t>
      </w:r>
      <w:r w:rsidR="00B13CBD">
        <w:t>his thorough accounting</w:t>
      </w:r>
      <w:r w:rsidR="00CC4F95">
        <w:t xml:space="preserve">, he </w:t>
      </w:r>
      <w:r w:rsidR="00594EB3">
        <w:t>went</w:t>
      </w:r>
      <w:r w:rsidR="00CC4F95">
        <w:t xml:space="preserve"> on to describe the various responses to White’s article, both within and outside of the religious establishment.</w:t>
      </w:r>
      <w:r w:rsidR="00CC4F95">
        <w:rPr>
          <w:rStyle w:val="FootnoteReference"/>
        </w:rPr>
        <w:footnoteReference w:id="10"/>
      </w:r>
      <w:r w:rsidR="00CC4F95">
        <w:t xml:space="preserve">  He argue</w:t>
      </w:r>
      <w:r w:rsidR="00594EB3">
        <w:t>d</w:t>
      </w:r>
      <w:r w:rsidR="00CC4F95">
        <w:t xml:space="preserve"> that it is the lasting effects of these responses that have</w:t>
      </w:r>
      <w:r w:rsidR="006D5A92">
        <w:t xml:space="preserve"> led to</w:t>
      </w:r>
      <w:r w:rsidR="00CC4F95">
        <w:t xml:space="preserve"> what he </w:t>
      </w:r>
      <w:r w:rsidR="006D5A92">
        <w:t xml:space="preserve">has </w:t>
      </w:r>
      <w:r w:rsidR="00CC4F95">
        <w:t>term</w:t>
      </w:r>
      <w:r w:rsidR="006D5A92">
        <w:t>ed</w:t>
      </w:r>
      <w:r w:rsidR="00CC4F95">
        <w:t xml:space="preserve"> ‘the greening of religion hypothesis</w:t>
      </w:r>
      <w:r w:rsidR="006D5A92">
        <w:t>’</w:t>
      </w:r>
      <w:r w:rsidR="00B26638">
        <w:t xml:space="preserve"> or the idea that religions can (and must) effect positive change in humans’ interaction with nature</w:t>
      </w:r>
      <w:r w:rsidR="00CC4F95">
        <w:t xml:space="preserve">.  </w:t>
      </w:r>
      <w:r w:rsidR="00B4533A">
        <w:t xml:space="preserve">Taylor then </w:t>
      </w:r>
      <w:r w:rsidR="007C4194">
        <w:t xml:space="preserve">laid </w:t>
      </w:r>
      <w:r w:rsidR="00B4533A">
        <w:t>this hypothesis out</w:t>
      </w:r>
      <w:r w:rsidR="007C4194">
        <w:t xml:space="preserve"> as a series of fact claims </w:t>
      </w:r>
      <w:r w:rsidR="00B4533A">
        <w:t xml:space="preserve">that he suggested </w:t>
      </w:r>
      <w:r w:rsidR="007C4194">
        <w:t>need to be examined and assessed to determine the true extent to which religion plays a role in humans’ environmental perceptions and actions.</w:t>
      </w:r>
      <w:r w:rsidR="007C4194">
        <w:rPr>
          <w:rStyle w:val="FootnoteReference"/>
        </w:rPr>
        <w:footnoteReference w:id="11"/>
      </w:r>
    </w:p>
    <w:p w14:paraId="5C80B6BC" w14:textId="62187362" w:rsidR="008F16C8" w:rsidRDefault="008F16C8">
      <w:r>
        <w:t>Coming more from an on-the-ground approach than a philosophical one, Botelho and her co-authors trace</w:t>
      </w:r>
      <w:r w:rsidR="00594EB3">
        <w:t>d</w:t>
      </w:r>
      <w:r>
        <w:t xml:space="preserve"> the history of small-hold</w:t>
      </w:r>
      <w:r w:rsidR="00B26638">
        <w:t xml:space="preserve"> farmers’</w:t>
      </w:r>
      <w:r>
        <w:t xml:space="preserve"> involvement in agroecology and agroforestry and the effects these endeavors had on their relationship with the</w:t>
      </w:r>
      <w:r w:rsidR="00B26638">
        <w:t>ir</w:t>
      </w:r>
      <w:r>
        <w:t xml:space="preserve"> land</w:t>
      </w:r>
      <w:r w:rsidR="009743DB">
        <w:t xml:space="preserve"> in the coffee-growing region of Zona de Mata in Brazil</w:t>
      </w:r>
      <w:r>
        <w:t>.  They contend</w:t>
      </w:r>
      <w:r w:rsidR="00594EB3">
        <w:t>ed</w:t>
      </w:r>
      <w:r>
        <w:t xml:space="preserve"> that, although the </w:t>
      </w:r>
      <w:r w:rsidR="00A53F5F">
        <w:t xml:space="preserve">agroecology </w:t>
      </w:r>
      <w:r>
        <w:t>ini</w:t>
      </w:r>
      <w:r w:rsidR="00A53F5F">
        <w:t>tiative was originally promoted within the context of love and care for the land through the regional arm of the Catholic church, the</w:t>
      </w:r>
      <w:r w:rsidR="00B4533A">
        <w:t xml:space="preserve"> subsequent</w:t>
      </w:r>
      <w:r w:rsidR="00A53F5F">
        <w:t xml:space="preserve"> politicization of the movement distanced farmers from th</w:t>
      </w:r>
      <w:r w:rsidR="00130636">
        <w:t>at</w:t>
      </w:r>
      <w:r w:rsidR="00A53F5F">
        <w:t xml:space="preserve"> idea.</w:t>
      </w:r>
      <w:r w:rsidR="00A53F5F">
        <w:rPr>
          <w:rStyle w:val="FootnoteReference"/>
        </w:rPr>
        <w:footnoteReference w:id="12"/>
      </w:r>
      <w:r w:rsidR="00C955EF">
        <w:t xml:space="preserve">  Later, </w:t>
      </w:r>
      <w:r w:rsidR="009743DB">
        <w:t>as</w:t>
      </w:r>
      <w:r w:rsidR="00C955EF">
        <w:t xml:space="preserve"> </w:t>
      </w:r>
      <w:r w:rsidR="009743DB">
        <w:t xml:space="preserve">the farmers introduced </w:t>
      </w:r>
      <w:r w:rsidR="00C955EF">
        <w:t>agroforestry</w:t>
      </w:r>
      <w:r w:rsidR="009743DB">
        <w:t xml:space="preserve"> </w:t>
      </w:r>
      <w:r w:rsidR="00C955EF">
        <w:t>and</w:t>
      </w:r>
      <w:r w:rsidR="009743DB">
        <w:t xml:space="preserve"> </w:t>
      </w:r>
      <w:r w:rsidR="00C955EF">
        <w:t>became involved in a much more intense interaction with and observation of the land, they rediscovered th</w:t>
      </w:r>
      <w:r w:rsidR="00B4533A">
        <w:t>is</w:t>
      </w:r>
      <w:r w:rsidR="009743DB">
        <w:t xml:space="preserve"> original</w:t>
      </w:r>
      <w:r w:rsidR="00C955EF">
        <w:t xml:space="preserve"> </w:t>
      </w:r>
      <w:r w:rsidR="00B4533A">
        <w:t xml:space="preserve">intent of </w:t>
      </w:r>
      <w:r w:rsidR="00C955EF">
        <w:t xml:space="preserve">love and care and </w:t>
      </w:r>
      <w:r w:rsidR="001F6A8F">
        <w:t>this renewed connection to the land</w:t>
      </w:r>
      <w:r w:rsidR="001F6A8F">
        <w:t xml:space="preserve"> then circled back and strengthened </w:t>
      </w:r>
      <w:r w:rsidR="00C955EF">
        <w:t xml:space="preserve">their </w:t>
      </w:r>
      <w:r w:rsidR="001F6A8F">
        <w:t>connection to God</w:t>
      </w:r>
      <w:r w:rsidR="00C955EF">
        <w:t>.</w:t>
      </w:r>
      <w:r w:rsidR="00C955EF">
        <w:rPr>
          <w:rStyle w:val="FootnoteReference"/>
        </w:rPr>
        <w:footnoteReference w:id="13"/>
      </w:r>
      <w:r w:rsidR="00C955EF">
        <w:t xml:space="preserve">  The authors</w:t>
      </w:r>
      <w:r w:rsidR="00B26638">
        <w:t xml:space="preserve"> also described how </w:t>
      </w:r>
      <w:r w:rsidR="00C955EF">
        <w:t>traditional practices were rediscovered through this process and emphasize</w:t>
      </w:r>
      <w:r w:rsidR="00B26638">
        <w:t>d</w:t>
      </w:r>
      <w:r w:rsidR="00C955EF">
        <w:t xml:space="preserve"> the </w:t>
      </w:r>
      <w:r w:rsidR="000C7E92">
        <w:t>important role of indigenous cosmology in creating successful regional agroecology practices.</w:t>
      </w:r>
      <w:r w:rsidR="000C7E92">
        <w:rPr>
          <w:rStyle w:val="FootnoteReference"/>
        </w:rPr>
        <w:footnoteReference w:id="14"/>
      </w:r>
      <w:r w:rsidR="000C7E92">
        <w:t xml:space="preserve">  As well as laying out the positive developments, Botelho and her coauthors </w:t>
      </w:r>
      <w:r w:rsidR="005204D1">
        <w:t xml:space="preserve">concluded by </w:t>
      </w:r>
      <w:r w:rsidR="000C7E92">
        <w:t>describ</w:t>
      </w:r>
      <w:r w:rsidR="005204D1">
        <w:t>ing</w:t>
      </w:r>
      <w:r w:rsidR="000C7E92">
        <w:t xml:space="preserve"> the social and economic challenges that bec</w:t>
      </w:r>
      <w:r w:rsidR="00D51A20">
        <w:t>a</w:t>
      </w:r>
      <w:r w:rsidR="000C7E92">
        <w:t>me evident through their work</w:t>
      </w:r>
      <w:r w:rsidR="00640C98">
        <w:t>, as well as</w:t>
      </w:r>
      <w:r w:rsidR="000C7E92">
        <w:t xml:space="preserve"> their proposals </w:t>
      </w:r>
      <w:r w:rsidR="009743DB">
        <w:t>to improve</w:t>
      </w:r>
      <w:r w:rsidR="000C7E92">
        <w:t xml:space="preserve"> future </w:t>
      </w:r>
      <w:r w:rsidR="009743DB">
        <w:t>technical assistance programs by taking these issues into account.</w:t>
      </w:r>
      <w:r w:rsidR="009743DB">
        <w:rPr>
          <w:rStyle w:val="FootnoteReference"/>
        </w:rPr>
        <w:footnoteReference w:id="15"/>
      </w:r>
    </w:p>
    <w:p w14:paraId="76A64A59" w14:textId="1C687B8F" w:rsidR="000355AD" w:rsidRPr="00640C98" w:rsidRDefault="000355AD">
      <w:pPr>
        <w:rPr>
          <w:b/>
          <w:bCs/>
          <w:i/>
          <w:iCs/>
        </w:rPr>
      </w:pPr>
      <w:r w:rsidRPr="00640C98">
        <w:rPr>
          <w:b/>
          <w:bCs/>
          <w:i/>
          <w:iCs/>
        </w:rPr>
        <w:t>Analysis</w:t>
      </w:r>
    </w:p>
    <w:p w14:paraId="73A7D13D" w14:textId="34F6AB22" w:rsidR="00C01A7C" w:rsidRDefault="0000584D">
      <w:r>
        <w:t xml:space="preserve">In ‘The Greening of Religion Hypothesis (Part 1)’, Taylor’s writing </w:t>
      </w:r>
      <w:r w:rsidR="00043D57">
        <w:t>was</w:t>
      </w:r>
      <w:r>
        <w:t xml:space="preserve"> engaging and informative.  He clearly introduce</w:t>
      </w:r>
      <w:r w:rsidR="00043D57">
        <w:t>d</w:t>
      </w:r>
      <w:r>
        <w:t xml:space="preserve"> his topic and his intent for the paper and then use</w:t>
      </w:r>
      <w:r w:rsidR="00043D57">
        <w:t>d</w:t>
      </w:r>
      <w:r>
        <w:t xml:space="preserve"> sub-headings to delineate each topic he introduce</w:t>
      </w:r>
      <w:r w:rsidR="00043D57">
        <w:t>d</w:t>
      </w:r>
      <w:r>
        <w:t>.  Differing from most academic papers, he neither sum</w:t>
      </w:r>
      <w:r w:rsidR="00043D57">
        <w:t>med</w:t>
      </w:r>
      <w:r>
        <w:t xml:space="preserve"> up each section nor provide</w:t>
      </w:r>
      <w:r w:rsidR="00043D57">
        <w:t>d</w:t>
      </w:r>
      <w:r>
        <w:t xml:space="preserve"> a summary of the </w:t>
      </w:r>
      <w:proofErr w:type="gramStart"/>
      <w:r>
        <w:t>article as a whole, leading</w:t>
      </w:r>
      <w:proofErr w:type="gramEnd"/>
      <w:r>
        <w:t xml:space="preserve"> the reader instead into his aims for Part 2</w:t>
      </w:r>
      <w:r w:rsidR="00775D88">
        <w:t xml:space="preserve"> which was published separately</w:t>
      </w:r>
      <w:r>
        <w:t xml:space="preserve">.  Although </w:t>
      </w:r>
      <w:r w:rsidR="00775D88">
        <w:t>the</w:t>
      </w:r>
      <w:r w:rsidR="00043D57">
        <w:t xml:space="preserve"> introduction</w:t>
      </w:r>
      <w:r>
        <w:t xml:space="preserve"> state</w:t>
      </w:r>
      <w:r w:rsidR="00043D57">
        <w:t>d</w:t>
      </w:r>
      <w:r>
        <w:t xml:space="preserve"> </w:t>
      </w:r>
      <w:r w:rsidR="00775D88">
        <w:t xml:space="preserve">the </w:t>
      </w:r>
      <w:r>
        <w:t xml:space="preserve">intention to </w:t>
      </w:r>
      <w:r w:rsidR="00775D88">
        <w:t>undertake a</w:t>
      </w:r>
      <w:r>
        <w:t xml:space="preserve"> thorough</w:t>
      </w:r>
      <w:r w:rsidR="00775D88">
        <w:t xml:space="preserve"> review of</w:t>
      </w:r>
      <w:r>
        <w:t xml:space="preserve"> White’s more neglected views, </w:t>
      </w:r>
      <w:r>
        <w:lastRenderedPageBreak/>
        <w:t xml:space="preserve">the </w:t>
      </w:r>
      <w:proofErr w:type="gramStart"/>
      <w:r>
        <w:t>main focus</w:t>
      </w:r>
      <w:proofErr w:type="gramEnd"/>
      <w:r>
        <w:t xml:space="preserve"> of the paper </w:t>
      </w:r>
      <w:r w:rsidR="00775D88">
        <w:t>wa</w:t>
      </w:r>
      <w:r w:rsidR="00043D57">
        <w:t>s</w:t>
      </w:r>
      <w:r>
        <w:t xml:space="preserve"> on White’s critique of religion</w:t>
      </w:r>
      <w:r w:rsidR="00DF5B0C">
        <w:t>, particularly Christianity,</w:t>
      </w:r>
      <w:r>
        <w:t xml:space="preserve"> and the ripple effect it created.</w:t>
      </w:r>
      <w:r w:rsidR="00D43E41">
        <w:t xml:space="preserve">  </w:t>
      </w:r>
      <w:r w:rsidR="00775D88">
        <w:t xml:space="preserve">Taylor did, however, </w:t>
      </w:r>
      <w:r w:rsidR="00322413">
        <w:t>la</w:t>
      </w:r>
      <w:r w:rsidR="00775D88">
        <w:t>y</w:t>
      </w:r>
      <w:r w:rsidR="00322413">
        <w:t xml:space="preserve"> out a 4-point summary</w:t>
      </w:r>
      <w:r w:rsidR="00322413">
        <w:rPr>
          <w:rStyle w:val="FootnoteReference"/>
        </w:rPr>
        <w:footnoteReference w:id="16"/>
      </w:r>
      <w:r w:rsidR="00322413">
        <w:t xml:space="preserve"> of the totality of White’s argument, including the non-religious factors</w:t>
      </w:r>
      <w:r w:rsidR="00DF5B0C">
        <w:t xml:space="preserve">.  Leslie </w:t>
      </w:r>
      <w:proofErr w:type="spellStart"/>
      <w:r w:rsidR="00DF5B0C">
        <w:t>Sponsel</w:t>
      </w:r>
      <w:proofErr w:type="spellEnd"/>
      <w:r w:rsidR="008638AD">
        <w:t>, writing in 2012, had</w:t>
      </w:r>
      <w:r w:rsidR="00DF5B0C">
        <w:t xml:space="preserve"> </w:t>
      </w:r>
      <w:r w:rsidR="00520F7D">
        <w:t xml:space="preserve">also </w:t>
      </w:r>
      <w:r w:rsidR="00DF5B0C">
        <w:t>sum</w:t>
      </w:r>
      <w:r w:rsidR="00043D57">
        <w:t xml:space="preserve">med </w:t>
      </w:r>
      <w:r w:rsidR="00520F7D">
        <w:t xml:space="preserve">up </w:t>
      </w:r>
      <w:r w:rsidR="00043D57">
        <w:t xml:space="preserve">this listing succinctly when he stated that White saw the environmental crisis as ‘the product of the synergy among Christian religion (particularly Protestantism), Western science, technology, </w:t>
      </w:r>
      <w:proofErr w:type="gramStart"/>
      <w:r w:rsidR="00043D57">
        <w:t>economy</w:t>
      </w:r>
      <w:proofErr w:type="gramEnd"/>
      <w:r w:rsidR="00043D57">
        <w:t xml:space="preserve"> and culture’.</w:t>
      </w:r>
      <w:r w:rsidR="00043D57">
        <w:rPr>
          <w:rStyle w:val="FootnoteReference"/>
        </w:rPr>
        <w:footnoteReference w:id="17"/>
      </w:r>
      <w:r w:rsidR="003C18F8">
        <w:t xml:space="preserve">  </w:t>
      </w:r>
      <w:r w:rsidR="00520F7D">
        <w:t xml:space="preserve">What </w:t>
      </w:r>
      <w:r w:rsidR="00E9034D">
        <w:t xml:space="preserve">stuck in people’s minds </w:t>
      </w:r>
      <w:r w:rsidR="008638AD">
        <w:t xml:space="preserve">though, </w:t>
      </w:r>
      <w:r w:rsidR="00E9034D">
        <w:t>Taylor pointed out, was the critique of the church.</w:t>
      </w:r>
    </w:p>
    <w:p w14:paraId="1F9E36B0" w14:textId="0838F41C" w:rsidR="00230EBC" w:rsidRDefault="003C18F8">
      <w:r>
        <w:t>In Taylor’s view, the main reason why White’s article had such a powerful impact on the discourse around nature and religion was not due to its originality, but rather to the timing of its publication and the prominence of the journal it was published in.</w:t>
      </w:r>
      <w:r>
        <w:rPr>
          <w:rStyle w:val="FootnoteReference"/>
        </w:rPr>
        <w:footnoteReference w:id="18"/>
      </w:r>
      <w:r w:rsidR="00BC78E5">
        <w:t xml:space="preserve">  To back up this claim, Taylor embarked upon a thorough and detailed review of the </w:t>
      </w:r>
      <w:r w:rsidR="001D349A">
        <w:t>emergence of the criti</w:t>
      </w:r>
      <w:r w:rsidR="00E9034D">
        <w:t>cism</w:t>
      </w:r>
      <w:r w:rsidR="001D349A">
        <w:t xml:space="preserve"> of Abrahamic religions, and particularly Christianity, for its furthering of the view that man is separate </w:t>
      </w:r>
      <w:r w:rsidR="00C01A7C">
        <w:t xml:space="preserve">from </w:t>
      </w:r>
      <w:r w:rsidR="001D349A">
        <w:t>and superior to nature.</w:t>
      </w:r>
      <w:r w:rsidR="00302B22">
        <w:t xml:space="preserve">  To his review he brought not only earlier writers, such as </w:t>
      </w:r>
      <w:r w:rsidR="00A362A0">
        <w:t xml:space="preserve">Ralph Waldo Emerson and Henry David </w:t>
      </w:r>
      <w:r w:rsidR="00302B22">
        <w:t>Thorea</w:t>
      </w:r>
      <w:r w:rsidR="00A362A0">
        <w:t>u</w:t>
      </w:r>
      <w:r w:rsidR="00302B22">
        <w:t xml:space="preserve">, but also </w:t>
      </w:r>
      <w:r w:rsidR="003C00C2">
        <w:t>writ</w:t>
      </w:r>
      <w:r w:rsidR="00302B22">
        <w:t>ers contemporary to White, including Rachel Carson and Richard Baer</w:t>
      </w:r>
      <w:r w:rsidR="003C00C2">
        <w:t>.  Taylor used ample quotes and specific timelines to demonstrate his point</w:t>
      </w:r>
      <w:r w:rsidR="00302B22">
        <w:t>.</w:t>
      </w:r>
      <w:r w:rsidR="00A362A0">
        <w:t xml:space="preserve">  </w:t>
      </w:r>
      <w:r w:rsidR="004F3473">
        <w:t>Taylor</w:t>
      </w:r>
      <w:r w:rsidR="00A362A0">
        <w:t xml:space="preserve"> especially highlighte</w:t>
      </w:r>
      <w:r w:rsidR="004F3473">
        <w:t>d</w:t>
      </w:r>
      <w:r w:rsidR="00A362A0">
        <w:t xml:space="preserve"> </w:t>
      </w:r>
      <w:r w:rsidR="004F3473">
        <w:t xml:space="preserve">the contribution of </w:t>
      </w:r>
      <w:r w:rsidR="00A362A0">
        <w:t>Aldo Leopold</w:t>
      </w:r>
      <w:r w:rsidR="009E34DC">
        <w:t xml:space="preserve"> and his</w:t>
      </w:r>
      <w:r w:rsidR="00A362A0">
        <w:t xml:space="preserve"> Land Ethic, which laid out </w:t>
      </w:r>
      <w:r w:rsidR="004F3473">
        <w:t xml:space="preserve">a </w:t>
      </w:r>
      <w:r w:rsidR="00A362A0">
        <w:t>crit</w:t>
      </w:r>
      <w:r w:rsidR="00A26FF9">
        <w:t>icism</w:t>
      </w:r>
      <w:r w:rsidR="00A362A0">
        <w:t xml:space="preserve"> </w:t>
      </w:r>
      <w:proofErr w:type="gramStart"/>
      <w:r w:rsidR="00A362A0">
        <w:t>similar to</w:t>
      </w:r>
      <w:proofErr w:type="gramEnd"/>
      <w:r w:rsidR="00A362A0">
        <w:t xml:space="preserve"> White’s some </w:t>
      </w:r>
      <w:r w:rsidR="004F3473">
        <w:t>2</w:t>
      </w:r>
      <w:r w:rsidR="00A362A0">
        <w:t>0 years earlier</w:t>
      </w:r>
      <w:r w:rsidR="00C01A7C">
        <w:t xml:space="preserve"> and is still foundational to the environmental movement today</w:t>
      </w:r>
      <w:r w:rsidR="00A362A0">
        <w:t>.</w:t>
      </w:r>
      <w:r w:rsidR="009E34DC">
        <w:rPr>
          <w:rStyle w:val="FootnoteReference"/>
        </w:rPr>
        <w:footnoteReference w:id="19"/>
      </w:r>
      <w:r w:rsidR="00A362A0">
        <w:t xml:space="preserve">  </w:t>
      </w:r>
      <w:r w:rsidR="00A26FF9">
        <w:t xml:space="preserve">One example of </w:t>
      </w:r>
      <w:r w:rsidR="00230EBC">
        <w:t>Leopold</w:t>
      </w:r>
      <w:r w:rsidR="00A26FF9">
        <w:t>’s assessment of the church’s attitude</w:t>
      </w:r>
      <w:r w:rsidR="00230EBC">
        <w:t xml:space="preserve"> </w:t>
      </w:r>
      <w:r w:rsidR="00A26FF9">
        <w:t>towards nature stated</w:t>
      </w:r>
      <w:r w:rsidR="00230EBC">
        <w:t xml:space="preserve"> that </w:t>
      </w:r>
    </w:p>
    <w:p w14:paraId="6F58D7B1" w14:textId="3FE5FCD0" w:rsidR="000355AD" w:rsidRPr="000F4F98" w:rsidRDefault="00230EBC" w:rsidP="00230EBC">
      <w:pPr>
        <w:ind w:left="720"/>
        <w:rPr>
          <w:sz w:val="20"/>
          <w:szCs w:val="20"/>
        </w:rPr>
      </w:pPr>
      <w:r w:rsidRPr="000F4F98">
        <w:rPr>
          <w:sz w:val="20"/>
          <w:szCs w:val="20"/>
        </w:rPr>
        <w:t xml:space="preserve">Abraham knew exactly what the land was for: it was to drip milk and honey into Abraham’s mouth.  </w:t>
      </w:r>
      <w:proofErr w:type="gramStart"/>
      <w:r w:rsidRPr="000F4F98">
        <w:rPr>
          <w:sz w:val="20"/>
          <w:szCs w:val="20"/>
        </w:rPr>
        <w:t>At the present moment</w:t>
      </w:r>
      <w:proofErr w:type="gramEnd"/>
      <w:r w:rsidRPr="000F4F98">
        <w:rPr>
          <w:sz w:val="20"/>
          <w:szCs w:val="20"/>
        </w:rPr>
        <w:t>, the assurance with which we regard this assumption is inverse to the degree of our education.</w:t>
      </w:r>
      <w:r w:rsidR="000F4F98">
        <w:rPr>
          <w:rStyle w:val="FootnoteReference"/>
          <w:sz w:val="20"/>
          <w:szCs w:val="20"/>
        </w:rPr>
        <w:footnoteReference w:id="20"/>
      </w:r>
    </w:p>
    <w:p w14:paraId="3F71CAED" w14:textId="539E6823" w:rsidR="000355AD" w:rsidRDefault="0099416F">
      <w:r>
        <w:t>Having decisively laid out the history of the crit</w:t>
      </w:r>
      <w:r w:rsidR="005204D1">
        <w:t>icism</w:t>
      </w:r>
      <w:r>
        <w:t xml:space="preserve"> o</w:t>
      </w:r>
      <w:r w:rsidR="005204D1">
        <w:t>f</w:t>
      </w:r>
      <w:r>
        <w:t xml:space="preserve"> Christianity for its contribution to environmental destruction, Taylor then </w:t>
      </w:r>
      <w:r w:rsidR="00E9034D">
        <w:t xml:space="preserve">pivoted </w:t>
      </w:r>
      <w:r>
        <w:t>to detail</w:t>
      </w:r>
      <w:r w:rsidR="00E9034D">
        <w:t>ing</w:t>
      </w:r>
      <w:r>
        <w:t xml:space="preserve"> the response to White’s widely circulated </w:t>
      </w:r>
      <w:r w:rsidR="00E9034D">
        <w:t>publication</w:t>
      </w:r>
      <w:r>
        <w:t xml:space="preserve"> and how these responses have effected a change in religious</w:t>
      </w:r>
      <w:r w:rsidR="00E9034D">
        <w:t xml:space="preserve"> environmental</w:t>
      </w:r>
      <w:r>
        <w:t xml:space="preserve"> viewpoints since that time.</w:t>
      </w:r>
      <w:r w:rsidR="00520F7D">
        <w:t xml:space="preserve">  Taylor divide</w:t>
      </w:r>
      <w:r w:rsidR="008638AD">
        <w:t>d</w:t>
      </w:r>
      <w:r w:rsidR="00520F7D">
        <w:t xml:space="preserve"> the responses</w:t>
      </w:r>
      <w:r w:rsidR="0014042A">
        <w:t xml:space="preserve"> from within the church</w:t>
      </w:r>
      <w:r w:rsidR="00520F7D">
        <w:t xml:space="preserve"> into</w:t>
      </w:r>
      <w:r w:rsidR="00D76757">
        <w:t xml:space="preserve"> three</w:t>
      </w:r>
      <w:r w:rsidR="00520F7D">
        <w:t xml:space="preserve"> categories</w:t>
      </w:r>
      <w:r w:rsidR="008638AD">
        <w:t>.  There were, he said,</w:t>
      </w:r>
      <w:r w:rsidR="00E9034D">
        <w:t xml:space="preserve"> those that rebuked the attack</w:t>
      </w:r>
      <w:r w:rsidR="008638AD">
        <w:t xml:space="preserve"> and held to their view of nature as utilitarian.  </w:t>
      </w:r>
      <w:r w:rsidR="00F60E7C">
        <w:t>Others</w:t>
      </w:r>
      <w:r w:rsidR="0014042A">
        <w:t xml:space="preserve"> attempted to find evidence within religious texts that the view that had been passed down was incomplete or incorrect</w:t>
      </w:r>
      <w:r w:rsidR="00F60E7C">
        <w:t>.</w:t>
      </w:r>
      <w:r w:rsidR="00AA15B8">
        <w:rPr>
          <w:rStyle w:val="FootnoteReference"/>
        </w:rPr>
        <w:footnoteReference w:id="21"/>
      </w:r>
      <w:r w:rsidR="00F60E7C">
        <w:t xml:space="preserve">  One such case is the examination of the Second Story of Creation in Genesis</w:t>
      </w:r>
      <w:r w:rsidR="00AA15B8">
        <w:t>, as recounted by James William Gibson</w:t>
      </w:r>
      <w:r w:rsidR="00E57743">
        <w:t xml:space="preserve"> in 2009</w:t>
      </w:r>
      <w:r w:rsidR="00AA15B8">
        <w:t>.  The Second Story is</w:t>
      </w:r>
      <w:r w:rsidR="00F60E7C">
        <w:t xml:space="preserve"> </w:t>
      </w:r>
      <w:r w:rsidR="00AA15B8">
        <w:t xml:space="preserve">believed to have been written some </w:t>
      </w:r>
      <w:r w:rsidR="002A312B">
        <w:t>200-</w:t>
      </w:r>
      <w:r w:rsidR="00AA15B8">
        <w:t>400 years prior to the First Story and</w:t>
      </w:r>
      <w:r w:rsidR="00F60E7C">
        <w:t xml:space="preserve"> d</w:t>
      </w:r>
      <w:r w:rsidR="002A312B">
        <w:t>id</w:t>
      </w:r>
      <w:r w:rsidR="00F60E7C">
        <w:t xml:space="preserve"> not </w:t>
      </w:r>
      <w:r w:rsidR="00AA15B8">
        <w:t>situate</w:t>
      </w:r>
      <w:r w:rsidR="00F60E7C">
        <w:t xml:space="preserve"> man as superior to nature, but rather </w:t>
      </w:r>
      <w:r w:rsidR="005204D1">
        <w:t xml:space="preserve">solidly </w:t>
      </w:r>
      <w:r w:rsidR="00F60E7C">
        <w:t>in relationship</w:t>
      </w:r>
      <w:r w:rsidR="00AA15B8">
        <w:t xml:space="preserve"> with it</w:t>
      </w:r>
      <w:r w:rsidR="00F60E7C">
        <w:t>.</w:t>
      </w:r>
      <w:r w:rsidR="00F60E7C">
        <w:rPr>
          <w:rStyle w:val="FootnoteReference"/>
        </w:rPr>
        <w:footnoteReference w:id="22"/>
      </w:r>
      <w:r w:rsidR="0014042A">
        <w:t xml:space="preserve"> </w:t>
      </w:r>
      <w:r w:rsidR="00F60E7C">
        <w:t xml:space="preserve">Still others </w:t>
      </w:r>
      <w:r w:rsidR="0014042A">
        <w:t xml:space="preserve">agreed with White’s proclamation and set about </w:t>
      </w:r>
      <w:r w:rsidR="00AA15B8">
        <w:t xml:space="preserve">either </w:t>
      </w:r>
      <w:r w:rsidR="0014042A">
        <w:t>trying to reform church viewpoints on the environment</w:t>
      </w:r>
      <w:r w:rsidR="00AA15B8">
        <w:t xml:space="preserve"> or to create a new spirituality entirely</w:t>
      </w:r>
      <w:r w:rsidR="0014042A">
        <w:t>.</w:t>
      </w:r>
      <w:r w:rsidR="003F7AED">
        <w:rPr>
          <w:rStyle w:val="FootnoteReference"/>
        </w:rPr>
        <w:footnoteReference w:id="23"/>
      </w:r>
      <w:r w:rsidR="00AA15B8">
        <w:t xml:space="preserve">  Again, Taylor </w:t>
      </w:r>
      <w:r w:rsidR="00EA27BE">
        <w:t>made good use of sources and citations to flesh out his narrative in this section</w:t>
      </w:r>
      <w:r w:rsidR="002A312B">
        <w:t>.  To close, he detailed the ‘greening of religion hypothesis’</w:t>
      </w:r>
      <w:r w:rsidR="000A3C66">
        <w:t>, drawing on many of the topics touched on in the article</w:t>
      </w:r>
      <w:r w:rsidR="002A312B">
        <w:t xml:space="preserve"> and </w:t>
      </w:r>
      <w:r w:rsidR="000A3C66">
        <w:t xml:space="preserve">then </w:t>
      </w:r>
      <w:r w:rsidR="002A312B">
        <w:t xml:space="preserve">led into </w:t>
      </w:r>
      <w:r w:rsidR="000A3C66">
        <w:t xml:space="preserve">a description of </w:t>
      </w:r>
      <w:r w:rsidR="002A312B">
        <w:t xml:space="preserve">his review of studies on this topic, </w:t>
      </w:r>
      <w:r w:rsidR="000A3C66">
        <w:t xml:space="preserve">which was </w:t>
      </w:r>
      <w:r w:rsidR="002A312B">
        <w:t>published separately as a part 2.</w:t>
      </w:r>
    </w:p>
    <w:p w14:paraId="48337836" w14:textId="1CD7D74F" w:rsidR="00EA27BE" w:rsidRDefault="00EA27BE" w:rsidP="00EA27BE">
      <w:r>
        <w:t>In the Botelho article, the authors also laid out a detailed historical survey of their topic, in this case of the introduction and development of agroecology and agroforestry in the Zona de Mata</w:t>
      </w:r>
      <w:r w:rsidR="00A74D1C">
        <w:t xml:space="preserve"> of Brazil</w:t>
      </w:r>
      <w:r>
        <w:t xml:space="preserve"> and how it was influenced by the church, by technology and by politics.  The writing style of their paper is a little more technical than Taylor’s and the necessary but frequent use of acronyms to describe all the groups involved can be a little challenging to follow for those unfamiliar with them.  </w:t>
      </w:r>
      <w:proofErr w:type="gramStart"/>
      <w:r>
        <w:t>Similar to</w:t>
      </w:r>
      <w:proofErr w:type="gramEnd"/>
      <w:r>
        <w:t xml:space="preserve"> Taylor, the authors made use of an introduction and sub-headings for clarity, but did not summarize individual sections within the paper, preferring instead to allow the history to flow as a narrative.  Unlike Taylor, Botelho and her coauthors did provide a conclusion, which recapped what they had done and the recommendations they offered.  </w:t>
      </w:r>
    </w:p>
    <w:p w14:paraId="79979A03" w14:textId="19DCF248" w:rsidR="00EA27BE" w:rsidRDefault="00EA27BE" w:rsidP="00EA27BE">
      <w:r>
        <w:t>The story of the small-holders journey with agroecology that Botelho’s article detailed started around the timeframe of the publication of White’s original article, when the military in Brazil began providing funds for farmers to introduce chemicals and technology on their farms.</w:t>
      </w:r>
      <w:r>
        <w:rPr>
          <w:rStyle w:val="FootnoteReference"/>
        </w:rPr>
        <w:footnoteReference w:id="24"/>
      </w:r>
      <w:r>
        <w:t xml:space="preserve">  By the mid 1980’s, as small-holders who had not been able to afford the ongoing use of technology and chemicals started to see diminishing yields on their farms, the reexamination of the church’s attitudes towards the environment </w:t>
      </w:r>
      <w:r w:rsidR="00E57743">
        <w:t xml:space="preserve">that Taylor described </w:t>
      </w:r>
      <w:r>
        <w:t>was in full swing.  The authors describe</w:t>
      </w:r>
      <w:r w:rsidR="00503B15">
        <w:t>d</w:t>
      </w:r>
      <w:r>
        <w:t xml:space="preserve"> how the initial introduction of agroecology to the </w:t>
      </w:r>
      <w:proofErr w:type="gramStart"/>
      <w:r>
        <w:t>small-holders</w:t>
      </w:r>
      <w:proofErr w:type="gramEnd"/>
      <w:r>
        <w:t xml:space="preserve"> was spearheaded by the Catholic church and emphasized </w:t>
      </w:r>
      <w:r w:rsidR="00E57743">
        <w:t>managing ‘the land with love’.</w:t>
      </w:r>
      <w:r w:rsidR="00E57743">
        <w:rPr>
          <w:rStyle w:val="FootnoteReference"/>
        </w:rPr>
        <w:footnoteReference w:id="25"/>
      </w:r>
      <w:r w:rsidR="00C542CF">
        <w:t xml:space="preserve">  In this case, it was religion that brought the farmers into closer connection with their land through </w:t>
      </w:r>
      <w:r w:rsidR="005951AE">
        <w:t xml:space="preserve">the </w:t>
      </w:r>
      <w:r w:rsidR="005054B7">
        <w:t>promotio</w:t>
      </w:r>
      <w:r w:rsidR="005951AE">
        <w:t xml:space="preserve">n of </w:t>
      </w:r>
      <w:r w:rsidR="00C542CF">
        <w:t>agroecology and, later, agroforestry.</w:t>
      </w:r>
    </w:p>
    <w:p w14:paraId="2879B76D" w14:textId="7F387D2C" w:rsidR="00A832E7" w:rsidRDefault="001B1316" w:rsidP="000B1FF5">
      <w:r>
        <w:t xml:space="preserve">Botelho and her coauthors </w:t>
      </w:r>
      <w:r w:rsidR="00503B15">
        <w:t>conveyed</w:t>
      </w:r>
      <w:r>
        <w:t xml:space="preserve"> the development of the various groups involved and the eventual politicization of </w:t>
      </w:r>
      <w:r w:rsidR="00DD5685">
        <w:t>the agroecology program in a fluid and detailed manner, citing many sources relevant to their discussion.  Unlike Taylor, they rarely use</w:t>
      </w:r>
      <w:r w:rsidR="005054B7">
        <w:t>d</w:t>
      </w:r>
      <w:r w:rsidR="00DD5685">
        <w:t xml:space="preserve"> direct quotations, preferring instead to tell the story themselves and paraphrase their information.  They describe</w:t>
      </w:r>
      <w:r w:rsidR="00503B15">
        <w:t>d</w:t>
      </w:r>
      <w:r w:rsidR="00DD5685">
        <w:t xml:space="preserve"> how the problems with reduced yields and low profits persisted </w:t>
      </w:r>
      <w:r w:rsidR="00503B15">
        <w:t xml:space="preserve">to some extent </w:t>
      </w:r>
      <w:r w:rsidR="00DD5685">
        <w:t>until the introduction of agroforestry experiments.</w:t>
      </w:r>
      <w:r w:rsidR="00886F53">
        <w:rPr>
          <w:rStyle w:val="FootnoteReference"/>
        </w:rPr>
        <w:footnoteReference w:id="26"/>
      </w:r>
      <w:r w:rsidR="00503B15">
        <w:t xml:space="preserve">  </w:t>
      </w:r>
      <w:r w:rsidR="005054B7">
        <w:t>T</w:t>
      </w:r>
      <w:r w:rsidR="00503B15">
        <w:t xml:space="preserve">he authors </w:t>
      </w:r>
      <w:r w:rsidR="005054B7">
        <w:t xml:space="preserve">then </w:t>
      </w:r>
      <w:r w:rsidR="00E9669F">
        <w:t>explained that</w:t>
      </w:r>
      <w:r w:rsidR="00503B15">
        <w:t xml:space="preserve"> the success of the</w:t>
      </w:r>
      <w:r w:rsidR="005054B7">
        <w:t>se</w:t>
      </w:r>
      <w:r w:rsidR="00503B15">
        <w:t xml:space="preserve"> experiments was dependent on</w:t>
      </w:r>
      <w:r w:rsidR="005054B7">
        <w:t xml:space="preserve"> </w:t>
      </w:r>
      <w:r w:rsidR="00503B15">
        <w:t>detailed ob</w:t>
      </w:r>
      <w:r w:rsidR="00774CE6">
        <w:t xml:space="preserve">servation of </w:t>
      </w:r>
      <w:r w:rsidR="005054B7">
        <w:t xml:space="preserve">both </w:t>
      </w:r>
      <w:r w:rsidR="00774CE6">
        <w:t>the land and the different tree species</w:t>
      </w:r>
      <w:r w:rsidR="000C68C8">
        <w:t xml:space="preserve">, </w:t>
      </w:r>
      <w:r w:rsidR="000C68C8">
        <w:t>result</w:t>
      </w:r>
      <w:r w:rsidR="00804BE1">
        <w:t>ing in</w:t>
      </w:r>
      <w:r w:rsidR="000C68C8">
        <w:t xml:space="preserve"> the farmers beg</w:t>
      </w:r>
      <w:r w:rsidR="00804BE1">
        <w:t>inning</w:t>
      </w:r>
      <w:r w:rsidR="000C68C8">
        <w:t xml:space="preserve"> to remember and rediscover older practices that had been lost</w:t>
      </w:r>
      <w:r w:rsidR="00804BE1">
        <w:t>.</w:t>
      </w:r>
      <w:r w:rsidR="00774CE6">
        <w:rPr>
          <w:rStyle w:val="FootnoteReference"/>
        </w:rPr>
        <w:footnoteReference w:id="27"/>
      </w:r>
      <w:r w:rsidR="00774CE6">
        <w:t xml:space="preserve">  </w:t>
      </w:r>
      <w:r w:rsidR="00804BE1">
        <w:t xml:space="preserve">In effect, it </w:t>
      </w:r>
      <w:r w:rsidR="00804BE1">
        <w:t>reconnect</w:t>
      </w:r>
      <w:r w:rsidR="00804BE1">
        <w:t xml:space="preserve">ed </w:t>
      </w:r>
      <w:r w:rsidR="00804BE1">
        <w:t>them with their local traditional ecological knowledge</w:t>
      </w:r>
      <w:r w:rsidR="00804BE1">
        <w:t>, which, a</w:t>
      </w:r>
      <w:r w:rsidR="002D0687">
        <w:t>s Robin Wall Kimmerer desc</w:t>
      </w:r>
      <w:r w:rsidR="000B1FF5">
        <w:t>ribed,</w:t>
      </w:r>
      <w:r w:rsidR="002D6209">
        <w:t xml:space="preserve"> ‘is born of long intimacy and attentiveness to a homeland and can arise wherever people are materially and spiritually integrated with their landscape’.</w:t>
      </w:r>
      <w:r w:rsidR="002D6209">
        <w:rPr>
          <w:rStyle w:val="FootnoteReference"/>
        </w:rPr>
        <w:footnoteReference w:id="28"/>
      </w:r>
      <w:r w:rsidR="00A832E7">
        <w:t xml:space="preserve">  </w:t>
      </w:r>
    </w:p>
    <w:p w14:paraId="5DAF05E1" w14:textId="6348BFF4" w:rsidR="00A832E7" w:rsidRPr="000B1FF5" w:rsidRDefault="00A832E7" w:rsidP="000B1FF5">
      <w:r>
        <w:t xml:space="preserve">Botelho and her coauthors </w:t>
      </w:r>
      <w:r w:rsidR="00EE3123">
        <w:t>continued by</w:t>
      </w:r>
      <w:r>
        <w:t xml:space="preserve"> explor</w:t>
      </w:r>
      <w:r w:rsidR="00EE3123">
        <w:t>ing</w:t>
      </w:r>
      <w:r>
        <w:t xml:space="preserve"> how the </w:t>
      </w:r>
      <w:r w:rsidR="000C68C8">
        <w:t>clo</w:t>
      </w:r>
      <w:r>
        <w:t xml:space="preserve">ser observation of the land rekindled a spiritual connection and how this connection, </w:t>
      </w:r>
      <w:r w:rsidR="00804BE1">
        <w:t>deliberately avoided</w:t>
      </w:r>
      <w:r w:rsidR="000C68C8">
        <w:t xml:space="preserve"> in</w:t>
      </w:r>
      <w:r>
        <w:t xml:space="preserve"> </w:t>
      </w:r>
      <w:r w:rsidR="000C68C8">
        <w:t>the modern scientific approach,</w:t>
      </w:r>
      <w:r>
        <w:t xml:space="preserve"> </w:t>
      </w:r>
      <w:r w:rsidR="00E9669F">
        <w:t>i</w:t>
      </w:r>
      <w:r>
        <w:t>s embedded in indigenous cosmology.</w:t>
      </w:r>
      <w:r w:rsidR="000C68C8">
        <w:rPr>
          <w:rStyle w:val="FootnoteReference"/>
        </w:rPr>
        <w:footnoteReference w:id="29"/>
      </w:r>
      <w:r w:rsidR="000C68C8">
        <w:t xml:space="preserve">  </w:t>
      </w:r>
      <w:r w:rsidR="00276FD9">
        <w:t xml:space="preserve">The authors likened this embrace of nature as a divine entity to the deep ecology movement that arose in the 1970s and 80s as one alternative to Western religious views of nature.  </w:t>
      </w:r>
      <w:r w:rsidR="00500A9D">
        <w:t xml:space="preserve">They argued that, through the </w:t>
      </w:r>
      <w:r w:rsidR="000D0411">
        <w:t xml:space="preserve">process of agroecology, the farmers </w:t>
      </w:r>
      <w:r w:rsidR="00E9669F">
        <w:t>‘</w:t>
      </w:r>
      <w:r w:rsidR="000D0411">
        <w:t>are embedded within the divine nature, and this embeddedness nurtures their personal and practical knowledge, enabling them to care for the land with love’</w:t>
      </w:r>
      <w:r w:rsidR="00A80BF4">
        <w:t>.</w:t>
      </w:r>
      <w:r w:rsidR="000D0411">
        <w:rPr>
          <w:rStyle w:val="FootnoteReference"/>
        </w:rPr>
        <w:footnoteReference w:id="30"/>
      </w:r>
      <w:r w:rsidR="00A80BF4">
        <w:t xml:space="preserve">  Arne </w:t>
      </w:r>
      <w:proofErr w:type="spellStart"/>
      <w:r w:rsidR="00A80BF4">
        <w:t>Naess</w:t>
      </w:r>
      <w:proofErr w:type="spellEnd"/>
      <w:r w:rsidR="00A80BF4">
        <w:t>, in talking about his philosophy of deep ecology, stated that ‘conservation strategy will be more eagerly implemented by people who love what they are conserving’.</w:t>
      </w:r>
      <w:r w:rsidR="00A80BF4">
        <w:rPr>
          <w:rStyle w:val="FootnoteReference"/>
        </w:rPr>
        <w:footnoteReference w:id="31"/>
      </w:r>
      <w:r w:rsidR="003E269D">
        <w:t xml:space="preserve">  This is evident in the study undertaken by Botelho and her coauthors.  Indeed,</w:t>
      </w:r>
      <w:r w:rsidR="00FB735C">
        <w:t xml:space="preserve"> </w:t>
      </w:r>
      <w:r w:rsidR="00CE1C49">
        <w:t xml:space="preserve">the quote from </w:t>
      </w:r>
      <w:r w:rsidR="00FB735C">
        <w:t>one</w:t>
      </w:r>
      <w:r w:rsidR="00CE1C49">
        <w:t xml:space="preserve"> farmer, which serves as the title of the Botelho article, describing his ‘pact with God’</w:t>
      </w:r>
      <w:r w:rsidR="00E9669F">
        <w:rPr>
          <w:rStyle w:val="FootnoteReference"/>
        </w:rPr>
        <w:footnoteReference w:id="32"/>
      </w:r>
      <w:r w:rsidR="00CE1C49">
        <w:t xml:space="preserve">, </w:t>
      </w:r>
      <w:r w:rsidR="00745484">
        <w:t xml:space="preserve">indicates </w:t>
      </w:r>
      <w:r w:rsidR="00CE1C49">
        <w:t xml:space="preserve">one </w:t>
      </w:r>
      <w:r w:rsidR="00202CFB">
        <w:t>possible outcome</w:t>
      </w:r>
      <w:r w:rsidR="00CE1C49">
        <w:t xml:space="preserve"> of the ‘greening of religion hypothesis’ that Taylor introduced in his article.</w:t>
      </w:r>
    </w:p>
    <w:p w14:paraId="310A575F" w14:textId="5E383D10" w:rsidR="000355AD" w:rsidRDefault="000355AD">
      <w:pPr>
        <w:rPr>
          <w:b/>
          <w:bCs/>
          <w:i/>
          <w:iCs/>
        </w:rPr>
      </w:pPr>
      <w:r w:rsidRPr="00E9669F">
        <w:rPr>
          <w:b/>
          <w:bCs/>
          <w:i/>
          <w:iCs/>
        </w:rPr>
        <w:t>Conclusion</w:t>
      </w:r>
    </w:p>
    <w:p w14:paraId="2E8B8221" w14:textId="4833EB7A" w:rsidR="00E9669F" w:rsidRPr="00E9669F" w:rsidRDefault="00A20CD0">
      <w:r>
        <w:t xml:space="preserve">As described in this paper, both Taylor’s and Botelho’s articles deal with the subject matter of nature and religion.  </w:t>
      </w:r>
      <w:proofErr w:type="gramStart"/>
      <w:r>
        <w:t>All of</w:t>
      </w:r>
      <w:proofErr w:type="gramEnd"/>
      <w:r>
        <w:t xml:space="preserve"> the authors involved are qualified to present the work they have detailed and both papers are well-written and accessible. </w:t>
      </w:r>
      <w:r w:rsidR="000C2A2D">
        <w:t xml:space="preserve"> Taylor detailed the history of the idea, expressed by Lynn White, that </w:t>
      </w:r>
      <w:r w:rsidR="00EE3123">
        <w:t>Western</w:t>
      </w:r>
      <w:r w:rsidR="000C2A2D">
        <w:t xml:space="preserve"> religi</w:t>
      </w:r>
      <w:r w:rsidR="00EE3123">
        <w:t>on is</w:t>
      </w:r>
      <w:r w:rsidR="000C2A2D">
        <w:t xml:space="preserve"> at least partly responsible for our environmental crisis.  He then chronicled the reaction to White’s criticism, especially as it pertained to the ability of religions to effect changes in environmental viewpoints, which Taylor summarized as the ‘greening of religion </w:t>
      </w:r>
      <w:proofErr w:type="gramStart"/>
      <w:r w:rsidR="000C2A2D">
        <w:t>hypothesis’</w:t>
      </w:r>
      <w:proofErr w:type="gramEnd"/>
      <w:r w:rsidR="000C2A2D">
        <w:t xml:space="preserve">.  Botelho and her coauthors, by contrast, studied </w:t>
      </w:r>
      <w:r w:rsidR="00D47AB2">
        <w:t>the effect of a church-initiated program of agroecology in the Zona de Mata region of Brazil.  They described how the process of agroecology and agroforestry brought the farmers into closer connection to the land and, through this, back to a deeper spiritual connection, both with the land and with God.  Though using different approaches, both papers are solid explorations of the connection between religion and the environment and offer concrete suggestions for future study in this field.</w:t>
      </w:r>
    </w:p>
    <w:sectPr w:rsidR="00E9669F" w:rsidRPr="00E9669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8761D" w14:textId="77777777" w:rsidR="003021C3" w:rsidRDefault="003021C3" w:rsidP="003021C3">
      <w:pPr>
        <w:spacing w:after="0" w:line="240" w:lineRule="auto"/>
      </w:pPr>
      <w:r>
        <w:separator/>
      </w:r>
    </w:p>
  </w:endnote>
  <w:endnote w:type="continuationSeparator" w:id="0">
    <w:p w14:paraId="6A12EC7F" w14:textId="77777777" w:rsidR="003021C3" w:rsidRDefault="003021C3" w:rsidP="00302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10E85" w14:textId="77777777" w:rsidR="003021C3" w:rsidRDefault="003021C3" w:rsidP="003021C3">
      <w:pPr>
        <w:spacing w:after="0" w:line="240" w:lineRule="auto"/>
      </w:pPr>
      <w:r>
        <w:separator/>
      </w:r>
    </w:p>
  </w:footnote>
  <w:footnote w:type="continuationSeparator" w:id="0">
    <w:p w14:paraId="7D1EF455" w14:textId="77777777" w:rsidR="003021C3" w:rsidRDefault="003021C3" w:rsidP="003021C3">
      <w:pPr>
        <w:spacing w:after="0" w:line="240" w:lineRule="auto"/>
      </w:pPr>
      <w:r>
        <w:continuationSeparator/>
      </w:r>
    </w:p>
  </w:footnote>
  <w:footnote w:id="1">
    <w:p w14:paraId="22BCBF56" w14:textId="1F4DE0A1" w:rsidR="003021C3" w:rsidRPr="003021C3" w:rsidRDefault="003021C3">
      <w:pPr>
        <w:pStyle w:val="FootnoteText"/>
      </w:pPr>
      <w:r>
        <w:rPr>
          <w:rStyle w:val="FootnoteReference"/>
        </w:rPr>
        <w:footnoteRef/>
      </w:r>
      <w:r>
        <w:t xml:space="preserve"> </w:t>
      </w:r>
      <w:proofErr w:type="spellStart"/>
      <w:r>
        <w:t>Bron</w:t>
      </w:r>
      <w:proofErr w:type="spellEnd"/>
      <w:r>
        <w:t xml:space="preserve"> Taylor, ‘The Greening </w:t>
      </w:r>
      <w:r w:rsidR="004A7EAD">
        <w:t>O</w:t>
      </w:r>
      <w:r>
        <w:t xml:space="preserve">f Religion Hypothesis (Part One)’, </w:t>
      </w:r>
      <w:r>
        <w:rPr>
          <w:i/>
          <w:iCs/>
        </w:rPr>
        <w:t>Journal</w:t>
      </w:r>
      <w:r w:rsidR="004A7EAD">
        <w:rPr>
          <w:i/>
          <w:iCs/>
        </w:rPr>
        <w:t xml:space="preserve"> F</w:t>
      </w:r>
      <w:r>
        <w:rPr>
          <w:i/>
          <w:iCs/>
        </w:rPr>
        <w:t xml:space="preserve">or </w:t>
      </w:r>
      <w:r w:rsidR="004A7EAD">
        <w:rPr>
          <w:i/>
          <w:iCs/>
        </w:rPr>
        <w:t>T</w:t>
      </w:r>
      <w:r>
        <w:rPr>
          <w:i/>
          <w:iCs/>
        </w:rPr>
        <w:t xml:space="preserve">he Study </w:t>
      </w:r>
      <w:r w:rsidR="004A7EAD">
        <w:rPr>
          <w:i/>
          <w:iCs/>
        </w:rPr>
        <w:t>O</w:t>
      </w:r>
      <w:r>
        <w:rPr>
          <w:i/>
          <w:iCs/>
        </w:rPr>
        <w:t xml:space="preserve">f Religion, Nature </w:t>
      </w:r>
      <w:r w:rsidR="004A7EAD">
        <w:rPr>
          <w:i/>
          <w:iCs/>
        </w:rPr>
        <w:t>A</w:t>
      </w:r>
      <w:r>
        <w:rPr>
          <w:i/>
          <w:iCs/>
        </w:rPr>
        <w:t>nd Culture</w:t>
      </w:r>
      <w:r>
        <w:t xml:space="preserve">, </w:t>
      </w:r>
      <w:r w:rsidR="00AA76E2">
        <w:t>10:3 (</w:t>
      </w:r>
      <w:r>
        <w:t>2016</w:t>
      </w:r>
      <w:r w:rsidR="00AA76E2">
        <w:t>), 268-305</w:t>
      </w:r>
      <w:proofErr w:type="gramStart"/>
      <w:r>
        <w:t>.</w:t>
      </w:r>
      <w:r w:rsidR="00AA76E2">
        <w:t xml:space="preserve"> </w:t>
      </w:r>
      <w:proofErr w:type="gramEnd"/>
      <w:r w:rsidR="00AA76E2">
        <w:t>DOI: 10.1558/</w:t>
      </w:r>
      <w:proofErr w:type="gramStart"/>
      <w:r w:rsidR="00AA76E2">
        <w:t>jsrnc.v</w:t>
      </w:r>
      <w:proofErr w:type="gramEnd"/>
      <w:r w:rsidR="00AA76E2">
        <w:t>10i3.29010.</w:t>
      </w:r>
    </w:p>
  </w:footnote>
  <w:footnote w:id="2">
    <w:p w14:paraId="328AAF84" w14:textId="4CDE7722" w:rsidR="0022518C" w:rsidRPr="004A7EAD" w:rsidRDefault="0022518C">
      <w:pPr>
        <w:pStyle w:val="FootnoteText"/>
      </w:pPr>
      <w:r>
        <w:rPr>
          <w:rStyle w:val="FootnoteReference"/>
        </w:rPr>
        <w:footnoteRef/>
      </w:r>
      <w:r>
        <w:t xml:space="preserve"> Maria </w:t>
      </w:r>
      <w:proofErr w:type="spellStart"/>
      <w:r>
        <w:t>Izabel</w:t>
      </w:r>
      <w:proofErr w:type="spellEnd"/>
      <w:r>
        <w:t xml:space="preserve"> Vieira Botelho, Irene Maria Cardoso and Kei </w:t>
      </w:r>
      <w:proofErr w:type="spellStart"/>
      <w:r>
        <w:t>Otsuki</w:t>
      </w:r>
      <w:proofErr w:type="spellEnd"/>
      <w:r>
        <w:t xml:space="preserve">, </w:t>
      </w:r>
      <w:proofErr w:type="gramStart"/>
      <w:r>
        <w:t>‘”I</w:t>
      </w:r>
      <w:proofErr w:type="gramEnd"/>
      <w:r>
        <w:t xml:space="preserve"> Made A Pact With God, With Nature And With Myself”: Exploring Deep Agroecology’</w:t>
      </w:r>
      <w:r w:rsidR="004A7EAD">
        <w:t xml:space="preserve">, </w:t>
      </w:r>
      <w:r w:rsidR="004A7EAD">
        <w:rPr>
          <w:i/>
          <w:iCs/>
        </w:rPr>
        <w:t>Agroecology And Sustainable Food Systems</w:t>
      </w:r>
      <w:r w:rsidR="004A7EAD">
        <w:t>, 40:2</w:t>
      </w:r>
      <w:r w:rsidR="0046335A">
        <w:t xml:space="preserve"> (2015)</w:t>
      </w:r>
      <w:r w:rsidR="004A7EAD">
        <w:t>, 116-131</w:t>
      </w:r>
      <w:r w:rsidR="0046335A">
        <w:t>.</w:t>
      </w:r>
      <w:r w:rsidR="004A7EAD">
        <w:t xml:space="preserve"> DOI: 10.1080/21683565.2015.1115798.</w:t>
      </w:r>
    </w:p>
  </w:footnote>
  <w:footnote w:id="3">
    <w:p w14:paraId="60CB0086" w14:textId="6F7657F0" w:rsidR="0046335A" w:rsidRPr="002400D4" w:rsidRDefault="0046335A">
      <w:pPr>
        <w:pStyle w:val="FootnoteText"/>
      </w:pPr>
      <w:r>
        <w:rPr>
          <w:rStyle w:val="FootnoteReference"/>
        </w:rPr>
        <w:footnoteRef/>
      </w:r>
      <w:r>
        <w:t xml:space="preserve"> Lynn White, Jr., ‘The Historical Roots Of Our Ecological Crisis’, </w:t>
      </w:r>
      <w:r>
        <w:rPr>
          <w:i/>
          <w:iCs/>
        </w:rPr>
        <w:t>Science</w:t>
      </w:r>
      <w:r w:rsidR="002400D4">
        <w:t>, 155:3767 (1967), 1203-1207.</w:t>
      </w:r>
    </w:p>
  </w:footnote>
  <w:footnote w:id="4">
    <w:p w14:paraId="5914A3DA" w14:textId="6D47BACA" w:rsidR="006C4A3D" w:rsidRDefault="006C4A3D">
      <w:pPr>
        <w:pStyle w:val="FootnoteText"/>
      </w:pPr>
      <w:r>
        <w:rPr>
          <w:rStyle w:val="FootnoteReference"/>
        </w:rPr>
        <w:footnoteRef/>
      </w:r>
      <w:r>
        <w:t xml:space="preserve"> </w:t>
      </w:r>
      <w:proofErr w:type="spellStart"/>
      <w:r>
        <w:t>Bron</w:t>
      </w:r>
      <w:proofErr w:type="spellEnd"/>
      <w:r>
        <w:t xml:space="preserve"> Taylor, ‘Curriculum Vitae’, &lt;</w:t>
      </w:r>
      <w:hyperlink r:id="rId1" w:history="1">
        <w:r w:rsidRPr="005A060F">
          <w:rPr>
            <w:rStyle w:val="Hyperlink"/>
          </w:rPr>
          <w:t>http://www.brontaylor.com/pdf/cv.pdf</w:t>
        </w:r>
      </w:hyperlink>
      <w:r>
        <w:t>&gt;</w:t>
      </w:r>
    </w:p>
  </w:footnote>
  <w:footnote w:id="5">
    <w:p w14:paraId="3FC5296D" w14:textId="77777777" w:rsidR="006D5A92" w:rsidRPr="00137548" w:rsidRDefault="006D5A92" w:rsidP="006D5A92">
      <w:pPr>
        <w:pStyle w:val="FootnoteText"/>
      </w:pPr>
      <w:r>
        <w:rPr>
          <w:rStyle w:val="FootnoteReference"/>
        </w:rPr>
        <w:footnoteRef/>
      </w:r>
      <w:r>
        <w:t xml:space="preserve"> </w:t>
      </w:r>
      <w:proofErr w:type="spellStart"/>
      <w:r>
        <w:t>Bron</w:t>
      </w:r>
      <w:proofErr w:type="spellEnd"/>
      <w:r>
        <w:t xml:space="preserve"> Taylor, </w:t>
      </w:r>
      <w:r>
        <w:rPr>
          <w:i/>
          <w:iCs/>
        </w:rPr>
        <w:t>Dark Green Religion</w:t>
      </w:r>
      <w:r>
        <w:t xml:space="preserve"> (Berkeley:  University of California Press, 2010)</w:t>
      </w:r>
    </w:p>
  </w:footnote>
  <w:footnote w:id="6">
    <w:p w14:paraId="42F2FE59" w14:textId="63929AD4" w:rsidR="00580F8F" w:rsidRDefault="00580F8F">
      <w:pPr>
        <w:pStyle w:val="FootnoteText"/>
      </w:pPr>
      <w:r>
        <w:rPr>
          <w:rStyle w:val="FootnoteReference"/>
        </w:rPr>
        <w:footnoteRef/>
      </w:r>
      <w:r>
        <w:t xml:space="preserve"> Botelho</w:t>
      </w:r>
      <w:r w:rsidR="00A53F5F">
        <w:t xml:space="preserve">, Cardoso and </w:t>
      </w:r>
      <w:proofErr w:type="spellStart"/>
      <w:r w:rsidR="00A53F5F">
        <w:t>Otsuki</w:t>
      </w:r>
      <w:proofErr w:type="spellEnd"/>
      <w:r>
        <w:t>, ‘I Made A Pact’, p.116.</w:t>
      </w:r>
    </w:p>
  </w:footnote>
  <w:footnote w:id="7">
    <w:p w14:paraId="1605FD73" w14:textId="58B0762B" w:rsidR="00580F8F" w:rsidRDefault="00580F8F">
      <w:pPr>
        <w:pStyle w:val="FootnoteText"/>
      </w:pPr>
      <w:r>
        <w:rPr>
          <w:rStyle w:val="FootnoteReference"/>
        </w:rPr>
        <w:footnoteRef/>
      </w:r>
      <w:r>
        <w:t xml:space="preserve"> Botelho,</w:t>
      </w:r>
      <w:r w:rsidR="00A53F5F">
        <w:t xml:space="preserve"> Cardoso and </w:t>
      </w:r>
      <w:proofErr w:type="spellStart"/>
      <w:r w:rsidR="00A53F5F">
        <w:t>Otsuki</w:t>
      </w:r>
      <w:proofErr w:type="spellEnd"/>
      <w:r w:rsidR="00A53F5F">
        <w:t>,</w:t>
      </w:r>
      <w:r>
        <w:t xml:space="preserve"> ‘I Made A Pact’, p.116.</w:t>
      </w:r>
    </w:p>
  </w:footnote>
  <w:footnote w:id="8">
    <w:p w14:paraId="2F44C6CD" w14:textId="7D1FC386" w:rsidR="00E12919" w:rsidRDefault="00E12919">
      <w:pPr>
        <w:pStyle w:val="FootnoteText"/>
      </w:pPr>
      <w:r>
        <w:rPr>
          <w:rStyle w:val="FootnoteReference"/>
        </w:rPr>
        <w:footnoteRef/>
      </w:r>
      <w:r>
        <w:t xml:space="preserve"> Botelho</w:t>
      </w:r>
      <w:r w:rsidR="00A53F5F">
        <w:t xml:space="preserve">, Cardoso and </w:t>
      </w:r>
      <w:proofErr w:type="spellStart"/>
      <w:r w:rsidR="00A53F5F">
        <w:t>Otsuki</w:t>
      </w:r>
      <w:proofErr w:type="spellEnd"/>
      <w:r>
        <w:t>, ‘I Made A Pact’, p.118.</w:t>
      </w:r>
    </w:p>
  </w:footnote>
  <w:footnote w:id="9">
    <w:p w14:paraId="35C4E580" w14:textId="0339A1F6" w:rsidR="00B13CBD" w:rsidRDefault="00B13CBD">
      <w:pPr>
        <w:pStyle w:val="FootnoteText"/>
      </w:pPr>
      <w:r>
        <w:rPr>
          <w:rStyle w:val="FootnoteReference"/>
        </w:rPr>
        <w:footnoteRef/>
      </w:r>
      <w:r>
        <w:t xml:space="preserve"> </w:t>
      </w:r>
      <w:bookmarkStart w:id="0" w:name="_Hlk87628929"/>
      <w:r>
        <w:t>Taylor, ‘The Greening Of Religion’, pp.277-281.</w:t>
      </w:r>
    </w:p>
    <w:bookmarkEnd w:id="0"/>
  </w:footnote>
  <w:footnote w:id="10">
    <w:p w14:paraId="13B2D43B" w14:textId="283DB553" w:rsidR="00CC4F95" w:rsidRDefault="00CC4F95">
      <w:pPr>
        <w:pStyle w:val="FootnoteText"/>
      </w:pPr>
      <w:r>
        <w:rPr>
          <w:rStyle w:val="FootnoteReference"/>
        </w:rPr>
        <w:footnoteRef/>
      </w:r>
      <w:r>
        <w:t xml:space="preserve"> </w:t>
      </w:r>
      <w:bookmarkStart w:id="1" w:name="_Hlk87620526"/>
      <w:r>
        <w:t>Taylor, ‘The Greening of Religion’, pp.287-29</w:t>
      </w:r>
      <w:r w:rsidR="007C4194">
        <w:t>6</w:t>
      </w:r>
      <w:r>
        <w:t>.</w:t>
      </w:r>
      <w:bookmarkEnd w:id="1"/>
    </w:p>
  </w:footnote>
  <w:footnote w:id="11">
    <w:p w14:paraId="5B5560EE" w14:textId="5CBC0D13" w:rsidR="007C4194" w:rsidRDefault="007C4194">
      <w:pPr>
        <w:pStyle w:val="FootnoteText"/>
      </w:pPr>
      <w:r>
        <w:rPr>
          <w:rStyle w:val="FootnoteReference"/>
        </w:rPr>
        <w:footnoteRef/>
      </w:r>
      <w:r>
        <w:t xml:space="preserve"> Taylor, ‘The Greening of Religion’, pp.296-297.</w:t>
      </w:r>
    </w:p>
  </w:footnote>
  <w:footnote w:id="12">
    <w:p w14:paraId="256CFD21" w14:textId="54E7F88B" w:rsidR="00A53F5F" w:rsidRDefault="00A53F5F">
      <w:pPr>
        <w:pStyle w:val="FootnoteText"/>
      </w:pPr>
      <w:r>
        <w:rPr>
          <w:rStyle w:val="FootnoteReference"/>
        </w:rPr>
        <w:footnoteRef/>
      </w:r>
      <w:r>
        <w:t xml:space="preserve"> </w:t>
      </w:r>
      <w:bookmarkStart w:id="2" w:name="_Hlk87621515"/>
      <w:bookmarkStart w:id="3" w:name="_Hlk87642742"/>
      <w:r>
        <w:t xml:space="preserve">Botelho, Cardoso and </w:t>
      </w:r>
      <w:proofErr w:type="spellStart"/>
      <w:r>
        <w:t>Otsuki</w:t>
      </w:r>
      <w:proofErr w:type="spellEnd"/>
      <w:r>
        <w:t xml:space="preserve">, </w:t>
      </w:r>
      <w:r w:rsidR="00C955EF">
        <w:t>‘I Made A Pact’, p.117.</w:t>
      </w:r>
      <w:bookmarkEnd w:id="2"/>
    </w:p>
    <w:bookmarkEnd w:id="3"/>
  </w:footnote>
  <w:footnote w:id="13">
    <w:p w14:paraId="37E02720" w14:textId="330319BB" w:rsidR="00C955EF" w:rsidRDefault="00C955EF">
      <w:pPr>
        <w:pStyle w:val="FootnoteText"/>
      </w:pPr>
      <w:r>
        <w:rPr>
          <w:rStyle w:val="FootnoteReference"/>
        </w:rPr>
        <w:footnoteRef/>
      </w:r>
      <w:r>
        <w:t xml:space="preserve"> Botelho, Cardoso and </w:t>
      </w:r>
      <w:proofErr w:type="spellStart"/>
      <w:r>
        <w:t>Otsuki</w:t>
      </w:r>
      <w:proofErr w:type="spellEnd"/>
      <w:r>
        <w:t>, ‘I Made A Pact’, p</w:t>
      </w:r>
      <w:r w:rsidR="000C7E92">
        <w:t>p</w:t>
      </w:r>
      <w:r>
        <w:t>.124-125.</w:t>
      </w:r>
    </w:p>
  </w:footnote>
  <w:footnote w:id="14">
    <w:p w14:paraId="6DC66A0B" w14:textId="3DBA66B6" w:rsidR="000C7E92" w:rsidRDefault="000C7E92">
      <w:pPr>
        <w:pStyle w:val="FootnoteText"/>
      </w:pPr>
      <w:r>
        <w:rPr>
          <w:rStyle w:val="FootnoteReference"/>
        </w:rPr>
        <w:footnoteRef/>
      </w:r>
      <w:r>
        <w:t xml:space="preserve"> Botelho, Cardoso and </w:t>
      </w:r>
      <w:proofErr w:type="spellStart"/>
      <w:r>
        <w:t>Otsuki</w:t>
      </w:r>
      <w:proofErr w:type="spellEnd"/>
      <w:r>
        <w:t>, ‘I Made A Pact’, pp.125-126</w:t>
      </w:r>
    </w:p>
  </w:footnote>
  <w:footnote w:id="15">
    <w:p w14:paraId="4663929F" w14:textId="44558739" w:rsidR="009743DB" w:rsidRDefault="009743DB">
      <w:pPr>
        <w:pStyle w:val="FootnoteText"/>
      </w:pPr>
      <w:r>
        <w:rPr>
          <w:rStyle w:val="FootnoteReference"/>
        </w:rPr>
        <w:footnoteRef/>
      </w:r>
      <w:r>
        <w:t xml:space="preserve"> Botelho, Cardoso and </w:t>
      </w:r>
      <w:proofErr w:type="spellStart"/>
      <w:r>
        <w:t>Otsuki</w:t>
      </w:r>
      <w:proofErr w:type="spellEnd"/>
      <w:r>
        <w:t>, ‘I Made A Pact’, pp.126-128.</w:t>
      </w:r>
    </w:p>
  </w:footnote>
  <w:footnote w:id="16">
    <w:p w14:paraId="0FAC9D1B" w14:textId="2732D6FC" w:rsidR="00322413" w:rsidRDefault="00322413">
      <w:pPr>
        <w:pStyle w:val="FootnoteText"/>
      </w:pPr>
      <w:r>
        <w:rPr>
          <w:rStyle w:val="FootnoteReference"/>
        </w:rPr>
        <w:footnoteRef/>
      </w:r>
      <w:r>
        <w:t xml:space="preserve"> </w:t>
      </w:r>
      <w:bookmarkStart w:id="4" w:name="_Hlk87631424"/>
      <w:r>
        <w:t>Taylor, ‘The Greening Of Religion’, p.274.</w:t>
      </w:r>
      <w:bookmarkEnd w:id="4"/>
    </w:p>
  </w:footnote>
  <w:footnote w:id="17">
    <w:p w14:paraId="04AB5F8C" w14:textId="62C00891" w:rsidR="00043D57" w:rsidRPr="00A4042D" w:rsidRDefault="00043D57">
      <w:pPr>
        <w:pStyle w:val="FootnoteText"/>
      </w:pPr>
      <w:r>
        <w:rPr>
          <w:rStyle w:val="FootnoteReference"/>
        </w:rPr>
        <w:footnoteRef/>
      </w:r>
      <w:r>
        <w:t xml:space="preserve"> Leslie </w:t>
      </w:r>
      <w:proofErr w:type="spellStart"/>
      <w:r>
        <w:t>Sponsel</w:t>
      </w:r>
      <w:proofErr w:type="spellEnd"/>
      <w:r>
        <w:t xml:space="preserve">, </w:t>
      </w:r>
      <w:r>
        <w:rPr>
          <w:i/>
          <w:iCs/>
        </w:rPr>
        <w:t>Spiritual Ecology: A Quiet Revolution</w:t>
      </w:r>
      <w:r w:rsidR="00A4042D">
        <w:rPr>
          <w:i/>
          <w:iCs/>
        </w:rPr>
        <w:t xml:space="preserve"> </w:t>
      </w:r>
      <w:r w:rsidR="00A4042D">
        <w:t>(Santa Barbara: Praeger, 2012), p.76.</w:t>
      </w:r>
    </w:p>
  </w:footnote>
  <w:footnote w:id="18">
    <w:p w14:paraId="404C2376" w14:textId="2BFABECD" w:rsidR="003C18F8" w:rsidRDefault="003C18F8">
      <w:pPr>
        <w:pStyle w:val="FootnoteText"/>
      </w:pPr>
      <w:r>
        <w:rPr>
          <w:rStyle w:val="FootnoteReference"/>
        </w:rPr>
        <w:footnoteRef/>
      </w:r>
      <w:r>
        <w:t xml:space="preserve"> </w:t>
      </w:r>
      <w:bookmarkStart w:id="5" w:name="_Hlk87634317"/>
      <w:r w:rsidR="00BC78E5">
        <w:t>Taylor, ‘The Greening Of Religion’, p.277.</w:t>
      </w:r>
      <w:bookmarkEnd w:id="5"/>
    </w:p>
  </w:footnote>
  <w:footnote w:id="19">
    <w:p w14:paraId="3CA9A001" w14:textId="30689A39" w:rsidR="009E34DC" w:rsidRDefault="009E34DC">
      <w:pPr>
        <w:pStyle w:val="FootnoteText"/>
      </w:pPr>
      <w:r>
        <w:rPr>
          <w:rStyle w:val="FootnoteReference"/>
        </w:rPr>
        <w:footnoteRef/>
      </w:r>
      <w:r>
        <w:t xml:space="preserve"> </w:t>
      </w:r>
      <w:bookmarkStart w:id="6" w:name="_Hlk87643441"/>
      <w:r>
        <w:t>Taylor, ‘The Greening Of Religion’, pp.281-283</w:t>
      </w:r>
      <w:bookmarkEnd w:id="6"/>
      <w:r>
        <w:t>.</w:t>
      </w:r>
    </w:p>
  </w:footnote>
  <w:footnote w:id="20">
    <w:p w14:paraId="75209838" w14:textId="3AF5A4B3" w:rsidR="000F4F98" w:rsidRPr="000F4F98" w:rsidRDefault="000F4F98">
      <w:pPr>
        <w:pStyle w:val="FootnoteText"/>
      </w:pPr>
      <w:r>
        <w:rPr>
          <w:rStyle w:val="FootnoteReference"/>
        </w:rPr>
        <w:footnoteRef/>
      </w:r>
      <w:r>
        <w:t xml:space="preserve"> Aldo Leopold, </w:t>
      </w:r>
      <w:r>
        <w:rPr>
          <w:i/>
          <w:iCs/>
        </w:rPr>
        <w:t>A Sand County Almanac: And Sketches Here And There</w:t>
      </w:r>
      <w:r>
        <w:t xml:space="preserve"> (Oxford: Oxford University Press, 1977)</w:t>
      </w:r>
      <w:r w:rsidR="004F3473">
        <w:t>, p.102.</w:t>
      </w:r>
    </w:p>
  </w:footnote>
  <w:footnote w:id="21">
    <w:p w14:paraId="0A760685" w14:textId="29F4AD23" w:rsidR="00AA15B8" w:rsidRDefault="00AA15B8">
      <w:pPr>
        <w:pStyle w:val="FootnoteText"/>
      </w:pPr>
      <w:r>
        <w:rPr>
          <w:rStyle w:val="FootnoteReference"/>
        </w:rPr>
        <w:footnoteRef/>
      </w:r>
      <w:r>
        <w:t xml:space="preserve"> Taylor, ‘The Greening Of Religion’, pp.289-290.</w:t>
      </w:r>
    </w:p>
  </w:footnote>
  <w:footnote w:id="22">
    <w:p w14:paraId="7A9ECCEA" w14:textId="652E3C4E" w:rsidR="00F60E7C" w:rsidRPr="00F60E7C" w:rsidRDefault="00F60E7C">
      <w:pPr>
        <w:pStyle w:val="FootnoteText"/>
      </w:pPr>
      <w:r>
        <w:rPr>
          <w:rStyle w:val="FootnoteReference"/>
        </w:rPr>
        <w:footnoteRef/>
      </w:r>
      <w:r>
        <w:t xml:space="preserve"> James William Gibson, </w:t>
      </w:r>
      <w:r>
        <w:rPr>
          <w:i/>
          <w:iCs/>
        </w:rPr>
        <w:t>A Reenchanted World</w:t>
      </w:r>
      <w:r>
        <w:t xml:space="preserve"> (New York: Henry Holt and Company, 2009), pp.211-213.</w:t>
      </w:r>
    </w:p>
  </w:footnote>
  <w:footnote w:id="23">
    <w:p w14:paraId="482D1E46" w14:textId="6ABE2805" w:rsidR="003F7AED" w:rsidRDefault="003F7AED">
      <w:pPr>
        <w:pStyle w:val="FootnoteText"/>
      </w:pPr>
      <w:r>
        <w:rPr>
          <w:rStyle w:val="FootnoteReference"/>
        </w:rPr>
        <w:footnoteRef/>
      </w:r>
      <w:r>
        <w:t xml:space="preserve"> </w:t>
      </w:r>
      <w:bookmarkStart w:id="7" w:name="_Hlk87644465"/>
      <w:r>
        <w:t>Taylor, ‘The Greening Of Religion’, pp.289-290.</w:t>
      </w:r>
      <w:bookmarkEnd w:id="7"/>
    </w:p>
  </w:footnote>
  <w:footnote w:id="24">
    <w:p w14:paraId="47FC6298" w14:textId="77777777" w:rsidR="00EA27BE" w:rsidRDefault="00EA27BE" w:rsidP="00EA27BE">
      <w:pPr>
        <w:pStyle w:val="FootnoteText"/>
      </w:pPr>
      <w:r>
        <w:rPr>
          <w:rStyle w:val="FootnoteReference"/>
        </w:rPr>
        <w:footnoteRef/>
      </w:r>
      <w:r>
        <w:t xml:space="preserve"> </w:t>
      </w:r>
      <w:bookmarkStart w:id="8" w:name="_Hlk87645049"/>
      <w:r>
        <w:t xml:space="preserve">Botelho, Cardoso and </w:t>
      </w:r>
      <w:proofErr w:type="spellStart"/>
      <w:r>
        <w:t>Otsuki</w:t>
      </w:r>
      <w:proofErr w:type="spellEnd"/>
      <w:r>
        <w:t>, ‘I Made A Pact’, p.120.</w:t>
      </w:r>
      <w:bookmarkEnd w:id="8"/>
    </w:p>
  </w:footnote>
  <w:footnote w:id="25">
    <w:p w14:paraId="6CC54F8A" w14:textId="4DCD41B8" w:rsidR="00E57743" w:rsidRDefault="00E57743">
      <w:pPr>
        <w:pStyle w:val="FootnoteText"/>
      </w:pPr>
      <w:r>
        <w:rPr>
          <w:rStyle w:val="FootnoteReference"/>
        </w:rPr>
        <w:footnoteRef/>
      </w:r>
      <w:r>
        <w:t xml:space="preserve"> Botelho, Cardoso and </w:t>
      </w:r>
      <w:proofErr w:type="spellStart"/>
      <w:r>
        <w:t>Otsuki</w:t>
      </w:r>
      <w:proofErr w:type="spellEnd"/>
      <w:r>
        <w:t>, ‘I Made A Pact’, p.121.</w:t>
      </w:r>
    </w:p>
  </w:footnote>
  <w:footnote w:id="26">
    <w:p w14:paraId="28C1C2DA" w14:textId="7289F902" w:rsidR="00886F53" w:rsidRDefault="00886F53">
      <w:pPr>
        <w:pStyle w:val="FootnoteText"/>
      </w:pPr>
      <w:r>
        <w:rPr>
          <w:rStyle w:val="FootnoteReference"/>
        </w:rPr>
        <w:footnoteRef/>
      </w:r>
      <w:r>
        <w:t xml:space="preserve"> </w:t>
      </w:r>
      <w:bookmarkStart w:id="9" w:name="_Hlk87797447"/>
      <w:r>
        <w:t xml:space="preserve">Botelho, Cardoso and </w:t>
      </w:r>
      <w:proofErr w:type="spellStart"/>
      <w:r>
        <w:t>Otsuki</w:t>
      </w:r>
      <w:proofErr w:type="spellEnd"/>
      <w:r>
        <w:t>, ‘I Made A Pact’, pp.121-122.</w:t>
      </w:r>
      <w:bookmarkEnd w:id="9"/>
    </w:p>
  </w:footnote>
  <w:footnote w:id="27">
    <w:p w14:paraId="537711C3" w14:textId="2B07DEA1" w:rsidR="00774CE6" w:rsidRDefault="00774CE6">
      <w:pPr>
        <w:pStyle w:val="FootnoteText"/>
      </w:pPr>
      <w:r>
        <w:rPr>
          <w:rStyle w:val="FootnoteReference"/>
        </w:rPr>
        <w:footnoteRef/>
      </w:r>
      <w:r>
        <w:t xml:space="preserve"> </w:t>
      </w:r>
      <w:r>
        <w:t xml:space="preserve">Botelho, Cardoso and </w:t>
      </w:r>
      <w:proofErr w:type="spellStart"/>
      <w:r>
        <w:t>Otsuki</w:t>
      </w:r>
      <w:proofErr w:type="spellEnd"/>
      <w:r>
        <w:t>, ‘I Made A Pact’, pp.12</w:t>
      </w:r>
      <w:r>
        <w:t>4-126.</w:t>
      </w:r>
    </w:p>
  </w:footnote>
  <w:footnote w:id="28">
    <w:p w14:paraId="088E2035" w14:textId="66B7DEDD" w:rsidR="002D6209" w:rsidRPr="002D6209" w:rsidRDefault="002D6209">
      <w:pPr>
        <w:pStyle w:val="FootnoteText"/>
      </w:pPr>
      <w:r>
        <w:rPr>
          <w:rStyle w:val="FootnoteReference"/>
        </w:rPr>
        <w:footnoteRef/>
      </w:r>
      <w:r>
        <w:t xml:space="preserve"> Robin Wall Kimmerer, ‘Weaving Traditional Ecological Knowledge Into Biological Education: A Call To Action’, </w:t>
      </w:r>
      <w:proofErr w:type="spellStart"/>
      <w:r>
        <w:rPr>
          <w:i/>
          <w:iCs/>
        </w:rPr>
        <w:t>BioScience</w:t>
      </w:r>
      <w:proofErr w:type="spellEnd"/>
      <w:r w:rsidR="00A832E7">
        <w:rPr>
          <w:i/>
          <w:iCs/>
        </w:rPr>
        <w:t>,</w:t>
      </w:r>
      <w:r>
        <w:rPr>
          <w:i/>
          <w:iCs/>
        </w:rPr>
        <w:t xml:space="preserve"> </w:t>
      </w:r>
      <w:r>
        <w:t>52:5</w:t>
      </w:r>
      <w:r w:rsidR="00A832E7">
        <w:t xml:space="preserve"> (2002), 433.</w:t>
      </w:r>
    </w:p>
  </w:footnote>
  <w:footnote w:id="29">
    <w:p w14:paraId="172497BD" w14:textId="19BABABF" w:rsidR="000C68C8" w:rsidRDefault="000C68C8">
      <w:pPr>
        <w:pStyle w:val="FootnoteText"/>
      </w:pPr>
      <w:r>
        <w:rPr>
          <w:rStyle w:val="FootnoteReference"/>
        </w:rPr>
        <w:footnoteRef/>
      </w:r>
      <w:r>
        <w:t xml:space="preserve"> </w:t>
      </w:r>
      <w:r>
        <w:t xml:space="preserve">Botelho, Cardoso and </w:t>
      </w:r>
      <w:proofErr w:type="spellStart"/>
      <w:r>
        <w:t>Otsuki</w:t>
      </w:r>
      <w:proofErr w:type="spellEnd"/>
      <w:r>
        <w:t>, ‘I Made A Pact’, pp.12</w:t>
      </w:r>
      <w:r>
        <w:t>5.</w:t>
      </w:r>
    </w:p>
  </w:footnote>
  <w:footnote w:id="30">
    <w:p w14:paraId="5AF0BC7A" w14:textId="4E7025F5" w:rsidR="000D0411" w:rsidRDefault="000D0411">
      <w:pPr>
        <w:pStyle w:val="FootnoteText"/>
      </w:pPr>
      <w:r>
        <w:rPr>
          <w:rStyle w:val="FootnoteReference"/>
        </w:rPr>
        <w:footnoteRef/>
      </w:r>
      <w:r>
        <w:t xml:space="preserve"> </w:t>
      </w:r>
      <w:bookmarkStart w:id="10" w:name="_Hlk87802861"/>
      <w:r>
        <w:t xml:space="preserve">Botelho, Cardoso and </w:t>
      </w:r>
      <w:proofErr w:type="spellStart"/>
      <w:r>
        <w:t>Otsuki</w:t>
      </w:r>
      <w:proofErr w:type="spellEnd"/>
      <w:r>
        <w:t>, ‘I Made A Pact’, p.12</w:t>
      </w:r>
      <w:r>
        <w:t>6</w:t>
      </w:r>
    </w:p>
    <w:bookmarkEnd w:id="10"/>
  </w:footnote>
  <w:footnote w:id="31">
    <w:p w14:paraId="7A2BF868" w14:textId="2FF1FD8D" w:rsidR="00A80BF4" w:rsidRPr="003E269D" w:rsidRDefault="00A80BF4">
      <w:pPr>
        <w:pStyle w:val="FootnoteText"/>
        <w:rPr>
          <w:color w:val="FF0000"/>
        </w:rPr>
      </w:pPr>
      <w:r>
        <w:rPr>
          <w:rStyle w:val="FootnoteReference"/>
        </w:rPr>
        <w:footnoteRef/>
      </w:r>
      <w:r>
        <w:t xml:space="preserve"> Arne </w:t>
      </w:r>
      <w:proofErr w:type="spellStart"/>
      <w:r>
        <w:t>Naess</w:t>
      </w:r>
      <w:proofErr w:type="spellEnd"/>
      <w:r>
        <w:t>, ‘The Deep Ecology Movement:  Some Philosophical Aspects’</w:t>
      </w:r>
      <w:r w:rsidR="003E269D">
        <w:t xml:space="preserve">, </w:t>
      </w:r>
      <w:proofErr w:type="spellStart"/>
      <w:r w:rsidR="003E269D">
        <w:rPr>
          <w:i/>
          <w:iCs/>
        </w:rPr>
        <w:t>OpenAirPhilisophy</w:t>
      </w:r>
      <w:proofErr w:type="spellEnd"/>
      <w:r w:rsidR="003E269D">
        <w:rPr>
          <w:i/>
          <w:iCs/>
        </w:rPr>
        <w:t xml:space="preserve">, </w:t>
      </w:r>
      <w:proofErr w:type="gramStart"/>
      <w:r w:rsidR="003E269D">
        <w:t>p.3  _</w:t>
      </w:r>
      <w:proofErr w:type="gramEnd"/>
      <w:r w:rsidR="003E269D">
        <w:t xml:space="preserve"> </w:t>
      </w:r>
      <w:r w:rsidR="003E269D">
        <w:rPr>
          <w:color w:val="FF0000"/>
        </w:rPr>
        <w:t>insert website or find original article</w:t>
      </w:r>
    </w:p>
  </w:footnote>
  <w:footnote w:id="32">
    <w:p w14:paraId="325A4910" w14:textId="2A535720" w:rsidR="00E9669F" w:rsidRDefault="00E9669F">
      <w:pPr>
        <w:pStyle w:val="FootnoteText"/>
      </w:pPr>
      <w:r>
        <w:rPr>
          <w:rStyle w:val="FootnoteReference"/>
        </w:rPr>
        <w:footnoteRef/>
      </w:r>
      <w:r>
        <w:t xml:space="preserve"> </w:t>
      </w:r>
      <w:r>
        <w:t xml:space="preserve">Botelho, Cardoso and </w:t>
      </w:r>
      <w:proofErr w:type="spellStart"/>
      <w:r>
        <w:t>Otsuki</w:t>
      </w:r>
      <w:proofErr w:type="spellEnd"/>
      <w:r>
        <w:t>, ‘I Made A Pact’, p.12</w:t>
      </w:r>
      <w: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0B"/>
    <w:rsid w:val="0000584D"/>
    <w:rsid w:val="000355AD"/>
    <w:rsid w:val="00043D57"/>
    <w:rsid w:val="000A3C66"/>
    <w:rsid w:val="000B1FF5"/>
    <w:rsid w:val="000C2A2D"/>
    <w:rsid w:val="000C68C8"/>
    <w:rsid w:val="000C7E92"/>
    <w:rsid w:val="000D0411"/>
    <w:rsid w:val="000E20A2"/>
    <w:rsid w:val="000F4F98"/>
    <w:rsid w:val="00113E9B"/>
    <w:rsid w:val="00130636"/>
    <w:rsid w:val="00137548"/>
    <w:rsid w:val="0014042A"/>
    <w:rsid w:val="00171391"/>
    <w:rsid w:val="001A24D7"/>
    <w:rsid w:val="001A7666"/>
    <w:rsid w:val="001B1316"/>
    <w:rsid w:val="001D349A"/>
    <w:rsid w:val="001F6A8F"/>
    <w:rsid w:val="00202CFB"/>
    <w:rsid w:val="0022518C"/>
    <w:rsid w:val="00230EBC"/>
    <w:rsid w:val="002400D4"/>
    <w:rsid w:val="00276FD9"/>
    <w:rsid w:val="002A312B"/>
    <w:rsid w:val="002D0687"/>
    <w:rsid w:val="002D6209"/>
    <w:rsid w:val="003021C3"/>
    <w:rsid w:val="00302B22"/>
    <w:rsid w:val="00322413"/>
    <w:rsid w:val="00352529"/>
    <w:rsid w:val="00377C44"/>
    <w:rsid w:val="003C00C2"/>
    <w:rsid w:val="003C18F8"/>
    <w:rsid w:val="003E269D"/>
    <w:rsid w:val="003F32EA"/>
    <w:rsid w:val="003F7AED"/>
    <w:rsid w:val="004303EA"/>
    <w:rsid w:val="00442E9E"/>
    <w:rsid w:val="0046335A"/>
    <w:rsid w:val="004A7EAD"/>
    <w:rsid w:val="004D1873"/>
    <w:rsid w:val="004F3473"/>
    <w:rsid w:val="004F57E2"/>
    <w:rsid w:val="00500A9D"/>
    <w:rsid w:val="00503B15"/>
    <w:rsid w:val="005054B7"/>
    <w:rsid w:val="005204D1"/>
    <w:rsid w:val="00520F7D"/>
    <w:rsid w:val="00580F8F"/>
    <w:rsid w:val="00592908"/>
    <w:rsid w:val="00594EB3"/>
    <w:rsid w:val="005951AE"/>
    <w:rsid w:val="0062317A"/>
    <w:rsid w:val="00640C98"/>
    <w:rsid w:val="00660896"/>
    <w:rsid w:val="006C4A3D"/>
    <w:rsid w:val="006D5A92"/>
    <w:rsid w:val="006F6CCB"/>
    <w:rsid w:val="00723FD9"/>
    <w:rsid w:val="00745484"/>
    <w:rsid w:val="0076130B"/>
    <w:rsid w:val="00774CE6"/>
    <w:rsid w:val="00775D88"/>
    <w:rsid w:val="00785321"/>
    <w:rsid w:val="007C4194"/>
    <w:rsid w:val="007D2CBA"/>
    <w:rsid w:val="00804BE1"/>
    <w:rsid w:val="00814D39"/>
    <w:rsid w:val="008638AD"/>
    <w:rsid w:val="00886F53"/>
    <w:rsid w:val="008F16C8"/>
    <w:rsid w:val="009743DB"/>
    <w:rsid w:val="0099416F"/>
    <w:rsid w:val="009E34DC"/>
    <w:rsid w:val="00A20CD0"/>
    <w:rsid w:val="00A26FF9"/>
    <w:rsid w:val="00A362A0"/>
    <w:rsid w:val="00A4042D"/>
    <w:rsid w:val="00A41CA1"/>
    <w:rsid w:val="00A53F5F"/>
    <w:rsid w:val="00A74D1C"/>
    <w:rsid w:val="00A80BF4"/>
    <w:rsid w:val="00A832E7"/>
    <w:rsid w:val="00AA15B8"/>
    <w:rsid w:val="00AA76E2"/>
    <w:rsid w:val="00AB08B5"/>
    <w:rsid w:val="00B13CBD"/>
    <w:rsid w:val="00B26638"/>
    <w:rsid w:val="00B3290C"/>
    <w:rsid w:val="00B4533A"/>
    <w:rsid w:val="00B82E07"/>
    <w:rsid w:val="00BC70CD"/>
    <w:rsid w:val="00BC78E5"/>
    <w:rsid w:val="00C01A7C"/>
    <w:rsid w:val="00C36818"/>
    <w:rsid w:val="00C51094"/>
    <w:rsid w:val="00C542CF"/>
    <w:rsid w:val="00C755A1"/>
    <w:rsid w:val="00C955EF"/>
    <w:rsid w:val="00CC4F95"/>
    <w:rsid w:val="00CE1C49"/>
    <w:rsid w:val="00D43E41"/>
    <w:rsid w:val="00D47AB2"/>
    <w:rsid w:val="00D51A20"/>
    <w:rsid w:val="00D76757"/>
    <w:rsid w:val="00DA5F4B"/>
    <w:rsid w:val="00DC016B"/>
    <w:rsid w:val="00DD5685"/>
    <w:rsid w:val="00DF5B0C"/>
    <w:rsid w:val="00E03C4F"/>
    <w:rsid w:val="00E12919"/>
    <w:rsid w:val="00E149B7"/>
    <w:rsid w:val="00E237BA"/>
    <w:rsid w:val="00E42904"/>
    <w:rsid w:val="00E57743"/>
    <w:rsid w:val="00E72F42"/>
    <w:rsid w:val="00E7611F"/>
    <w:rsid w:val="00E9034D"/>
    <w:rsid w:val="00E9669F"/>
    <w:rsid w:val="00EA27BE"/>
    <w:rsid w:val="00EC61CE"/>
    <w:rsid w:val="00EE3123"/>
    <w:rsid w:val="00EF09C2"/>
    <w:rsid w:val="00F06112"/>
    <w:rsid w:val="00F60E7C"/>
    <w:rsid w:val="00F60F75"/>
    <w:rsid w:val="00FB7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5551B"/>
  <w15:chartTrackingRefBased/>
  <w15:docId w15:val="{FAA73534-342C-4ADA-992F-1837EE6B6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21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21C3"/>
    <w:rPr>
      <w:sz w:val="20"/>
      <w:szCs w:val="20"/>
    </w:rPr>
  </w:style>
  <w:style w:type="character" w:styleId="FootnoteReference">
    <w:name w:val="footnote reference"/>
    <w:basedOn w:val="DefaultParagraphFont"/>
    <w:uiPriority w:val="99"/>
    <w:semiHidden/>
    <w:unhideWhenUsed/>
    <w:rsid w:val="003021C3"/>
    <w:rPr>
      <w:vertAlign w:val="superscript"/>
    </w:rPr>
  </w:style>
  <w:style w:type="character" w:styleId="Hyperlink">
    <w:name w:val="Hyperlink"/>
    <w:basedOn w:val="DefaultParagraphFont"/>
    <w:uiPriority w:val="99"/>
    <w:unhideWhenUsed/>
    <w:rsid w:val="006C4A3D"/>
    <w:rPr>
      <w:color w:val="0563C1" w:themeColor="hyperlink"/>
      <w:u w:val="single"/>
    </w:rPr>
  </w:style>
  <w:style w:type="character" w:styleId="UnresolvedMention">
    <w:name w:val="Unresolved Mention"/>
    <w:basedOn w:val="DefaultParagraphFont"/>
    <w:uiPriority w:val="99"/>
    <w:semiHidden/>
    <w:unhideWhenUsed/>
    <w:rsid w:val="006C4A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brontaylor.com/pdf/c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6B12D-6CF9-4A1B-B298-2477EF05A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2</cp:revision>
  <cp:lastPrinted>2021-11-15T03:48:00Z</cp:lastPrinted>
  <dcterms:created xsi:type="dcterms:W3CDTF">2021-11-15T04:19:00Z</dcterms:created>
  <dcterms:modified xsi:type="dcterms:W3CDTF">2021-11-15T04:19:00Z</dcterms:modified>
</cp:coreProperties>
</file>