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23094" w14:textId="77777777" w:rsidR="009B3431" w:rsidRDefault="009B3431" w:rsidP="00B73E3A">
      <w:pPr>
        <w:spacing w:line="360" w:lineRule="auto"/>
        <w:rPr>
          <w:rFonts w:ascii="Arial" w:hAnsi="Arial" w:cs="Arial"/>
          <w:sz w:val="22"/>
          <w:szCs w:val="22"/>
        </w:rPr>
      </w:pPr>
    </w:p>
    <w:p w14:paraId="313C77AA" w14:textId="77777777" w:rsidR="009B3431" w:rsidRDefault="009B3431" w:rsidP="00B73E3A">
      <w:pPr>
        <w:spacing w:line="360" w:lineRule="auto"/>
        <w:rPr>
          <w:rFonts w:ascii="Arial" w:hAnsi="Arial" w:cs="Arial"/>
          <w:sz w:val="22"/>
          <w:szCs w:val="22"/>
        </w:rPr>
      </w:pPr>
    </w:p>
    <w:p w14:paraId="015A8C83" w14:textId="0FEA98A2" w:rsidR="00A022F6" w:rsidRPr="00726007" w:rsidRDefault="00A022F6" w:rsidP="00A022F6">
      <w:pPr>
        <w:jc w:val="center"/>
        <w:rPr>
          <w:rFonts w:ascii="Arial" w:hAnsi="Arial" w:cs="Arial"/>
          <w:b/>
          <w:bCs/>
          <w:sz w:val="44"/>
          <w:szCs w:val="44"/>
        </w:rPr>
      </w:pPr>
      <w:r w:rsidRPr="00726007">
        <w:rPr>
          <w:rFonts w:ascii="Arial" w:hAnsi="Arial" w:cs="Arial"/>
          <w:b/>
          <w:bCs/>
          <w:sz w:val="44"/>
          <w:szCs w:val="44"/>
        </w:rPr>
        <w:t>(BMHP</w:t>
      </w:r>
      <w:r w:rsidR="002528A7">
        <w:rPr>
          <w:rFonts w:ascii="Arial" w:hAnsi="Arial" w:cs="Arial"/>
          <w:b/>
          <w:bCs/>
          <w:sz w:val="44"/>
          <w:szCs w:val="44"/>
        </w:rPr>
        <w:t>6026</w:t>
      </w:r>
      <w:r w:rsidRPr="00726007">
        <w:rPr>
          <w:rFonts w:ascii="Arial" w:hAnsi="Arial" w:cs="Arial"/>
          <w:b/>
          <w:bCs/>
          <w:sz w:val="44"/>
          <w:szCs w:val="44"/>
        </w:rPr>
        <w:t xml:space="preserve">_BIRM) </w:t>
      </w:r>
      <w:r w:rsidR="00A1256D">
        <w:rPr>
          <w:rFonts w:ascii="Arial" w:hAnsi="Arial" w:cs="Arial"/>
          <w:b/>
          <w:bCs/>
          <w:sz w:val="44"/>
          <w:szCs w:val="44"/>
        </w:rPr>
        <w:t>Digital Transformation in the Health and Care Professions</w:t>
      </w:r>
    </w:p>
    <w:p w14:paraId="09CD2B4D" w14:textId="77777777" w:rsidR="00A022F6" w:rsidRPr="00726007" w:rsidRDefault="00A022F6" w:rsidP="00A022F6">
      <w:pPr>
        <w:jc w:val="center"/>
        <w:rPr>
          <w:rFonts w:ascii="Arial" w:hAnsi="Arial" w:cs="Arial"/>
          <w:b/>
          <w:bCs/>
          <w:sz w:val="44"/>
          <w:szCs w:val="44"/>
        </w:rPr>
      </w:pPr>
      <w:r w:rsidRPr="00726007">
        <w:rPr>
          <w:rFonts w:ascii="Arial" w:hAnsi="Arial" w:cs="Arial"/>
          <w:b/>
          <w:bCs/>
          <w:sz w:val="44"/>
          <w:szCs w:val="44"/>
        </w:rPr>
        <w:t>Student Number: 2328226</w:t>
      </w:r>
    </w:p>
    <w:p w14:paraId="1F02D4CF" w14:textId="77777777" w:rsidR="00A022F6" w:rsidRPr="00726007" w:rsidRDefault="00A022F6" w:rsidP="00A022F6">
      <w:pPr>
        <w:jc w:val="center"/>
        <w:rPr>
          <w:rFonts w:ascii="Arial" w:hAnsi="Arial" w:cs="Arial"/>
          <w:b/>
          <w:bCs/>
          <w:sz w:val="44"/>
          <w:szCs w:val="44"/>
        </w:rPr>
      </w:pPr>
      <w:r w:rsidRPr="00726007">
        <w:rPr>
          <w:rFonts w:ascii="Arial" w:hAnsi="Arial" w:cs="Arial"/>
          <w:b/>
          <w:bCs/>
          <w:sz w:val="44"/>
          <w:szCs w:val="44"/>
        </w:rPr>
        <w:t>Student Name: Cherelle Moran</w:t>
      </w:r>
    </w:p>
    <w:p w14:paraId="4AAAD224" w14:textId="56B3F850" w:rsidR="00A022F6" w:rsidRPr="00726007" w:rsidRDefault="00A022F6" w:rsidP="00A022F6">
      <w:pPr>
        <w:jc w:val="center"/>
        <w:rPr>
          <w:rFonts w:ascii="Arial" w:hAnsi="Arial" w:cs="Arial"/>
          <w:b/>
          <w:bCs/>
          <w:sz w:val="44"/>
          <w:szCs w:val="44"/>
        </w:rPr>
      </w:pPr>
      <w:r w:rsidRPr="00726007">
        <w:rPr>
          <w:rFonts w:ascii="Arial" w:hAnsi="Arial" w:cs="Arial"/>
          <w:b/>
          <w:bCs/>
          <w:sz w:val="44"/>
          <w:szCs w:val="44"/>
        </w:rPr>
        <w:t xml:space="preserve">Tutor Details: </w:t>
      </w:r>
      <w:r w:rsidR="00500248">
        <w:rPr>
          <w:rFonts w:ascii="Arial" w:hAnsi="Arial" w:cs="Arial"/>
          <w:b/>
          <w:bCs/>
          <w:sz w:val="44"/>
          <w:szCs w:val="44"/>
        </w:rPr>
        <w:t>Ma</w:t>
      </w:r>
      <w:r w:rsidR="000F000A">
        <w:rPr>
          <w:rFonts w:ascii="Arial" w:hAnsi="Arial" w:cs="Arial"/>
          <w:b/>
          <w:bCs/>
          <w:sz w:val="44"/>
          <w:szCs w:val="44"/>
        </w:rPr>
        <w:t xml:space="preserve">rtin </w:t>
      </w:r>
      <w:r w:rsidR="00500248">
        <w:rPr>
          <w:rFonts w:ascii="Arial" w:hAnsi="Arial" w:cs="Arial"/>
          <w:b/>
          <w:bCs/>
          <w:sz w:val="44"/>
          <w:szCs w:val="44"/>
        </w:rPr>
        <w:t>Svejda</w:t>
      </w:r>
    </w:p>
    <w:p w14:paraId="164C9578" w14:textId="6C4F31AD" w:rsidR="00A022F6" w:rsidRPr="00726007" w:rsidRDefault="00A022F6" w:rsidP="00A022F6">
      <w:pPr>
        <w:jc w:val="center"/>
        <w:rPr>
          <w:rFonts w:ascii="Arial" w:hAnsi="Arial" w:cs="Arial"/>
          <w:b/>
          <w:bCs/>
          <w:sz w:val="44"/>
          <w:szCs w:val="44"/>
        </w:rPr>
      </w:pPr>
      <w:r w:rsidRPr="00726007">
        <w:rPr>
          <w:rFonts w:ascii="Arial" w:hAnsi="Arial" w:cs="Arial"/>
          <w:b/>
          <w:bCs/>
          <w:sz w:val="44"/>
          <w:szCs w:val="44"/>
        </w:rPr>
        <w:t xml:space="preserve">Submission Date: </w:t>
      </w:r>
      <w:r w:rsidR="00DD5479">
        <w:rPr>
          <w:rFonts w:ascii="Arial" w:hAnsi="Arial" w:cs="Arial"/>
          <w:b/>
          <w:bCs/>
          <w:sz w:val="44"/>
          <w:szCs w:val="44"/>
        </w:rPr>
        <w:t>5</w:t>
      </w:r>
      <w:r w:rsidR="00DD5479" w:rsidRPr="00DD5479">
        <w:rPr>
          <w:rFonts w:ascii="Arial" w:hAnsi="Arial" w:cs="Arial"/>
          <w:b/>
          <w:bCs/>
          <w:sz w:val="44"/>
          <w:szCs w:val="44"/>
          <w:vertAlign w:val="superscript"/>
        </w:rPr>
        <w:t>th</w:t>
      </w:r>
      <w:r w:rsidR="00DD5479">
        <w:rPr>
          <w:rFonts w:ascii="Arial" w:hAnsi="Arial" w:cs="Arial"/>
          <w:b/>
          <w:bCs/>
          <w:sz w:val="44"/>
          <w:szCs w:val="44"/>
        </w:rPr>
        <w:t xml:space="preserve"> July </w:t>
      </w:r>
      <w:r w:rsidRPr="00726007">
        <w:rPr>
          <w:rFonts w:ascii="Arial" w:hAnsi="Arial" w:cs="Arial"/>
          <w:b/>
          <w:bCs/>
          <w:sz w:val="44"/>
          <w:szCs w:val="44"/>
        </w:rPr>
        <w:t>2026</w:t>
      </w:r>
    </w:p>
    <w:p w14:paraId="130EEB6C" w14:textId="77777777" w:rsidR="00A022F6" w:rsidRPr="00726007" w:rsidRDefault="00A022F6" w:rsidP="00A022F6">
      <w:pPr>
        <w:jc w:val="center"/>
        <w:rPr>
          <w:rFonts w:ascii="Arial" w:hAnsi="Arial" w:cs="Arial"/>
          <w:b/>
          <w:bCs/>
          <w:sz w:val="44"/>
          <w:szCs w:val="44"/>
        </w:rPr>
      </w:pPr>
    </w:p>
    <w:p w14:paraId="3CD33F79" w14:textId="77777777" w:rsidR="009B3431" w:rsidRDefault="009B3431" w:rsidP="00B73E3A">
      <w:pPr>
        <w:spacing w:line="360" w:lineRule="auto"/>
        <w:rPr>
          <w:rFonts w:ascii="Arial" w:hAnsi="Arial" w:cs="Arial"/>
          <w:sz w:val="22"/>
          <w:szCs w:val="22"/>
        </w:rPr>
      </w:pPr>
    </w:p>
    <w:p w14:paraId="440BAC71" w14:textId="77777777" w:rsidR="009B3431" w:rsidRDefault="009B3431" w:rsidP="00B73E3A">
      <w:pPr>
        <w:spacing w:line="360" w:lineRule="auto"/>
        <w:rPr>
          <w:rFonts w:ascii="Arial" w:hAnsi="Arial" w:cs="Arial"/>
          <w:sz w:val="22"/>
          <w:szCs w:val="22"/>
        </w:rPr>
      </w:pPr>
    </w:p>
    <w:p w14:paraId="3E8EFF3E" w14:textId="77777777" w:rsidR="009B3431" w:rsidRDefault="009B3431" w:rsidP="00B73E3A">
      <w:pPr>
        <w:spacing w:line="360" w:lineRule="auto"/>
        <w:rPr>
          <w:rFonts w:ascii="Arial" w:hAnsi="Arial" w:cs="Arial"/>
          <w:sz w:val="22"/>
          <w:szCs w:val="22"/>
        </w:rPr>
      </w:pPr>
    </w:p>
    <w:p w14:paraId="2E5FFCF0" w14:textId="77777777" w:rsidR="009B3431" w:rsidRDefault="009B3431" w:rsidP="00B73E3A">
      <w:pPr>
        <w:spacing w:line="360" w:lineRule="auto"/>
        <w:rPr>
          <w:rFonts w:ascii="Arial" w:hAnsi="Arial" w:cs="Arial"/>
          <w:sz w:val="22"/>
          <w:szCs w:val="22"/>
        </w:rPr>
      </w:pPr>
    </w:p>
    <w:p w14:paraId="05C860C1" w14:textId="77777777" w:rsidR="009B3431" w:rsidRDefault="009B3431" w:rsidP="00B73E3A">
      <w:pPr>
        <w:spacing w:line="360" w:lineRule="auto"/>
        <w:rPr>
          <w:rFonts w:ascii="Arial" w:hAnsi="Arial" w:cs="Arial"/>
          <w:sz w:val="22"/>
          <w:szCs w:val="22"/>
        </w:rPr>
      </w:pPr>
    </w:p>
    <w:p w14:paraId="3DDC2EE0" w14:textId="77777777" w:rsidR="009B3431" w:rsidRDefault="009B3431" w:rsidP="00B73E3A">
      <w:pPr>
        <w:spacing w:line="360" w:lineRule="auto"/>
        <w:rPr>
          <w:rFonts w:ascii="Arial" w:hAnsi="Arial" w:cs="Arial"/>
          <w:sz w:val="22"/>
          <w:szCs w:val="22"/>
        </w:rPr>
      </w:pPr>
    </w:p>
    <w:p w14:paraId="50EF098C" w14:textId="77777777" w:rsidR="009B3431" w:rsidRDefault="009B3431" w:rsidP="00B73E3A">
      <w:pPr>
        <w:spacing w:line="360" w:lineRule="auto"/>
        <w:rPr>
          <w:rFonts w:ascii="Arial" w:hAnsi="Arial" w:cs="Arial"/>
          <w:sz w:val="22"/>
          <w:szCs w:val="22"/>
        </w:rPr>
      </w:pPr>
    </w:p>
    <w:p w14:paraId="3A985E8B" w14:textId="77777777" w:rsidR="009B3431" w:rsidRDefault="009B3431" w:rsidP="00B73E3A">
      <w:pPr>
        <w:spacing w:line="360" w:lineRule="auto"/>
        <w:rPr>
          <w:rFonts w:ascii="Arial" w:hAnsi="Arial" w:cs="Arial"/>
          <w:sz w:val="22"/>
          <w:szCs w:val="22"/>
        </w:rPr>
      </w:pPr>
    </w:p>
    <w:p w14:paraId="13EA5EAE" w14:textId="77777777" w:rsidR="009B3431" w:rsidRDefault="009B3431" w:rsidP="00B73E3A">
      <w:pPr>
        <w:spacing w:line="360" w:lineRule="auto"/>
        <w:rPr>
          <w:rFonts w:ascii="Arial" w:hAnsi="Arial" w:cs="Arial"/>
          <w:sz w:val="22"/>
          <w:szCs w:val="22"/>
        </w:rPr>
      </w:pPr>
    </w:p>
    <w:p w14:paraId="08162D14" w14:textId="77777777" w:rsidR="009B3431" w:rsidRDefault="009B3431" w:rsidP="00B73E3A">
      <w:pPr>
        <w:spacing w:line="360" w:lineRule="auto"/>
        <w:rPr>
          <w:rFonts w:ascii="Arial" w:hAnsi="Arial" w:cs="Arial"/>
          <w:sz w:val="22"/>
          <w:szCs w:val="22"/>
        </w:rPr>
      </w:pPr>
    </w:p>
    <w:p w14:paraId="11135C61" w14:textId="77777777" w:rsidR="009B3431" w:rsidRDefault="009B3431" w:rsidP="00B73E3A">
      <w:pPr>
        <w:spacing w:line="360" w:lineRule="auto"/>
        <w:rPr>
          <w:rFonts w:ascii="Arial" w:hAnsi="Arial" w:cs="Arial"/>
          <w:sz w:val="22"/>
          <w:szCs w:val="22"/>
        </w:rPr>
      </w:pPr>
    </w:p>
    <w:p w14:paraId="55A42B32" w14:textId="77777777" w:rsidR="009B3431" w:rsidRDefault="009B3431" w:rsidP="00B73E3A">
      <w:pPr>
        <w:spacing w:line="360" w:lineRule="auto"/>
        <w:rPr>
          <w:rFonts w:ascii="Arial" w:hAnsi="Arial" w:cs="Arial"/>
          <w:sz w:val="22"/>
          <w:szCs w:val="22"/>
        </w:rPr>
      </w:pPr>
    </w:p>
    <w:p w14:paraId="7E2B4743" w14:textId="77777777" w:rsidR="009B3431" w:rsidRDefault="009B3431" w:rsidP="00B73E3A">
      <w:pPr>
        <w:spacing w:line="360" w:lineRule="auto"/>
        <w:rPr>
          <w:rFonts w:ascii="Arial" w:hAnsi="Arial" w:cs="Arial"/>
          <w:sz w:val="22"/>
          <w:szCs w:val="22"/>
        </w:rPr>
      </w:pPr>
    </w:p>
    <w:p w14:paraId="5B9B5912" w14:textId="77777777" w:rsidR="009B3431" w:rsidRDefault="009B3431" w:rsidP="00B73E3A">
      <w:pPr>
        <w:spacing w:line="360" w:lineRule="auto"/>
        <w:rPr>
          <w:rFonts w:ascii="Arial" w:hAnsi="Arial" w:cs="Arial"/>
          <w:sz w:val="22"/>
          <w:szCs w:val="22"/>
        </w:rPr>
      </w:pPr>
    </w:p>
    <w:p w14:paraId="44D2256B" w14:textId="77777777" w:rsidR="009B3431" w:rsidRDefault="009B3431" w:rsidP="00B73E3A">
      <w:pPr>
        <w:spacing w:line="360" w:lineRule="auto"/>
        <w:rPr>
          <w:rFonts w:ascii="Arial" w:hAnsi="Arial" w:cs="Arial"/>
          <w:sz w:val="22"/>
          <w:szCs w:val="22"/>
        </w:rPr>
      </w:pPr>
    </w:p>
    <w:p w14:paraId="0560175D" w14:textId="7DA8272F" w:rsidR="009B3431" w:rsidRDefault="008B384B" w:rsidP="00B73E3A">
      <w:pPr>
        <w:spacing w:line="360" w:lineRule="auto"/>
        <w:rPr>
          <w:rFonts w:ascii="Arial" w:hAnsi="Arial" w:cs="Arial"/>
          <w:sz w:val="22"/>
          <w:szCs w:val="22"/>
        </w:rPr>
      </w:pPr>
      <w:r>
        <w:rPr>
          <w:rFonts w:ascii="Arial" w:hAnsi="Arial" w:cs="Arial"/>
          <w:sz w:val="22"/>
          <w:szCs w:val="22"/>
        </w:rPr>
        <w:lastRenderedPageBreak/>
        <w:t xml:space="preserve">Contents </w:t>
      </w:r>
    </w:p>
    <w:p w14:paraId="5A2ED9B9" w14:textId="35E2BF3E"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Abstract</w:t>
      </w:r>
      <w:r w:rsidRPr="00B076D8">
        <w:rPr>
          <w:rFonts w:ascii="Arial" w:hAnsi="Arial" w:cs="Arial"/>
          <w:sz w:val="22"/>
          <w:szCs w:val="22"/>
        </w:rPr>
        <w:t xml:space="preserve"> .............................................................................................................................. </w:t>
      </w:r>
      <w:r>
        <w:rPr>
          <w:rFonts w:ascii="Arial" w:hAnsi="Arial" w:cs="Arial"/>
          <w:sz w:val="22"/>
          <w:szCs w:val="22"/>
        </w:rPr>
        <w:t>3</w:t>
      </w:r>
    </w:p>
    <w:p w14:paraId="76E36377" w14:textId="0C6BBD13" w:rsidR="003F48B0" w:rsidRPr="003F48B0" w:rsidRDefault="00B076D8" w:rsidP="003F48B0">
      <w:pPr>
        <w:pStyle w:val="ListParagraph"/>
        <w:numPr>
          <w:ilvl w:val="0"/>
          <w:numId w:val="2"/>
        </w:numPr>
        <w:spacing w:line="360" w:lineRule="auto"/>
        <w:rPr>
          <w:rFonts w:ascii="Arial" w:hAnsi="Arial" w:cs="Arial"/>
          <w:sz w:val="22"/>
          <w:szCs w:val="22"/>
        </w:rPr>
      </w:pPr>
      <w:r w:rsidRPr="003F48B0">
        <w:rPr>
          <w:rFonts w:ascii="Arial" w:hAnsi="Arial" w:cs="Arial"/>
          <w:b/>
          <w:bCs/>
          <w:sz w:val="22"/>
          <w:szCs w:val="22"/>
        </w:rPr>
        <w:t>Introduction</w:t>
      </w:r>
      <w:r w:rsidRPr="003F48B0">
        <w:rPr>
          <w:rFonts w:ascii="Arial" w:hAnsi="Arial" w:cs="Arial"/>
          <w:sz w:val="22"/>
          <w:szCs w:val="22"/>
        </w:rPr>
        <w:t xml:space="preserve"> ..................................................................................................................</w:t>
      </w:r>
      <w:r w:rsidR="003F48B0" w:rsidRPr="003F48B0">
        <w:rPr>
          <w:rFonts w:ascii="Arial" w:hAnsi="Arial" w:cs="Arial"/>
          <w:sz w:val="22"/>
          <w:szCs w:val="22"/>
        </w:rPr>
        <w:t xml:space="preserve">4 </w:t>
      </w:r>
    </w:p>
    <w:p w14:paraId="788E0FB1" w14:textId="08F65213" w:rsidR="00BA3916" w:rsidRDefault="00B076D8" w:rsidP="00B076D8">
      <w:pPr>
        <w:spacing w:line="360" w:lineRule="auto"/>
        <w:rPr>
          <w:rFonts w:ascii="Arial" w:hAnsi="Arial" w:cs="Arial"/>
          <w:sz w:val="22"/>
          <w:szCs w:val="22"/>
        </w:rPr>
      </w:pPr>
      <w:r w:rsidRPr="00B076D8">
        <w:rPr>
          <w:rFonts w:ascii="Arial" w:hAnsi="Arial" w:cs="Arial"/>
          <w:b/>
          <w:bCs/>
          <w:sz w:val="22"/>
          <w:szCs w:val="22"/>
        </w:rPr>
        <w:t>2.0 HCL System Architecture and Health Context</w:t>
      </w:r>
      <w:r w:rsidRPr="00B076D8">
        <w:rPr>
          <w:rFonts w:ascii="Arial" w:hAnsi="Arial" w:cs="Arial"/>
          <w:sz w:val="22"/>
          <w:szCs w:val="22"/>
        </w:rPr>
        <w:t xml:space="preserve"> ...................................................</w:t>
      </w:r>
      <w:r w:rsidR="00AE4387">
        <w:rPr>
          <w:rFonts w:ascii="Arial" w:hAnsi="Arial" w:cs="Arial"/>
          <w:sz w:val="22"/>
          <w:szCs w:val="22"/>
        </w:rPr>
        <w:t>......</w:t>
      </w:r>
      <w:r w:rsidR="008C702F">
        <w:rPr>
          <w:rFonts w:ascii="Arial" w:hAnsi="Arial" w:cs="Arial"/>
          <w:sz w:val="22"/>
          <w:szCs w:val="22"/>
        </w:rPr>
        <w:t>4</w:t>
      </w:r>
    </w:p>
    <w:p w14:paraId="4C0B557A" w14:textId="4E06F51A" w:rsidR="00B076D8" w:rsidRPr="00B076D8" w:rsidRDefault="00B076D8" w:rsidP="00B076D8">
      <w:pPr>
        <w:spacing w:line="360" w:lineRule="auto"/>
        <w:rPr>
          <w:rFonts w:ascii="Arial" w:hAnsi="Arial" w:cs="Arial"/>
          <w:sz w:val="22"/>
          <w:szCs w:val="22"/>
        </w:rPr>
      </w:pPr>
      <w:r w:rsidRPr="00B076D8">
        <w:rPr>
          <w:rFonts w:ascii="Arial" w:hAnsi="Arial" w:cs="Arial"/>
          <w:sz w:val="22"/>
          <w:szCs w:val="22"/>
        </w:rPr>
        <w:t>        </w:t>
      </w:r>
      <w:r w:rsidRPr="00BA3916">
        <w:rPr>
          <w:rFonts w:ascii="Arial" w:hAnsi="Arial" w:cs="Arial"/>
          <w:b/>
          <w:bCs/>
          <w:sz w:val="22"/>
          <w:szCs w:val="22"/>
        </w:rPr>
        <w:t xml:space="preserve">2.1 Ethical Considerations </w:t>
      </w:r>
      <w:r w:rsidRPr="00B076D8">
        <w:rPr>
          <w:rFonts w:ascii="Arial" w:hAnsi="Arial" w:cs="Arial"/>
          <w:sz w:val="22"/>
          <w:szCs w:val="22"/>
        </w:rPr>
        <w:t>.............................................................</w:t>
      </w:r>
      <w:r w:rsidR="00BA3916">
        <w:rPr>
          <w:rFonts w:ascii="Arial" w:hAnsi="Arial" w:cs="Arial"/>
          <w:sz w:val="22"/>
          <w:szCs w:val="22"/>
        </w:rPr>
        <w:t>...................</w:t>
      </w:r>
      <w:r w:rsidR="00AE4387">
        <w:rPr>
          <w:rFonts w:ascii="Arial" w:hAnsi="Arial" w:cs="Arial"/>
          <w:sz w:val="22"/>
          <w:szCs w:val="22"/>
        </w:rPr>
        <w:t>..</w:t>
      </w:r>
      <w:r w:rsidR="00BA3916">
        <w:rPr>
          <w:rFonts w:ascii="Arial" w:hAnsi="Arial" w:cs="Arial"/>
          <w:sz w:val="22"/>
          <w:szCs w:val="22"/>
        </w:rPr>
        <w:t>.....6</w:t>
      </w:r>
    </w:p>
    <w:p w14:paraId="69DB0C4C" w14:textId="2034674B"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3.0 Systemic Impacts: Healthcare Workforce and Service Delivery</w:t>
      </w:r>
      <w:r w:rsidRPr="00B076D8">
        <w:rPr>
          <w:rFonts w:ascii="Arial" w:hAnsi="Arial" w:cs="Arial"/>
          <w:sz w:val="22"/>
          <w:szCs w:val="22"/>
        </w:rPr>
        <w:t xml:space="preserve"> ........................</w:t>
      </w:r>
      <w:r w:rsidR="00AE4387">
        <w:rPr>
          <w:rFonts w:ascii="Arial" w:hAnsi="Arial" w:cs="Arial"/>
          <w:sz w:val="22"/>
          <w:szCs w:val="22"/>
        </w:rPr>
        <w:t>..</w:t>
      </w:r>
      <w:r w:rsidRPr="00B076D8">
        <w:rPr>
          <w:rFonts w:ascii="Arial" w:hAnsi="Arial" w:cs="Arial"/>
          <w:sz w:val="22"/>
          <w:szCs w:val="22"/>
        </w:rPr>
        <w:t>..</w:t>
      </w:r>
      <w:r w:rsidR="00AE4387">
        <w:rPr>
          <w:rFonts w:ascii="Arial" w:hAnsi="Arial" w:cs="Arial"/>
          <w:sz w:val="22"/>
          <w:szCs w:val="22"/>
        </w:rPr>
        <w:t>6</w:t>
      </w:r>
    </w:p>
    <w:p w14:paraId="1373BDCB" w14:textId="7098CBDE"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4.0 The Lived Experiences of Patients and Service Users</w:t>
      </w:r>
      <w:r w:rsidRPr="00B076D8">
        <w:rPr>
          <w:rFonts w:ascii="Arial" w:hAnsi="Arial" w:cs="Arial"/>
          <w:sz w:val="22"/>
          <w:szCs w:val="22"/>
        </w:rPr>
        <w:t xml:space="preserve"> ........................................... </w:t>
      </w:r>
      <w:r w:rsidR="00AE4387">
        <w:rPr>
          <w:rFonts w:ascii="Arial" w:hAnsi="Arial" w:cs="Arial"/>
          <w:sz w:val="22"/>
          <w:szCs w:val="22"/>
        </w:rPr>
        <w:t>7</w:t>
      </w:r>
    </w:p>
    <w:p w14:paraId="5A44C3BA" w14:textId="729BE1C3"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5.0 Socio-Structural and Community Impacts</w:t>
      </w:r>
      <w:r w:rsidRPr="00B076D8">
        <w:rPr>
          <w:rFonts w:ascii="Arial" w:hAnsi="Arial" w:cs="Arial"/>
          <w:sz w:val="22"/>
          <w:szCs w:val="22"/>
        </w:rPr>
        <w:t xml:space="preserve"> ............................................................... </w:t>
      </w:r>
      <w:r w:rsidR="00827F68">
        <w:rPr>
          <w:rFonts w:ascii="Arial" w:hAnsi="Arial" w:cs="Arial"/>
          <w:sz w:val="22"/>
          <w:szCs w:val="22"/>
        </w:rPr>
        <w:t>8</w:t>
      </w:r>
    </w:p>
    <w:p w14:paraId="1B158C24" w14:textId="2E62CA60"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6.0 Discussion and Conclusion</w:t>
      </w:r>
      <w:r w:rsidRPr="00B076D8">
        <w:rPr>
          <w:rFonts w:ascii="Arial" w:hAnsi="Arial" w:cs="Arial"/>
          <w:sz w:val="22"/>
          <w:szCs w:val="22"/>
        </w:rPr>
        <w:t xml:space="preserve"> .......................................................................................</w:t>
      </w:r>
      <w:r w:rsidR="00827F68">
        <w:rPr>
          <w:rFonts w:ascii="Arial" w:hAnsi="Arial" w:cs="Arial"/>
          <w:sz w:val="22"/>
          <w:szCs w:val="22"/>
        </w:rPr>
        <w:t>9</w:t>
      </w:r>
    </w:p>
    <w:p w14:paraId="24AE0531" w14:textId="0CA19877" w:rsidR="00B076D8" w:rsidRPr="00B076D8" w:rsidRDefault="00B076D8" w:rsidP="00B076D8">
      <w:pPr>
        <w:spacing w:line="360" w:lineRule="auto"/>
        <w:rPr>
          <w:rFonts w:ascii="Arial" w:hAnsi="Arial" w:cs="Arial"/>
          <w:sz w:val="22"/>
          <w:szCs w:val="22"/>
        </w:rPr>
      </w:pPr>
      <w:r w:rsidRPr="00B076D8">
        <w:rPr>
          <w:rFonts w:ascii="Arial" w:hAnsi="Arial" w:cs="Arial"/>
          <w:b/>
          <w:bCs/>
          <w:sz w:val="22"/>
          <w:szCs w:val="22"/>
        </w:rPr>
        <w:t>References</w:t>
      </w:r>
      <w:r w:rsidRPr="00B076D8">
        <w:rPr>
          <w:rFonts w:ascii="Arial" w:hAnsi="Arial" w:cs="Arial"/>
          <w:sz w:val="22"/>
          <w:szCs w:val="22"/>
        </w:rPr>
        <w:t xml:space="preserve"> .......................................................................................................................</w:t>
      </w:r>
      <w:r w:rsidR="00827F68">
        <w:rPr>
          <w:rFonts w:ascii="Arial" w:hAnsi="Arial" w:cs="Arial"/>
          <w:sz w:val="22"/>
          <w:szCs w:val="22"/>
        </w:rPr>
        <w:t>10</w:t>
      </w:r>
    </w:p>
    <w:p w14:paraId="6AB647C6" w14:textId="77777777" w:rsidR="00B076D8" w:rsidRDefault="00B076D8" w:rsidP="00B73E3A">
      <w:pPr>
        <w:spacing w:line="360" w:lineRule="auto"/>
        <w:rPr>
          <w:rFonts w:ascii="Arial" w:hAnsi="Arial" w:cs="Arial"/>
          <w:sz w:val="22"/>
          <w:szCs w:val="22"/>
        </w:rPr>
      </w:pPr>
    </w:p>
    <w:p w14:paraId="3CAD87A1" w14:textId="77777777" w:rsidR="009B3431" w:rsidRDefault="009B3431" w:rsidP="00B73E3A">
      <w:pPr>
        <w:spacing w:line="360" w:lineRule="auto"/>
        <w:rPr>
          <w:rFonts w:ascii="Arial" w:hAnsi="Arial" w:cs="Arial"/>
          <w:sz w:val="22"/>
          <w:szCs w:val="22"/>
        </w:rPr>
      </w:pPr>
    </w:p>
    <w:p w14:paraId="6EFB7445" w14:textId="77777777" w:rsidR="009B3431" w:rsidRDefault="009B3431" w:rsidP="00B73E3A">
      <w:pPr>
        <w:spacing w:line="360" w:lineRule="auto"/>
        <w:rPr>
          <w:rFonts w:ascii="Arial" w:hAnsi="Arial" w:cs="Arial"/>
          <w:sz w:val="22"/>
          <w:szCs w:val="22"/>
        </w:rPr>
      </w:pPr>
    </w:p>
    <w:p w14:paraId="3D03DE05" w14:textId="77777777" w:rsidR="009B3431" w:rsidRDefault="009B3431" w:rsidP="00B73E3A">
      <w:pPr>
        <w:spacing w:line="360" w:lineRule="auto"/>
        <w:rPr>
          <w:rFonts w:ascii="Arial" w:hAnsi="Arial" w:cs="Arial"/>
          <w:sz w:val="22"/>
          <w:szCs w:val="22"/>
        </w:rPr>
      </w:pPr>
    </w:p>
    <w:p w14:paraId="5A9BEC1B" w14:textId="77777777" w:rsidR="009B3431" w:rsidRDefault="009B3431" w:rsidP="00B73E3A">
      <w:pPr>
        <w:spacing w:line="360" w:lineRule="auto"/>
        <w:rPr>
          <w:rFonts w:ascii="Arial" w:hAnsi="Arial" w:cs="Arial"/>
          <w:sz w:val="22"/>
          <w:szCs w:val="22"/>
        </w:rPr>
      </w:pPr>
    </w:p>
    <w:p w14:paraId="48370BBE" w14:textId="77777777" w:rsidR="009B3431" w:rsidRDefault="009B3431" w:rsidP="00B73E3A">
      <w:pPr>
        <w:spacing w:line="360" w:lineRule="auto"/>
        <w:rPr>
          <w:rFonts w:ascii="Arial" w:hAnsi="Arial" w:cs="Arial"/>
          <w:sz w:val="22"/>
          <w:szCs w:val="22"/>
        </w:rPr>
      </w:pPr>
    </w:p>
    <w:p w14:paraId="2870E8EA" w14:textId="77777777" w:rsidR="009B3431" w:rsidRDefault="009B3431" w:rsidP="00B73E3A">
      <w:pPr>
        <w:spacing w:line="360" w:lineRule="auto"/>
        <w:rPr>
          <w:rFonts w:ascii="Arial" w:hAnsi="Arial" w:cs="Arial"/>
          <w:sz w:val="22"/>
          <w:szCs w:val="22"/>
        </w:rPr>
      </w:pPr>
    </w:p>
    <w:p w14:paraId="48712359" w14:textId="77777777" w:rsidR="009B3431" w:rsidRDefault="009B3431" w:rsidP="00B73E3A">
      <w:pPr>
        <w:spacing w:line="360" w:lineRule="auto"/>
        <w:rPr>
          <w:rFonts w:ascii="Arial" w:hAnsi="Arial" w:cs="Arial"/>
          <w:sz w:val="22"/>
          <w:szCs w:val="22"/>
        </w:rPr>
      </w:pPr>
    </w:p>
    <w:p w14:paraId="5C598988" w14:textId="77777777" w:rsidR="009B3431" w:rsidRDefault="009B3431" w:rsidP="00B73E3A">
      <w:pPr>
        <w:spacing w:line="360" w:lineRule="auto"/>
        <w:rPr>
          <w:rFonts w:ascii="Arial" w:hAnsi="Arial" w:cs="Arial"/>
          <w:sz w:val="22"/>
          <w:szCs w:val="22"/>
        </w:rPr>
      </w:pPr>
    </w:p>
    <w:p w14:paraId="3CAC10E6" w14:textId="77777777" w:rsidR="009B3431" w:rsidRDefault="009B3431" w:rsidP="00B73E3A">
      <w:pPr>
        <w:spacing w:line="360" w:lineRule="auto"/>
        <w:rPr>
          <w:rFonts w:ascii="Arial" w:hAnsi="Arial" w:cs="Arial"/>
          <w:sz w:val="22"/>
          <w:szCs w:val="22"/>
        </w:rPr>
      </w:pPr>
    </w:p>
    <w:p w14:paraId="1ABF8270" w14:textId="77777777" w:rsidR="009B3431" w:rsidRDefault="009B3431" w:rsidP="00B73E3A">
      <w:pPr>
        <w:spacing w:line="360" w:lineRule="auto"/>
        <w:rPr>
          <w:rFonts w:ascii="Arial" w:hAnsi="Arial" w:cs="Arial"/>
          <w:sz w:val="22"/>
          <w:szCs w:val="22"/>
        </w:rPr>
      </w:pPr>
    </w:p>
    <w:p w14:paraId="377F6FCF" w14:textId="77777777" w:rsidR="009B3431" w:rsidRDefault="009B3431" w:rsidP="00B73E3A">
      <w:pPr>
        <w:spacing w:line="360" w:lineRule="auto"/>
        <w:rPr>
          <w:rFonts w:ascii="Arial" w:hAnsi="Arial" w:cs="Arial"/>
          <w:sz w:val="22"/>
          <w:szCs w:val="22"/>
        </w:rPr>
      </w:pPr>
    </w:p>
    <w:p w14:paraId="5852953A" w14:textId="77777777" w:rsidR="008C702F" w:rsidRDefault="008C702F" w:rsidP="009B3431">
      <w:pPr>
        <w:spacing w:line="360" w:lineRule="auto"/>
        <w:rPr>
          <w:rFonts w:ascii="Arial" w:hAnsi="Arial" w:cs="Arial"/>
          <w:b/>
          <w:bCs/>
          <w:sz w:val="22"/>
          <w:szCs w:val="22"/>
          <w:u w:val="single"/>
        </w:rPr>
      </w:pPr>
    </w:p>
    <w:p w14:paraId="192BF2C2" w14:textId="77777777" w:rsidR="00AE4387" w:rsidRDefault="00AE4387" w:rsidP="009B3431">
      <w:pPr>
        <w:spacing w:line="360" w:lineRule="auto"/>
        <w:rPr>
          <w:rFonts w:ascii="Arial" w:hAnsi="Arial" w:cs="Arial"/>
          <w:b/>
          <w:bCs/>
          <w:sz w:val="22"/>
          <w:szCs w:val="22"/>
          <w:u w:val="single"/>
        </w:rPr>
      </w:pPr>
    </w:p>
    <w:p w14:paraId="2F55F8CE" w14:textId="77777777" w:rsidR="00827F68" w:rsidRDefault="00827F68" w:rsidP="009B3431">
      <w:pPr>
        <w:spacing w:line="360" w:lineRule="auto"/>
        <w:rPr>
          <w:rFonts w:ascii="Arial" w:hAnsi="Arial" w:cs="Arial"/>
          <w:b/>
          <w:bCs/>
          <w:sz w:val="22"/>
          <w:szCs w:val="22"/>
          <w:u w:val="single"/>
        </w:rPr>
      </w:pPr>
    </w:p>
    <w:p w14:paraId="377F6EB6" w14:textId="77777777" w:rsidR="006C2DF8" w:rsidRDefault="006C2DF8" w:rsidP="009B3431">
      <w:pPr>
        <w:spacing w:line="360" w:lineRule="auto"/>
        <w:rPr>
          <w:rFonts w:ascii="Arial" w:hAnsi="Arial" w:cs="Arial"/>
          <w:b/>
          <w:bCs/>
          <w:sz w:val="22"/>
          <w:szCs w:val="22"/>
          <w:u w:val="single"/>
        </w:rPr>
      </w:pPr>
    </w:p>
    <w:p w14:paraId="12B541CE" w14:textId="33ED73C7" w:rsidR="009B3431" w:rsidRPr="00E11FA6" w:rsidRDefault="009B3431" w:rsidP="009B3431">
      <w:pPr>
        <w:spacing w:line="360" w:lineRule="auto"/>
        <w:rPr>
          <w:rFonts w:ascii="Arial" w:hAnsi="Arial" w:cs="Arial"/>
          <w:b/>
          <w:bCs/>
          <w:sz w:val="22"/>
          <w:szCs w:val="22"/>
          <w:u w:val="single"/>
        </w:rPr>
      </w:pPr>
      <w:r w:rsidRPr="00E11FA6">
        <w:rPr>
          <w:rFonts w:ascii="Arial" w:hAnsi="Arial" w:cs="Arial"/>
          <w:b/>
          <w:bCs/>
          <w:sz w:val="22"/>
          <w:szCs w:val="22"/>
          <w:u w:val="single"/>
        </w:rPr>
        <w:lastRenderedPageBreak/>
        <w:t>Abstract</w:t>
      </w:r>
    </w:p>
    <w:p w14:paraId="4EAA3B26" w14:textId="77777777" w:rsidR="009B3431" w:rsidRPr="009B3431" w:rsidRDefault="009B3431" w:rsidP="009B3431">
      <w:pPr>
        <w:spacing w:line="360" w:lineRule="auto"/>
        <w:rPr>
          <w:rFonts w:ascii="Arial" w:hAnsi="Arial" w:cs="Arial"/>
          <w:sz w:val="22"/>
          <w:szCs w:val="22"/>
        </w:rPr>
      </w:pPr>
      <w:r w:rsidRPr="009B3431">
        <w:rPr>
          <w:rFonts w:ascii="Arial" w:hAnsi="Arial" w:cs="Arial"/>
          <w:b/>
          <w:bCs/>
          <w:sz w:val="22"/>
          <w:szCs w:val="22"/>
        </w:rPr>
        <w:t>Background:</w:t>
      </w:r>
      <w:r w:rsidRPr="009B3431">
        <w:rPr>
          <w:rFonts w:ascii="Arial" w:hAnsi="Arial" w:cs="Arial"/>
          <w:sz w:val="22"/>
          <w:szCs w:val="22"/>
        </w:rPr>
        <w:t xml:space="preserve"> The national rollout of Hybrid Closed-Loop (HCL) systems across the NHS under Technology Appraisal 943 (TA943) represents a monumental shift in Type 1 diabetes management. However, implementing this complex sociotechnical transformation exposes deep structural and human frictions.</w:t>
      </w:r>
    </w:p>
    <w:p w14:paraId="73AC0D4C" w14:textId="77777777" w:rsidR="009B3431" w:rsidRPr="009B3431" w:rsidRDefault="009B3431" w:rsidP="009B3431">
      <w:pPr>
        <w:spacing w:line="360" w:lineRule="auto"/>
        <w:rPr>
          <w:rFonts w:ascii="Arial" w:hAnsi="Arial" w:cs="Arial"/>
          <w:sz w:val="22"/>
          <w:szCs w:val="22"/>
        </w:rPr>
      </w:pPr>
      <w:r w:rsidRPr="009B3431">
        <w:rPr>
          <w:rFonts w:ascii="Arial" w:hAnsi="Arial" w:cs="Arial"/>
          <w:b/>
          <w:bCs/>
          <w:sz w:val="22"/>
          <w:szCs w:val="22"/>
        </w:rPr>
        <w:t>Methodology:</w:t>
      </w:r>
      <w:r w:rsidRPr="009B3431">
        <w:rPr>
          <w:rFonts w:ascii="Arial" w:hAnsi="Arial" w:cs="Arial"/>
          <w:sz w:val="22"/>
          <w:szCs w:val="22"/>
        </w:rPr>
        <w:t xml:space="preserve"> Following Aveyard’s methodological framework for desk-based research, a targeted search was conducted via the university library platform. Literature and policy documents spanning 2023 to 2026 were systematically reviewed and inductively coded into three core themes.</w:t>
      </w:r>
    </w:p>
    <w:p w14:paraId="2A871D6A" w14:textId="7E672C8B" w:rsidR="009B3431" w:rsidRPr="009B3431" w:rsidRDefault="009B3431" w:rsidP="009B3431">
      <w:pPr>
        <w:spacing w:line="360" w:lineRule="auto"/>
        <w:rPr>
          <w:rFonts w:ascii="Arial" w:hAnsi="Arial" w:cs="Arial"/>
          <w:sz w:val="22"/>
          <w:szCs w:val="22"/>
        </w:rPr>
      </w:pPr>
      <w:r w:rsidRPr="009B3431">
        <w:rPr>
          <w:rFonts w:ascii="Arial" w:hAnsi="Arial" w:cs="Arial"/>
          <w:b/>
          <w:bCs/>
          <w:sz w:val="22"/>
          <w:szCs w:val="22"/>
        </w:rPr>
        <w:t>Findings:</w:t>
      </w:r>
      <w:r w:rsidRPr="009B3431">
        <w:rPr>
          <w:rFonts w:ascii="Arial" w:hAnsi="Arial" w:cs="Arial"/>
          <w:sz w:val="22"/>
          <w:szCs w:val="22"/>
        </w:rPr>
        <w:t xml:space="preserve"> The analysis reveals that the lack of ring-fenced national funding for TA943 compromises clinic capacity, creating severe appointment backlogs. Workforce digital confidence remains highly unequal, leaving junior clinicians left behind by consultant-led structures. On a user level, HCL delivers life-altering clinical and psychological benefits for patients and family caregivers, yet demands a </w:t>
      </w:r>
      <w:r w:rsidR="00E11FA6">
        <w:rPr>
          <w:rFonts w:ascii="Arial" w:hAnsi="Arial" w:cs="Arial"/>
          <w:sz w:val="22"/>
          <w:szCs w:val="22"/>
        </w:rPr>
        <w:t>gruelling</w:t>
      </w:r>
      <w:r w:rsidRPr="009B3431">
        <w:rPr>
          <w:rFonts w:ascii="Arial" w:hAnsi="Arial" w:cs="Arial"/>
          <w:sz w:val="22"/>
          <w:szCs w:val="22"/>
        </w:rPr>
        <w:t xml:space="preserve"> adaptation period exacerbated by disengaging, passive training methods. Furthermore, while HCL serves as a powerful socioeconomic </w:t>
      </w:r>
      <w:r w:rsidR="007F3D8F">
        <w:rPr>
          <w:rFonts w:ascii="Arial" w:hAnsi="Arial" w:cs="Arial"/>
          <w:sz w:val="22"/>
          <w:szCs w:val="22"/>
        </w:rPr>
        <w:t>equaliser</w:t>
      </w:r>
      <w:r w:rsidRPr="009B3431">
        <w:rPr>
          <w:rFonts w:ascii="Arial" w:hAnsi="Arial" w:cs="Arial"/>
          <w:sz w:val="22"/>
          <w:szCs w:val="22"/>
        </w:rPr>
        <w:t xml:space="preserve"> for time-in-range metrics, </w:t>
      </w:r>
      <w:r w:rsidR="007F3D8F">
        <w:rPr>
          <w:rFonts w:ascii="Arial" w:hAnsi="Arial" w:cs="Arial"/>
          <w:sz w:val="22"/>
          <w:szCs w:val="22"/>
        </w:rPr>
        <w:t>localised</w:t>
      </w:r>
      <w:r w:rsidRPr="009B3431">
        <w:rPr>
          <w:rFonts w:ascii="Arial" w:hAnsi="Arial" w:cs="Arial"/>
          <w:sz w:val="22"/>
          <w:szCs w:val="22"/>
        </w:rPr>
        <w:t xml:space="preserve"> procurement variations</w:t>
      </w:r>
      <w:r w:rsidR="007F3D8F">
        <w:rPr>
          <w:rFonts w:ascii="Arial" w:hAnsi="Arial" w:cs="Arial"/>
          <w:sz w:val="22"/>
          <w:szCs w:val="22"/>
        </w:rPr>
        <w:t xml:space="preserve"> - </w:t>
      </w:r>
      <w:r w:rsidRPr="009B3431">
        <w:rPr>
          <w:rFonts w:ascii="Arial" w:hAnsi="Arial" w:cs="Arial"/>
          <w:sz w:val="22"/>
          <w:szCs w:val="22"/>
        </w:rPr>
        <w:t>particularly regarding advanced pregnancy algorithms</w:t>
      </w:r>
      <w:r w:rsidR="007F3D8F">
        <w:rPr>
          <w:rFonts w:ascii="Arial" w:hAnsi="Arial" w:cs="Arial"/>
          <w:sz w:val="22"/>
          <w:szCs w:val="22"/>
        </w:rPr>
        <w:t xml:space="preserve"> - </w:t>
      </w:r>
      <w:r w:rsidRPr="009B3431">
        <w:rPr>
          <w:rFonts w:ascii="Arial" w:hAnsi="Arial" w:cs="Arial"/>
          <w:sz w:val="22"/>
          <w:szCs w:val="22"/>
        </w:rPr>
        <w:t>actively perpetuate geographic inequalities.</w:t>
      </w:r>
    </w:p>
    <w:p w14:paraId="1C802847" w14:textId="77777777" w:rsidR="009B3431" w:rsidRPr="009B3431" w:rsidRDefault="009B3431" w:rsidP="009B3431">
      <w:pPr>
        <w:spacing w:line="360" w:lineRule="auto"/>
        <w:rPr>
          <w:rFonts w:ascii="Arial" w:hAnsi="Arial" w:cs="Arial"/>
          <w:sz w:val="22"/>
          <w:szCs w:val="22"/>
        </w:rPr>
      </w:pPr>
      <w:r w:rsidRPr="009B3431">
        <w:rPr>
          <w:rFonts w:ascii="Arial" w:hAnsi="Arial" w:cs="Arial"/>
          <w:b/>
          <w:bCs/>
          <w:sz w:val="22"/>
          <w:szCs w:val="22"/>
        </w:rPr>
        <w:t>Conclusion:</w:t>
      </w:r>
      <w:r w:rsidRPr="009B3431">
        <w:rPr>
          <w:rFonts w:ascii="Arial" w:hAnsi="Arial" w:cs="Arial"/>
          <w:sz w:val="22"/>
          <w:szCs w:val="22"/>
        </w:rPr>
        <w:t xml:space="preserve"> To achieve a sustainable and ethical digital transformation, the NHS must transcend a device-centric approach. Success necessitates securing infrastructure funding, delivering interactive small-group education, and actively dismantling socioeconomic access barriers to ensure equitable public care.</w:t>
      </w:r>
    </w:p>
    <w:p w14:paraId="2D9A26BA" w14:textId="77777777" w:rsidR="009B3431" w:rsidRDefault="009B3431" w:rsidP="00B73E3A">
      <w:pPr>
        <w:spacing w:line="360" w:lineRule="auto"/>
        <w:rPr>
          <w:rFonts w:ascii="Arial" w:hAnsi="Arial" w:cs="Arial"/>
          <w:sz w:val="22"/>
          <w:szCs w:val="22"/>
        </w:rPr>
      </w:pPr>
    </w:p>
    <w:p w14:paraId="7762DC1F" w14:textId="77777777" w:rsidR="009B3431" w:rsidRDefault="009B3431" w:rsidP="00B73E3A">
      <w:pPr>
        <w:spacing w:line="360" w:lineRule="auto"/>
        <w:rPr>
          <w:rFonts w:ascii="Arial" w:hAnsi="Arial" w:cs="Arial"/>
          <w:sz w:val="22"/>
          <w:szCs w:val="22"/>
        </w:rPr>
      </w:pPr>
    </w:p>
    <w:p w14:paraId="681F614B" w14:textId="77777777" w:rsidR="009B3431" w:rsidRDefault="009B3431" w:rsidP="00B73E3A">
      <w:pPr>
        <w:spacing w:line="360" w:lineRule="auto"/>
        <w:rPr>
          <w:rFonts w:ascii="Arial" w:hAnsi="Arial" w:cs="Arial"/>
          <w:sz w:val="22"/>
          <w:szCs w:val="22"/>
        </w:rPr>
      </w:pPr>
    </w:p>
    <w:p w14:paraId="547713C1" w14:textId="77777777" w:rsidR="009B3431" w:rsidRDefault="009B3431" w:rsidP="00B73E3A">
      <w:pPr>
        <w:spacing w:line="360" w:lineRule="auto"/>
        <w:rPr>
          <w:rFonts w:ascii="Arial" w:hAnsi="Arial" w:cs="Arial"/>
          <w:sz w:val="22"/>
          <w:szCs w:val="22"/>
        </w:rPr>
      </w:pPr>
    </w:p>
    <w:p w14:paraId="13494804" w14:textId="77777777" w:rsidR="009B3431" w:rsidRDefault="009B3431" w:rsidP="00B73E3A">
      <w:pPr>
        <w:spacing w:line="360" w:lineRule="auto"/>
        <w:rPr>
          <w:rFonts w:ascii="Arial" w:hAnsi="Arial" w:cs="Arial"/>
          <w:sz w:val="22"/>
          <w:szCs w:val="22"/>
        </w:rPr>
      </w:pPr>
    </w:p>
    <w:p w14:paraId="5F439D07" w14:textId="77777777" w:rsidR="009B3431" w:rsidRDefault="009B3431" w:rsidP="00B73E3A">
      <w:pPr>
        <w:spacing w:line="360" w:lineRule="auto"/>
        <w:rPr>
          <w:rFonts w:ascii="Arial" w:hAnsi="Arial" w:cs="Arial"/>
          <w:sz w:val="22"/>
          <w:szCs w:val="22"/>
        </w:rPr>
      </w:pPr>
    </w:p>
    <w:p w14:paraId="5BACB8DB" w14:textId="77777777" w:rsidR="009B3431" w:rsidRDefault="009B3431" w:rsidP="00B73E3A">
      <w:pPr>
        <w:spacing w:line="360" w:lineRule="auto"/>
        <w:rPr>
          <w:rFonts w:ascii="Arial" w:hAnsi="Arial" w:cs="Arial"/>
          <w:sz w:val="22"/>
          <w:szCs w:val="22"/>
        </w:rPr>
      </w:pPr>
    </w:p>
    <w:p w14:paraId="09C5E381" w14:textId="77777777" w:rsidR="009B3431" w:rsidRDefault="009B3431" w:rsidP="00B73E3A">
      <w:pPr>
        <w:spacing w:line="360" w:lineRule="auto"/>
        <w:rPr>
          <w:rFonts w:ascii="Arial" w:hAnsi="Arial" w:cs="Arial"/>
          <w:sz w:val="22"/>
          <w:szCs w:val="22"/>
        </w:rPr>
      </w:pPr>
    </w:p>
    <w:p w14:paraId="0945A347" w14:textId="77777777" w:rsidR="00827F68" w:rsidRDefault="00827F68" w:rsidP="00B73E3A">
      <w:pPr>
        <w:spacing w:line="360" w:lineRule="auto"/>
        <w:rPr>
          <w:rFonts w:ascii="Arial" w:hAnsi="Arial" w:cs="Arial"/>
          <w:sz w:val="22"/>
          <w:szCs w:val="22"/>
        </w:rPr>
      </w:pPr>
    </w:p>
    <w:p w14:paraId="26F31C19" w14:textId="29FA7ACC" w:rsidR="009B3431" w:rsidRPr="009B3431" w:rsidRDefault="009B3431" w:rsidP="00B73E3A">
      <w:pPr>
        <w:spacing w:line="360" w:lineRule="auto"/>
        <w:rPr>
          <w:rFonts w:ascii="Arial" w:hAnsi="Arial" w:cs="Arial"/>
          <w:b/>
          <w:bCs/>
          <w:sz w:val="22"/>
          <w:szCs w:val="22"/>
        </w:rPr>
      </w:pPr>
      <w:r w:rsidRPr="009B3431">
        <w:rPr>
          <w:rFonts w:ascii="Arial" w:hAnsi="Arial" w:cs="Arial"/>
          <w:b/>
          <w:bCs/>
          <w:sz w:val="22"/>
          <w:szCs w:val="22"/>
        </w:rPr>
        <w:lastRenderedPageBreak/>
        <w:t>1.0 Introduction</w:t>
      </w:r>
    </w:p>
    <w:p w14:paraId="066B23A7" w14:textId="2968723B" w:rsidR="000872C7" w:rsidRDefault="00D00430" w:rsidP="00B73E3A">
      <w:pPr>
        <w:spacing w:line="360" w:lineRule="auto"/>
        <w:rPr>
          <w:rFonts w:ascii="Arial" w:hAnsi="Arial" w:cs="Arial"/>
          <w:sz w:val="22"/>
          <w:szCs w:val="22"/>
        </w:rPr>
      </w:pPr>
      <w:r w:rsidRPr="00D00430">
        <w:rPr>
          <w:rFonts w:ascii="Arial" w:hAnsi="Arial" w:cs="Arial"/>
          <w:sz w:val="22"/>
          <w:szCs w:val="22"/>
        </w:rPr>
        <w:t xml:space="preserve">Achieving optimal glycaemic control is crucial to prevent diabetic complications; however, conventional therapies frequently limit patients' ability to maintain a Time-in-Range above the seventy per cent target, exacerbating a fear of nocturnal hypoglycaemia (Lyons, 2024). Standalone Continuous Glucose Monitoring (CGM) successfully reduced baseline </w:t>
      </w:r>
      <w:r w:rsidRPr="000872C7">
        <w:rPr>
          <w:rFonts w:ascii="Arial" w:hAnsi="Arial" w:cs="Arial"/>
          <w:i/>
          <w:iCs/>
          <w:sz w:val="22"/>
          <w:szCs w:val="22"/>
        </w:rPr>
        <w:t>HbA1c</w:t>
      </w:r>
      <w:r w:rsidRPr="00D00430">
        <w:rPr>
          <w:rFonts w:ascii="Arial" w:hAnsi="Arial" w:cs="Arial"/>
          <w:sz w:val="22"/>
          <w:szCs w:val="22"/>
        </w:rPr>
        <w:t xml:space="preserve"> by an average of </w:t>
      </w:r>
      <w:r w:rsidRPr="000872C7">
        <w:rPr>
          <w:rFonts w:ascii="Arial" w:hAnsi="Arial" w:cs="Arial"/>
          <w:i/>
          <w:iCs/>
          <w:sz w:val="22"/>
          <w:szCs w:val="22"/>
        </w:rPr>
        <w:t>0.43%</w:t>
      </w:r>
      <w:r w:rsidRPr="00D00430">
        <w:rPr>
          <w:rFonts w:ascii="Arial" w:hAnsi="Arial" w:cs="Arial"/>
          <w:sz w:val="22"/>
          <w:szCs w:val="22"/>
        </w:rPr>
        <w:t xml:space="preserve"> compared to capillary testing (Kieu et al., 2022</w:t>
      </w:r>
      <w:proofErr w:type="gramStart"/>
      <w:r w:rsidRPr="00D00430">
        <w:rPr>
          <w:rFonts w:ascii="Arial" w:hAnsi="Arial" w:cs="Arial"/>
          <w:sz w:val="22"/>
          <w:szCs w:val="22"/>
        </w:rPr>
        <w:t>), yet</w:t>
      </w:r>
      <w:proofErr w:type="gramEnd"/>
      <w:r w:rsidRPr="00D00430">
        <w:rPr>
          <w:rFonts w:ascii="Arial" w:hAnsi="Arial" w:cs="Arial"/>
          <w:sz w:val="22"/>
          <w:szCs w:val="22"/>
        </w:rPr>
        <w:t xml:space="preserve"> still forced under-resourced staff and patients to manually calculate insulin adjustments. </w:t>
      </w:r>
    </w:p>
    <w:p w14:paraId="760EF181" w14:textId="77777777" w:rsidR="007E0735" w:rsidRDefault="00D00430" w:rsidP="00B73E3A">
      <w:pPr>
        <w:spacing w:line="360" w:lineRule="auto"/>
        <w:rPr>
          <w:rFonts w:ascii="Arial" w:hAnsi="Arial" w:cs="Arial"/>
          <w:sz w:val="22"/>
          <w:szCs w:val="22"/>
        </w:rPr>
      </w:pPr>
      <w:r w:rsidRPr="00D00430">
        <w:rPr>
          <w:rFonts w:ascii="Arial" w:hAnsi="Arial" w:cs="Arial"/>
          <w:sz w:val="22"/>
          <w:szCs w:val="22"/>
        </w:rPr>
        <w:t xml:space="preserve">To eliminate this burden, the National Institute for Health and Care Excellence (NICE, 2023) issued Technology Appraisal 943 (TA943), mandating a national rollout of Hybrid Closed-Loop (HCL) systems across England and Wales. Commonly termed an "artificial pancreas," HCL integrates an automated mathematical algorithm that reads real-time interstitial sensor data to dynamically regulate a synchronised insulin pump (Diabetes UK, 2025). Per the NHS England Implementation Plan (2024), this transformation demands high workforce and user digital competency. </w:t>
      </w:r>
    </w:p>
    <w:p w14:paraId="71652EA1" w14:textId="77777777" w:rsidR="00227FA0" w:rsidRDefault="00D671C0" w:rsidP="00B73E3A">
      <w:pPr>
        <w:spacing w:line="360" w:lineRule="auto"/>
        <w:rPr>
          <w:rFonts w:ascii="Arial" w:hAnsi="Arial" w:cs="Arial"/>
          <w:sz w:val="22"/>
          <w:szCs w:val="22"/>
        </w:rPr>
      </w:pPr>
      <w:r w:rsidRPr="00D671C0">
        <w:rPr>
          <w:rFonts w:ascii="Arial" w:hAnsi="Arial" w:cs="Arial"/>
          <w:sz w:val="22"/>
          <w:szCs w:val="22"/>
        </w:rPr>
        <w:t>This report provides a structured, critical evaluation of this digital transformation through a multi-perspective thematic lens. The following sections will critically analyse the systemic impacts across three restructured core domains: the integrated operational capacity of the healthcare workforce and service delivery, the lived experiences of patients navigating the system, and the broader socio-structural impacts within the wider community.</w:t>
      </w:r>
    </w:p>
    <w:p w14:paraId="3913A62F" w14:textId="23D17B2A" w:rsidR="005362F4" w:rsidRDefault="000A5A74" w:rsidP="00B73E3A">
      <w:pPr>
        <w:spacing w:line="360" w:lineRule="auto"/>
        <w:rPr>
          <w:rFonts w:ascii="Arial" w:hAnsi="Arial" w:cs="Arial"/>
          <w:sz w:val="22"/>
          <w:szCs w:val="22"/>
        </w:rPr>
      </w:pPr>
      <w:r>
        <w:rPr>
          <w:rFonts w:ascii="Arial" w:hAnsi="Arial" w:cs="Arial"/>
          <w:sz w:val="22"/>
          <w:szCs w:val="22"/>
        </w:rPr>
        <w:t>To gather the literature for this thematic analysis, a targeted search was conducted</w:t>
      </w:r>
      <w:r w:rsidR="00BD5446">
        <w:rPr>
          <w:rFonts w:ascii="Arial" w:hAnsi="Arial" w:cs="Arial"/>
          <w:sz w:val="22"/>
          <w:szCs w:val="22"/>
        </w:rPr>
        <w:t xml:space="preserve"> using the UWTSD Library. Search te</w:t>
      </w:r>
      <w:r w:rsidR="00DF2E4F">
        <w:rPr>
          <w:rFonts w:ascii="Arial" w:hAnsi="Arial" w:cs="Arial"/>
          <w:sz w:val="22"/>
          <w:szCs w:val="22"/>
        </w:rPr>
        <w:t>r</w:t>
      </w:r>
      <w:r w:rsidR="00BD5446">
        <w:rPr>
          <w:rFonts w:ascii="Arial" w:hAnsi="Arial" w:cs="Arial"/>
          <w:sz w:val="22"/>
          <w:szCs w:val="22"/>
        </w:rPr>
        <w:t>ms were restricted to “Hybrid Closed Loop</w:t>
      </w:r>
      <w:r w:rsidR="006F60FE">
        <w:rPr>
          <w:rFonts w:ascii="Arial" w:hAnsi="Arial" w:cs="Arial"/>
          <w:sz w:val="22"/>
          <w:szCs w:val="22"/>
        </w:rPr>
        <w:t>” and “NHS”. Literature was selected based on its direct relevance to contemporary</w:t>
      </w:r>
      <w:r w:rsidR="003816CC">
        <w:rPr>
          <w:rFonts w:ascii="Arial" w:hAnsi="Arial" w:cs="Arial"/>
          <w:sz w:val="22"/>
          <w:szCs w:val="22"/>
        </w:rPr>
        <w:t xml:space="preserve"> UK health policy and clinical practice between </w:t>
      </w:r>
      <w:r w:rsidR="003816CC" w:rsidRPr="00DF17A5">
        <w:rPr>
          <w:rFonts w:ascii="Arial" w:hAnsi="Arial" w:cs="Arial"/>
          <w:i/>
          <w:iCs/>
          <w:sz w:val="22"/>
          <w:szCs w:val="22"/>
        </w:rPr>
        <w:t>202</w:t>
      </w:r>
      <w:r w:rsidR="00FD2B8E" w:rsidRPr="00DF17A5">
        <w:rPr>
          <w:rFonts w:ascii="Arial" w:hAnsi="Arial" w:cs="Arial"/>
          <w:i/>
          <w:iCs/>
          <w:sz w:val="22"/>
          <w:szCs w:val="22"/>
        </w:rPr>
        <w:t>3</w:t>
      </w:r>
      <w:r w:rsidR="003816CC">
        <w:rPr>
          <w:rFonts w:ascii="Arial" w:hAnsi="Arial" w:cs="Arial"/>
          <w:sz w:val="22"/>
          <w:szCs w:val="22"/>
        </w:rPr>
        <w:t xml:space="preserve"> and </w:t>
      </w:r>
      <w:r w:rsidR="003816CC" w:rsidRPr="00DF17A5">
        <w:rPr>
          <w:rFonts w:ascii="Arial" w:hAnsi="Arial" w:cs="Arial"/>
          <w:i/>
          <w:iCs/>
          <w:sz w:val="22"/>
          <w:szCs w:val="22"/>
        </w:rPr>
        <w:t>2026</w:t>
      </w:r>
      <w:r w:rsidR="003816CC">
        <w:rPr>
          <w:rFonts w:ascii="Arial" w:hAnsi="Arial" w:cs="Arial"/>
          <w:sz w:val="22"/>
          <w:szCs w:val="22"/>
        </w:rPr>
        <w:t>. Following a thematic analysis</w:t>
      </w:r>
      <w:r w:rsidR="00C80686">
        <w:rPr>
          <w:rFonts w:ascii="Arial" w:hAnsi="Arial" w:cs="Arial"/>
          <w:sz w:val="22"/>
          <w:szCs w:val="22"/>
        </w:rPr>
        <w:t xml:space="preserve"> framework </w:t>
      </w:r>
      <w:r w:rsidR="0021730E">
        <w:rPr>
          <w:rFonts w:ascii="Arial" w:hAnsi="Arial" w:cs="Arial"/>
          <w:sz w:val="22"/>
          <w:szCs w:val="22"/>
        </w:rPr>
        <w:t>(Aveyard</w:t>
      </w:r>
      <w:r w:rsidR="00DF2E4F">
        <w:rPr>
          <w:rFonts w:ascii="Arial" w:hAnsi="Arial" w:cs="Arial"/>
          <w:sz w:val="22"/>
          <w:szCs w:val="22"/>
        </w:rPr>
        <w:t>,</w:t>
      </w:r>
      <w:r w:rsidR="0021730E">
        <w:rPr>
          <w:rFonts w:ascii="Arial" w:hAnsi="Arial" w:cs="Arial"/>
          <w:sz w:val="22"/>
          <w:szCs w:val="22"/>
        </w:rPr>
        <w:t xml:space="preserve"> 2023)</w:t>
      </w:r>
      <w:r w:rsidR="006C1A67">
        <w:rPr>
          <w:rFonts w:ascii="Arial" w:hAnsi="Arial" w:cs="Arial"/>
          <w:sz w:val="22"/>
          <w:szCs w:val="22"/>
        </w:rPr>
        <w:t>, the selected papers, qualitative data</w:t>
      </w:r>
      <w:r w:rsidR="00FD2B8E">
        <w:rPr>
          <w:rFonts w:ascii="Arial" w:hAnsi="Arial" w:cs="Arial"/>
          <w:sz w:val="22"/>
          <w:szCs w:val="22"/>
        </w:rPr>
        <w:t>, and national policy documents were systematically revie</w:t>
      </w:r>
      <w:r w:rsidR="009B0106">
        <w:rPr>
          <w:rFonts w:ascii="Arial" w:hAnsi="Arial" w:cs="Arial"/>
          <w:sz w:val="22"/>
          <w:szCs w:val="22"/>
        </w:rPr>
        <w:t>wed and coded. Overlapping patterns across the sources were clustered, resulting in the generation of the three core themes analysed in this report.</w:t>
      </w:r>
    </w:p>
    <w:p w14:paraId="264EF285" w14:textId="77777777" w:rsidR="00741380" w:rsidRDefault="00741380" w:rsidP="00B73E3A">
      <w:pPr>
        <w:spacing w:line="360" w:lineRule="auto"/>
        <w:rPr>
          <w:rFonts w:ascii="Arial" w:hAnsi="Arial" w:cs="Arial"/>
          <w:sz w:val="22"/>
          <w:szCs w:val="22"/>
        </w:rPr>
      </w:pPr>
    </w:p>
    <w:p w14:paraId="308E5873" w14:textId="640365CC" w:rsidR="00701A6A" w:rsidRDefault="008D4FB9" w:rsidP="00B73E3A">
      <w:pPr>
        <w:spacing w:line="360" w:lineRule="auto"/>
        <w:rPr>
          <w:rFonts w:ascii="Arial" w:hAnsi="Arial" w:cs="Arial"/>
          <w:b/>
          <w:bCs/>
          <w:sz w:val="22"/>
          <w:szCs w:val="22"/>
          <w:u w:val="single"/>
        </w:rPr>
      </w:pPr>
      <w:r w:rsidRPr="003E4D56">
        <w:rPr>
          <w:rFonts w:ascii="Arial" w:hAnsi="Arial" w:cs="Arial"/>
          <w:b/>
          <w:bCs/>
          <w:sz w:val="22"/>
          <w:szCs w:val="22"/>
          <w:u w:val="single"/>
        </w:rPr>
        <w:t xml:space="preserve">2.0 </w:t>
      </w:r>
      <w:r w:rsidR="002D1670" w:rsidRPr="003E4D56">
        <w:rPr>
          <w:rFonts w:ascii="Arial" w:hAnsi="Arial" w:cs="Arial"/>
          <w:b/>
          <w:bCs/>
          <w:sz w:val="22"/>
          <w:szCs w:val="22"/>
          <w:u w:val="single"/>
        </w:rPr>
        <w:t xml:space="preserve">HCL System </w:t>
      </w:r>
      <w:r w:rsidR="00AE741E" w:rsidRPr="003E4D56">
        <w:rPr>
          <w:rFonts w:ascii="Arial" w:hAnsi="Arial" w:cs="Arial"/>
          <w:b/>
          <w:bCs/>
          <w:sz w:val="22"/>
          <w:szCs w:val="22"/>
          <w:u w:val="single"/>
        </w:rPr>
        <w:t>Architecture and Health Context</w:t>
      </w:r>
    </w:p>
    <w:p w14:paraId="1C848B55" w14:textId="77777777" w:rsidR="006C157A" w:rsidRDefault="009C280B" w:rsidP="00B73E3A">
      <w:pPr>
        <w:spacing w:line="360" w:lineRule="auto"/>
        <w:rPr>
          <w:rFonts w:ascii="Arial" w:hAnsi="Arial" w:cs="Arial"/>
          <w:sz w:val="22"/>
          <w:szCs w:val="22"/>
        </w:rPr>
      </w:pPr>
      <w:r w:rsidRPr="009C280B">
        <w:rPr>
          <w:rFonts w:ascii="Arial" w:hAnsi="Arial" w:cs="Arial"/>
          <w:sz w:val="22"/>
          <w:szCs w:val="22"/>
        </w:rPr>
        <w:t xml:space="preserve">The five-year national implementation strategy (NHS England, 2024) acknowledges that managing Type 1 diabetes is profoundly exhausting for patients and their families. The requirement for constant </w:t>
      </w:r>
      <w:r w:rsidR="006D6AE0" w:rsidRPr="009C280B">
        <w:rPr>
          <w:rFonts w:ascii="Arial" w:hAnsi="Arial" w:cs="Arial"/>
          <w:sz w:val="22"/>
          <w:szCs w:val="22"/>
        </w:rPr>
        <w:t>glycaemic</w:t>
      </w:r>
      <w:r w:rsidRPr="009C280B">
        <w:rPr>
          <w:rFonts w:ascii="Arial" w:hAnsi="Arial" w:cs="Arial"/>
          <w:sz w:val="22"/>
          <w:szCs w:val="22"/>
        </w:rPr>
        <w:t xml:space="preserve"> calculations imposes a severe cognitive and mental burden, frequently precipitating clinical burnout. Even with standalone Continuous Glucose Monitoring (CGM), frequent nocturnal alarms disrupt sleep, exacerbating anxiety for </w:t>
      </w:r>
      <w:r w:rsidRPr="009C280B">
        <w:rPr>
          <w:rFonts w:ascii="Arial" w:hAnsi="Arial" w:cs="Arial"/>
          <w:sz w:val="22"/>
          <w:szCs w:val="22"/>
        </w:rPr>
        <w:lastRenderedPageBreak/>
        <w:t xml:space="preserve">caregivers and parents who experience persistent worry when a child is outside their direct supervision. </w:t>
      </w:r>
    </w:p>
    <w:p w14:paraId="4A1C5E3E" w14:textId="2F1A3C35" w:rsidR="00AE741E" w:rsidRDefault="009C280B" w:rsidP="00B73E3A">
      <w:pPr>
        <w:spacing w:line="360" w:lineRule="auto"/>
        <w:rPr>
          <w:rFonts w:ascii="Arial" w:hAnsi="Arial" w:cs="Arial"/>
          <w:sz w:val="22"/>
          <w:szCs w:val="22"/>
        </w:rPr>
      </w:pPr>
      <w:r w:rsidRPr="009C280B">
        <w:rPr>
          <w:rFonts w:ascii="Arial" w:hAnsi="Arial" w:cs="Arial"/>
          <w:sz w:val="22"/>
          <w:szCs w:val="22"/>
        </w:rPr>
        <w:t xml:space="preserve">This anxiety is clinically justified, as children are statistically less likely to </w:t>
      </w:r>
      <w:r w:rsidR="002A13E6">
        <w:rPr>
          <w:rFonts w:ascii="Arial" w:hAnsi="Arial" w:cs="Arial"/>
          <w:sz w:val="22"/>
          <w:szCs w:val="22"/>
        </w:rPr>
        <w:t>recognise</w:t>
      </w:r>
      <w:r w:rsidRPr="009C280B">
        <w:rPr>
          <w:rFonts w:ascii="Arial" w:hAnsi="Arial" w:cs="Arial"/>
          <w:sz w:val="22"/>
          <w:szCs w:val="22"/>
        </w:rPr>
        <w:t xml:space="preserve"> the onset of acute hypoglycaemic or hyperglycaemic symptoms (NICE, 2023). Crucially, the TA943 guidance explicitly notes that historic access to</w:t>
      </w:r>
      <w:r w:rsidR="00DE6365">
        <w:rPr>
          <w:rFonts w:ascii="Arial" w:hAnsi="Arial" w:cs="Arial"/>
          <w:sz w:val="22"/>
          <w:szCs w:val="22"/>
        </w:rPr>
        <w:t xml:space="preserve"> medical technology </w:t>
      </w:r>
      <w:r w:rsidRPr="009C280B">
        <w:rPr>
          <w:rFonts w:ascii="Arial" w:hAnsi="Arial" w:cs="Arial"/>
          <w:sz w:val="22"/>
          <w:szCs w:val="22"/>
        </w:rPr>
        <w:t xml:space="preserve">has resembled a geographical "postcode lottery," deeply entrenched by socioeconomic inequalities and ethnic disparities. Furthermore, the framework highlights a critical structural barrier: many NHS trusts and specialist </w:t>
      </w:r>
      <w:r w:rsidR="006D6AE0">
        <w:rPr>
          <w:rFonts w:ascii="Arial" w:hAnsi="Arial" w:cs="Arial"/>
          <w:sz w:val="22"/>
          <w:szCs w:val="22"/>
        </w:rPr>
        <w:t>centres</w:t>
      </w:r>
      <w:r w:rsidRPr="009C280B">
        <w:rPr>
          <w:rFonts w:ascii="Arial" w:hAnsi="Arial" w:cs="Arial"/>
          <w:sz w:val="22"/>
          <w:szCs w:val="22"/>
        </w:rPr>
        <w:t xml:space="preserve"> currently lack the trained, digitally competent workforce required to facilitate this major national technological rollout.</w:t>
      </w:r>
    </w:p>
    <w:p w14:paraId="1C4F82EB" w14:textId="77777777" w:rsidR="005D0CBD" w:rsidRDefault="000B2BD5" w:rsidP="00B73E3A">
      <w:pPr>
        <w:spacing w:line="360" w:lineRule="auto"/>
        <w:rPr>
          <w:rFonts w:ascii="Arial" w:hAnsi="Arial" w:cs="Arial"/>
          <w:sz w:val="22"/>
          <w:szCs w:val="22"/>
        </w:rPr>
      </w:pPr>
      <w:r w:rsidRPr="000B2BD5">
        <w:rPr>
          <w:rFonts w:ascii="Arial" w:hAnsi="Arial" w:cs="Arial"/>
          <w:sz w:val="22"/>
          <w:szCs w:val="22"/>
        </w:rPr>
        <w:t xml:space="preserve">To address these systemic inequalities and human burdens, HCL systems automate insulin delivery by creating a digital bridge between a CGM sensor and an insulin pump. </w:t>
      </w:r>
      <w:r w:rsidR="00004F62" w:rsidRPr="00004F62">
        <w:rPr>
          <w:rFonts w:ascii="Arial" w:hAnsi="Arial" w:cs="Arial"/>
          <w:sz w:val="22"/>
          <w:szCs w:val="22"/>
        </w:rPr>
        <w:t xml:space="preserve">Within the current NHS procurement landscape, this is achieved through four commercially available systems: the Medtronic 780G, the Tandem </w:t>
      </w:r>
      <w:proofErr w:type="gramStart"/>
      <w:r w:rsidR="00004F62" w:rsidRPr="00004F62">
        <w:rPr>
          <w:rFonts w:ascii="Arial" w:hAnsi="Arial" w:cs="Arial"/>
          <w:sz w:val="22"/>
          <w:szCs w:val="22"/>
        </w:rPr>
        <w:t>t:slim</w:t>
      </w:r>
      <w:proofErr w:type="gramEnd"/>
      <w:r w:rsidR="00004F62" w:rsidRPr="00004F62">
        <w:rPr>
          <w:rFonts w:ascii="Arial" w:hAnsi="Arial" w:cs="Arial"/>
          <w:sz w:val="22"/>
          <w:szCs w:val="22"/>
        </w:rPr>
        <w:t xml:space="preserve"> X2 with Control-IQ, the </w:t>
      </w:r>
      <w:proofErr w:type="spellStart"/>
      <w:r w:rsidR="00004F62" w:rsidRPr="00004F62">
        <w:rPr>
          <w:rFonts w:ascii="Arial" w:hAnsi="Arial" w:cs="Arial"/>
          <w:sz w:val="22"/>
          <w:szCs w:val="22"/>
        </w:rPr>
        <w:t>Omnipod</w:t>
      </w:r>
      <w:proofErr w:type="spellEnd"/>
      <w:r w:rsidR="00004F62" w:rsidRPr="00004F62">
        <w:rPr>
          <w:rFonts w:ascii="Arial" w:hAnsi="Arial" w:cs="Arial"/>
          <w:sz w:val="22"/>
          <w:szCs w:val="22"/>
        </w:rPr>
        <w:t xml:space="preserve"> 5, and the </w:t>
      </w:r>
      <w:proofErr w:type="spellStart"/>
      <w:r w:rsidR="00004F62" w:rsidRPr="00004F62">
        <w:rPr>
          <w:rFonts w:ascii="Arial" w:hAnsi="Arial" w:cs="Arial"/>
          <w:sz w:val="22"/>
          <w:szCs w:val="22"/>
        </w:rPr>
        <w:t>CamAPS</w:t>
      </w:r>
      <w:proofErr w:type="spellEnd"/>
      <w:r w:rsidR="00004F62" w:rsidRPr="00004F62">
        <w:rPr>
          <w:rFonts w:ascii="Arial" w:hAnsi="Arial" w:cs="Arial"/>
          <w:sz w:val="22"/>
          <w:szCs w:val="22"/>
        </w:rPr>
        <w:t xml:space="preserve"> FX algorithm configured with either </w:t>
      </w:r>
      <w:proofErr w:type="spellStart"/>
      <w:r w:rsidR="00004F62" w:rsidRPr="00004F62">
        <w:rPr>
          <w:rFonts w:ascii="Arial" w:hAnsi="Arial" w:cs="Arial"/>
          <w:sz w:val="22"/>
          <w:szCs w:val="22"/>
        </w:rPr>
        <w:t>YpsoPump</w:t>
      </w:r>
      <w:proofErr w:type="spellEnd"/>
      <w:r w:rsidR="00004F62" w:rsidRPr="00004F62">
        <w:rPr>
          <w:rFonts w:ascii="Arial" w:hAnsi="Arial" w:cs="Arial"/>
          <w:sz w:val="22"/>
          <w:szCs w:val="22"/>
        </w:rPr>
        <w:t xml:space="preserve"> or Dana hardware</w:t>
      </w:r>
      <w:r w:rsidR="00876D9D">
        <w:rPr>
          <w:rFonts w:ascii="Arial" w:hAnsi="Arial" w:cs="Arial"/>
          <w:sz w:val="22"/>
          <w:szCs w:val="22"/>
        </w:rPr>
        <w:t xml:space="preserve"> (Khan et al.</w:t>
      </w:r>
      <w:r w:rsidR="005D0CBD">
        <w:rPr>
          <w:rFonts w:ascii="Arial" w:hAnsi="Arial" w:cs="Arial"/>
          <w:sz w:val="22"/>
          <w:szCs w:val="22"/>
        </w:rPr>
        <w:t>, 2026).</w:t>
      </w:r>
    </w:p>
    <w:p w14:paraId="401A77DD" w14:textId="35E48F05" w:rsidR="003219AD" w:rsidRDefault="005D0CBD" w:rsidP="00B73E3A">
      <w:pPr>
        <w:spacing w:line="360" w:lineRule="auto"/>
        <w:rPr>
          <w:rFonts w:ascii="Arial" w:hAnsi="Arial" w:cs="Arial"/>
          <w:sz w:val="22"/>
          <w:szCs w:val="22"/>
        </w:rPr>
      </w:pPr>
      <w:r>
        <w:rPr>
          <w:rFonts w:ascii="Arial" w:hAnsi="Arial" w:cs="Arial"/>
          <w:sz w:val="22"/>
          <w:szCs w:val="22"/>
        </w:rPr>
        <w:t xml:space="preserve"> </w:t>
      </w:r>
      <w:r w:rsidR="000B2BD5" w:rsidRPr="000B2BD5">
        <w:rPr>
          <w:rFonts w:ascii="Arial" w:hAnsi="Arial" w:cs="Arial"/>
          <w:sz w:val="22"/>
          <w:szCs w:val="22"/>
        </w:rPr>
        <w:t xml:space="preserve">A continuous mathematical algorithm reads real-time interstitial glucose data and dynamically adjusts or suspends insulin delivery without requiring manual calculation from the patient or clinician (Diabetes UK, 2025). This transition from manual tracking to proactive automation directly aligns with the Department of Health and Social Care’s (DHSC) </w:t>
      </w:r>
      <w:r w:rsidR="000B2BD5" w:rsidRPr="000B2BD5">
        <w:rPr>
          <w:rFonts w:ascii="Arial" w:hAnsi="Arial" w:cs="Arial"/>
          <w:i/>
          <w:iCs/>
          <w:sz w:val="22"/>
          <w:szCs w:val="22"/>
        </w:rPr>
        <w:t>Plan for Digital Health and Social Care</w:t>
      </w:r>
      <w:r w:rsidR="008B6412">
        <w:rPr>
          <w:rFonts w:ascii="Arial" w:hAnsi="Arial" w:cs="Arial"/>
          <w:i/>
          <w:iCs/>
          <w:sz w:val="22"/>
          <w:szCs w:val="22"/>
        </w:rPr>
        <w:t xml:space="preserve"> </w:t>
      </w:r>
      <w:r w:rsidR="008B6412" w:rsidRPr="008B6412">
        <w:rPr>
          <w:rFonts w:ascii="Arial" w:hAnsi="Arial" w:cs="Arial"/>
          <w:sz w:val="22"/>
          <w:szCs w:val="22"/>
        </w:rPr>
        <w:t>(2022)</w:t>
      </w:r>
      <w:r w:rsidR="000B2BD5" w:rsidRPr="000B2BD5">
        <w:rPr>
          <w:rFonts w:ascii="Arial" w:hAnsi="Arial" w:cs="Arial"/>
          <w:sz w:val="22"/>
          <w:szCs w:val="22"/>
        </w:rPr>
        <w:t xml:space="preserve">, which demands the integration of predictive digital tools to improve long-term chronic disease management. Furthermore, by standardising care pathways and removing geographical variation, this rollout directly </w:t>
      </w:r>
      <w:r w:rsidR="000B2BD5">
        <w:rPr>
          <w:rFonts w:ascii="Arial" w:hAnsi="Arial" w:cs="Arial"/>
          <w:sz w:val="22"/>
          <w:szCs w:val="22"/>
        </w:rPr>
        <w:t>fulfils</w:t>
      </w:r>
      <w:r w:rsidR="000B2BD5" w:rsidRPr="000B2BD5">
        <w:rPr>
          <w:rFonts w:ascii="Arial" w:hAnsi="Arial" w:cs="Arial"/>
          <w:sz w:val="22"/>
          <w:szCs w:val="22"/>
        </w:rPr>
        <w:t xml:space="preserve"> the </w:t>
      </w:r>
      <w:r w:rsidR="000B2BD5" w:rsidRPr="000B2BD5">
        <w:rPr>
          <w:rFonts w:ascii="Arial" w:hAnsi="Arial" w:cs="Arial"/>
          <w:i/>
          <w:iCs/>
          <w:sz w:val="22"/>
          <w:szCs w:val="22"/>
        </w:rPr>
        <w:t>Improve Care</w:t>
      </w:r>
      <w:r w:rsidR="000B2BD5" w:rsidRPr="000B2BD5">
        <w:rPr>
          <w:rFonts w:ascii="Arial" w:hAnsi="Arial" w:cs="Arial"/>
          <w:sz w:val="22"/>
          <w:szCs w:val="22"/>
        </w:rPr>
        <w:t xml:space="preserve"> and </w:t>
      </w:r>
      <w:r w:rsidR="000B2BD5" w:rsidRPr="000B2BD5">
        <w:rPr>
          <w:rFonts w:ascii="Arial" w:hAnsi="Arial" w:cs="Arial"/>
          <w:i/>
          <w:iCs/>
          <w:sz w:val="22"/>
          <w:szCs w:val="22"/>
        </w:rPr>
        <w:t>Ensure Smart Foundations</w:t>
      </w:r>
      <w:r w:rsidR="000B2BD5" w:rsidRPr="000B2BD5">
        <w:rPr>
          <w:rFonts w:ascii="Arial" w:hAnsi="Arial" w:cs="Arial"/>
          <w:sz w:val="22"/>
          <w:szCs w:val="22"/>
        </w:rPr>
        <w:t xml:space="preserve"> domains of the NHS </w:t>
      </w:r>
      <w:r w:rsidR="000B2BD5" w:rsidRPr="000B2BD5">
        <w:rPr>
          <w:rFonts w:ascii="Arial" w:hAnsi="Arial" w:cs="Arial"/>
          <w:i/>
          <w:iCs/>
          <w:sz w:val="22"/>
          <w:szCs w:val="22"/>
        </w:rPr>
        <w:t>What Good Looks Like</w:t>
      </w:r>
      <w:r w:rsidR="000B2BD5" w:rsidRPr="000B2BD5">
        <w:rPr>
          <w:rFonts w:ascii="Arial" w:hAnsi="Arial" w:cs="Arial"/>
          <w:sz w:val="22"/>
          <w:szCs w:val="22"/>
        </w:rPr>
        <w:t xml:space="preserve"> framework</w:t>
      </w:r>
      <w:r w:rsidR="009A043D">
        <w:rPr>
          <w:rFonts w:ascii="Arial" w:hAnsi="Arial" w:cs="Arial"/>
          <w:sz w:val="22"/>
          <w:szCs w:val="22"/>
        </w:rPr>
        <w:t xml:space="preserve"> (2023)</w:t>
      </w:r>
      <w:r w:rsidR="000B2BD5" w:rsidRPr="000B2BD5">
        <w:rPr>
          <w:rFonts w:ascii="Arial" w:hAnsi="Arial" w:cs="Arial"/>
          <w:sz w:val="22"/>
          <w:szCs w:val="22"/>
        </w:rPr>
        <w:t xml:space="preserve">. </w:t>
      </w:r>
    </w:p>
    <w:p w14:paraId="5CDCA9D8" w14:textId="395382AE" w:rsidR="00E76C9A" w:rsidRDefault="000B2BD5" w:rsidP="00B73E3A">
      <w:pPr>
        <w:spacing w:line="360" w:lineRule="auto"/>
        <w:rPr>
          <w:rFonts w:ascii="Arial" w:hAnsi="Arial" w:cs="Arial"/>
          <w:sz w:val="22"/>
          <w:szCs w:val="22"/>
        </w:rPr>
      </w:pPr>
      <w:r w:rsidRPr="000B2BD5">
        <w:rPr>
          <w:rFonts w:ascii="Arial" w:hAnsi="Arial" w:cs="Arial"/>
          <w:sz w:val="22"/>
          <w:szCs w:val="22"/>
        </w:rPr>
        <w:t xml:space="preserve">Ultimately, HCL functions not merely as a medical device but as an active, automated clinical partner designed to dismantle existing health disparities across the </w:t>
      </w:r>
      <w:r w:rsidR="00023109">
        <w:rPr>
          <w:rFonts w:ascii="Arial" w:hAnsi="Arial" w:cs="Arial"/>
          <w:sz w:val="22"/>
          <w:szCs w:val="22"/>
        </w:rPr>
        <w:t>NHS.</w:t>
      </w:r>
      <w:r w:rsidR="003219AD">
        <w:rPr>
          <w:rFonts w:ascii="Arial" w:hAnsi="Arial" w:cs="Arial"/>
          <w:sz w:val="22"/>
          <w:szCs w:val="22"/>
        </w:rPr>
        <w:t xml:space="preserve"> </w:t>
      </w:r>
      <w:r w:rsidR="00F368BA">
        <w:rPr>
          <w:rFonts w:ascii="Arial" w:hAnsi="Arial" w:cs="Arial"/>
          <w:sz w:val="22"/>
          <w:szCs w:val="22"/>
        </w:rPr>
        <w:t>Evaluating this digital transformation through a thematic lens allows us to look beyond individual clinical outcomes and cr</w:t>
      </w:r>
      <w:r w:rsidR="00161281">
        <w:rPr>
          <w:rFonts w:ascii="Arial" w:hAnsi="Arial" w:cs="Arial"/>
          <w:sz w:val="22"/>
          <w:szCs w:val="22"/>
        </w:rPr>
        <w:t>itically analyse how this technology reshapes the broader, interconnected systems of contemporary UK healthcare.</w:t>
      </w:r>
    </w:p>
    <w:p w14:paraId="726DE636" w14:textId="77777777" w:rsidR="00741380" w:rsidRDefault="00741380" w:rsidP="00B73E3A">
      <w:pPr>
        <w:spacing w:line="360" w:lineRule="auto"/>
        <w:rPr>
          <w:rFonts w:ascii="Arial" w:hAnsi="Arial" w:cs="Arial"/>
          <w:sz w:val="22"/>
          <w:szCs w:val="22"/>
        </w:rPr>
      </w:pPr>
    </w:p>
    <w:p w14:paraId="10612F06" w14:textId="77777777" w:rsidR="003E4D56" w:rsidRDefault="003E4D56" w:rsidP="00B73E3A">
      <w:pPr>
        <w:spacing w:line="360" w:lineRule="auto"/>
        <w:rPr>
          <w:rFonts w:ascii="Arial" w:hAnsi="Arial" w:cs="Arial"/>
          <w:b/>
          <w:bCs/>
          <w:sz w:val="22"/>
          <w:szCs w:val="22"/>
          <w:u w:val="single"/>
        </w:rPr>
      </w:pPr>
    </w:p>
    <w:p w14:paraId="236B3C92" w14:textId="77777777" w:rsidR="003E4D56" w:rsidRDefault="003E4D56" w:rsidP="00B73E3A">
      <w:pPr>
        <w:spacing w:line="360" w:lineRule="auto"/>
        <w:rPr>
          <w:rFonts w:ascii="Arial" w:hAnsi="Arial" w:cs="Arial"/>
          <w:b/>
          <w:bCs/>
          <w:sz w:val="22"/>
          <w:szCs w:val="22"/>
          <w:u w:val="single"/>
        </w:rPr>
      </w:pPr>
    </w:p>
    <w:p w14:paraId="5CACB9FF" w14:textId="77777777" w:rsidR="003E4D56" w:rsidRDefault="003E4D56" w:rsidP="00B73E3A">
      <w:pPr>
        <w:spacing w:line="360" w:lineRule="auto"/>
        <w:rPr>
          <w:rFonts w:ascii="Arial" w:hAnsi="Arial" w:cs="Arial"/>
          <w:b/>
          <w:bCs/>
          <w:sz w:val="22"/>
          <w:szCs w:val="22"/>
          <w:u w:val="single"/>
        </w:rPr>
      </w:pPr>
    </w:p>
    <w:p w14:paraId="236EB83E" w14:textId="63FF8561" w:rsidR="00842A95" w:rsidRDefault="00842A95" w:rsidP="00B73E3A">
      <w:pPr>
        <w:spacing w:line="360" w:lineRule="auto"/>
        <w:rPr>
          <w:rFonts w:ascii="Arial" w:hAnsi="Arial" w:cs="Arial"/>
          <w:b/>
          <w:bCs/>
          <w:sz w:val="22"/>
          <w:szCs w:val="22"/>
          <w:u w:val="single"/>
        </w:rPr>
      </w:pPr>
      <w:r w:rsidRPr="003E4D56">
        <w:rPr>
          <w:rFonts w:ascii="Arial" w:hAnsi="Arial" w:cs="Arial"/>
          <w:b/>
          <w:bCs/>
          <w:sz w:val="22"/>
          <w:szCs w:val="22"/>
          <w:u w:val="single"/>
        </w:rPr>
        <w:lastRenderedPageBreak/>
        <w:t>2.1 Ethical Considerations</w:t>
      </w:r>
    </w:p>
    <w:p w14:paraId="2D1C5BC7" w14:textId="1DAF8F18" w:rsidR="00A73FF8" w:rsidRDefault="00A73FF8" w:rsidP="00B73E3A">
      <w:pPr>
        <w:spacing w:line="360" w:lineRule="auto"/>
        <w:rPr>
          <w:rFonts w:ascii="Arial" w:hAnsi="Arial" w:cs="Arial"/>
          <w:sz w:val="22"/>
          <w:szCs w:val="22"/>
        </w:rPr>
      </w:pPr>
      <w:r w:rsidRPr="00A73FF8">
        <w:rPr>
          <w:rFonts w:ascii="Arial" w:hAnsi="Arial" w:cs="Arial"/>
          <w:sz w:val="22"/>
          <w:szCs w:val="22"/>
        </w:rPr>
        <w:t>Adhering to Aveyard’s (2023) methodological framework for desk-based research, this thematic analysis maintained strict ethical standards regarding data handling and academic integrity. Because this study involved secondary analysis of previously published literature and public policy documents, direct institutional ethical approval involving human participants was not required. However, ethical responsibility was exercised through the transparent, accurate, and unbiased representation of the original researchers' data. Every effort was made to avoid cherry-picking data to fit preconceived notions, ensuring that contradictory findings</w:t>
      </w:r>
      <w:r w:rsidR="00741380">
        <w:rPr>
          <w:rFonts w:ascii="Arial" w:hAnsi="Arial" w:cs="Arial"/>
          <w:sz w:val="22"/>
          <w:szCs w:val="22"/>
        </w:rPr>
        <w:t xml:space="preserve"> </w:t>
      </w:r>
      <w:r w:rsidRPr="00A73FF8">
        <w:rPr>
          <w:rFonts w:ascii="Arial" w:hAnsi="Arial" w:cs="Arial"/>
          <w:sz w:val="22"/>
          <w:szCs w:val="22"/>
        </w:rPr>
        <w:t xml:space="preserve">were critically and honestly </w:t>
      </w:r>
      <w:r w:rsidR="00741380">
        <w:rPr>
          <w:rFonts w:ascii="Arial" w:hAnsi="Arial" w:cs="Arial"/>
          <w:sz w:val="22"/>
          <w:szCs w:val="22"/>
        </w:rPr>
        <w:t>analysed</w:t>
      </w:r>
      <w:r w:rsidRPr="00A73FF8">
        <w:rPr>
          <w:rFonts w:ascii="Arial" w:hAnsi="Arial" w:cs="Arial"/>
          <w:sz w:val="22"/>
          <w:szCs w:val="22"/>
        </w:rPr>
        <w:t>. Proper citation practices were strictly maintained to respect intellectual property and prevent plagiarism, ensuring a robust, ethically sound synthesis of the evidence.</w:t>
      </w:r>
    </w:p>
    <w:p w14:paraId="79671F2D" w14:textId="77777777" w:rsidR="00741380" w:rsidRDefault="00741380" w:rsidP="00B73E3A">
      <w:pPr>
        <w:spacing w:line="360" w:lineRule="auto"/>
        <w:rPr>
          <w:rFonts w:ascii="Arial" w:hAnsi="Arial" w:cs="Arial"/>
          <w:sz w:val="22"/>
          <w:szCs w:val="22"/>
        </w:rPr>
      </w:pPr>
    </w:p>
    <w:p w14:paraId="70C5A0BA" w14:textId="77777777" w:rsidR="000916F0" w:rsidRPr="003E4D56" w:rsidRDefault="000916F0" w:rsidP="000916F0">
      <w:pPr>
        <w:rPr>
          <w:rFonts w:ascii="Arial" w:hAnsi="Arial" w:cs="Arial"/>
          <w:b/>
          <w:bCs/>
          <w:sz w:val="22"/>
          <w:szCs w:val="22"/>
          <w:u w:val="single"/>
        </w:rPr>
      </w:pPr>
      <w:r w:rsidRPr="003E4D56">
        <w:rPr>
          <w:rFonts w:ascii="Arial" w:hAnsi="Arial" w:cs="Arial"/>
          <w:b/>
          <w:bCs/>
          <w:sz w:val="22"/>
          <w:szCs w:val="22"/>
          <w:u w:val="single"/>
        </w:rPr>
        <w:t>3.0 Systemic Impacts: Healthcare Workforce and Service Delivery</w:t>
      </w:r>
    </w:p>
    <w:p w14:paraId="6D80DDC7" w14:textId="77777777" w:rsidR="00D071B5" w:rsidRDefault="000916F0" w:rsidP="00C70944">
      <w:pPr>
        <w:spacing w:line="360" w:lineRule="auto"/>
        <w:rPr>
          <w:rFonts w:ascii="Arial" w:hAnsi="Arial" w:cs="Arial"/>
          <w:sz w:val="22"/>
          <w:szCs w:val="22"/>
        </w:rPr>
      </w:pPr>
      <w:r w:rsidRPr="00C70944">
        <w:rPr>
          <w:rFonts w:ascii="Arial" w:hAnsi="Arial" w:cs="Arial"/>
          <w:sz w:val="22"/>
          <w:szCs w:val="22"/>
        </w:rPr>
        <w:t xml:space="preserve">The national expansion of Hybrid Closed-Loop (HCL) systems fundamentally reshapes the professional workflows and macro-level efficiency of contemporary NHS delivery frameworks. Successful sociotechnical implementation requires comprehensive staff training alongside the provision of high-quality, continuous clinical support services (Hagan et al., 2026). However, professional digital confidence remains unevenly distributed across the workforce architecture. </w:t>
      </w:r>
    </w:p>
    <w:p w14:paraId="3F21AE6D" w14:textId="6D9C57A2" w:rsidR="002263DE" w:rsidRDefault="000916F0" w:rsidP="00C70944">
      <w:pPr>
        <w:spacing w:line="360" w:lineRule="auto"/>
        <w:rPr>
          <w:rFonts w:ascii="Arial" w:hAnsi="Arial" w:cs="Arial"/>
          <w:sz w:val="22"/>
          <w:szCs w:val="22"/>
        </w:rPr>
      </w:pPr>
      <w:r w:rsidRPr="00C70944">
        <w:rPr>
          <w:rFonts w:ascii="Arial" w:hAnsi="Arial" w:cs="Arial"/>
          <w:sz w:val="22"/>
          <w:szCs w:val="22"/>
        </w:rPr>
        <w:t>While highly specialised antenatal Type 1 diabetes care teams display advanced levels of technical assurance, broader healthcare professionals report significantly lower confidence when administering pregnancy-related HCL care (Anandhakrishnan et al., 2025</w:t>
      </w:r>
      <w:r w:rsidR="00B83368">
        <w:rPr>
          <w:rFonts w:ascii="Arial" w:hAnsi="Arial" w:cs="Arial"/>
          <w:sz w:val="22"/>
          <w:szCs w:val="22"/>
        </w:rPr>
        <w:t>b</w:t>
      </w:r>
      <w:r w:rsidRPr="00C70944">
        <w:rPr>
          <w:rFonts w:ascii="Arial" w:hAnsi="Arial" w:cs="Arial"/>
          <w:sz w:val="22"/>
          <w:szCs w:val="22"/>
        </w:rPr>
        <w:t>). This disparity highlights a systemic variance in training efficacy. Although digital modules like the Glooko Academy offer foundational online pathways, junior clinicians and endocrinology residents frequently feel structurally excluded from developing practical autonomy due to the heavily consultant-led nature of existing diabetes clinics (Anandhakrishnan et al., 2025</w:t>
      </w:r>
      <w:r w:rsidR="00C57E2E">
        <w:rPr>
          <w:rFonts w:ascii="Arial" w:hAnsi="Arial" w:cs="Arial"/>
          <w:sz w:val="22"/>
          <w:szCs w:val="22"/>
        </w:rPr>
        <w:t>a</w:t>
      </w:r>
      <w:r w:rsidRPr="00C70944">
        <w:rPr>
          <w:rFonts w:ascii="Arial" w:hAnsi="Arial" w:cs="Arial"/>
          <w:sz w:val="22"/>
          <w:szCs w:val="22"/>
        </w:rPr>
        <w:t xml:space="preserve">). </w:t>
      </w:r>
    </w:p>
    <w:p w14:paraId="68B3F834" w14:textId="2C461A6B" w:rsidR="000916F0" w:rsidRPr="00C70944" w:rsidRDefault="000916F0" w:rsidP="00C70944">
      <w:pPr>
        <w:spacing w:line="360" w:lineRule="auto"/>
        <w:rPr>
          <w:rFonts w:ascii="Arial" w:hAnsi="Arial" w:cs="Arial"/>
          <w:sz w:val="22"/>
          <w:szCs w:val="22"/>
        </w:rPr>
      </w:pPr>
      <w:r w:rsidRPr="00C70944">
        <w:rPr>
          <w:rFonts w:ascii="Arial" w:hAnsi="Arial" w:cs="Arial"/>
          <w:sz w:val="22"/>
          <w:szCs w:val="22"/>
        </w:rPr>
        <w:t>To mitigate these uneven pressures, progressive trusts are adapting their staffing blueprints</w:t>
      </w:r>
      <w:r w:rsidR="002263DE">
        <w:rPr>
          <w:rFonts w:ascii="Arial" w:hAnsi="Arial" w:cs="Arial"/>
          <w:sz w:val="22"/>
          <w:szCs w:val="22"/>
        </w:rPr>
        <w:t>. For example</w:t>
      </w:r>
      <w:r w:rsidR="006F18C3">
        <w:rPr>
          <w:rFonts w:ascii="Arial" w:hAnsi="Arial" w:cs="Arial"/>
          <w:sz w:val="22"/>
          <w:szCs w:val="22"/>
        </w:rPr>
        <w:t>,</w:t>
      </w:r>
      <w:r w:rsidR="00603C80">
        <w:rPr>
          <w:rFonts w:ascii="Arial" w:hAnsi="Arial" w:cs="Arial"/>
          <w:sz w:val="22"/>
          <w:szCs w:val="22"/>
        </w:rPr>
        <w:t xml:space="preserve"> trusts are</w:t>
      </w:r>
      <w:r w:rsidRPr="00C70944">
        <w:rPr>
          <w:rFonts w:ascii="Arial" w:hAnsi="Arial" w:cs="Arial"/>
          <w:sz w:val="22"/>
          <w:szCs w:val="22"/>
        </w:rPr>
        <w:t xml:space="preserve"> pioneering dedicated, multi-disciplinary transition clinics engineered specifically to support staff in managing the complex operational pivot from paediatric to adult care pathways (</w:t>
      </w:r>
      <w:proofErr w:type="spellStart"/>
      <w:r w:rsidRPr="00C70944">
        <w:rPr>
          <w:rFonts w:ascii="Arial" w:hAnsi="Arial" w:cs="Arial"/>
          <w:sz w:val="22"/>
          <w:szCs w:val="22"/>
        </w:rPr>
        <w:t>Balafshan</w:t>
      </w:r>
      <w:proofErr w:type="spellEnd"/>
      <w:r w:rsidRPr="00C70944">
        <w:rPr>
          <w:rFonts w:ascii="Arial" w:hAnsi="Arial" w:cs="Arial"/>
          <w:sz w:val="22"/>
          <w:szCs w:val="22"/>
        </w:rPr>
        <w:t xml:space="preserve"> et al., 2025).</w:t>
      </w:r>
    </w:p>
    <w:p w14:paraId="08D62E88" w14:textId="0AC1A63C" w:rsidR="00CB3595" w:rsidRDefault="000916F0" w:rsidP="00C70944">
      <w:pPr>
        <w:spacing w:line="360" w:lineRule="auto"/>
        <w:rPr>
          <w:rFonts w:ascii="Arial" w:hAnsi="Arial" w:cs="Arial"/>
          <w:sz w:val="22"/>
          <w:szCs w:val="22"/>
        </w:rPr>
      </w:pPr>
      <w:r w:rsidRPr="00C70944">
        <w:rPr>
          <w:rFonts w:ascii="Arial" w:hAnsi="Arial" w:cs="Arial"/>
          <w:sz w:val="22"/>
          <w:szCs w:val="22"/>
        </w:rPr>
        <w:t xml:space="preserve">These </w:t>
      </w:r>
      <w:r w:rsidR="006F18C3">
        <w:rPr>
          <w:rFonts w:ascii="Arial" w:hAnsi="Arial" w:cs="Arial"/>
          <w:sz w:val="22"/>
          <w:szCs w:val="22"/>
        </w:rPr>
        <w:t>localised</w:t>
      </w:r>
      <w:r w:rsidRPr="00C70944">
        <w:rPr>
          <w:rFonts w:ascii="Arial" w:hAnsi="Arial" w:cs="Arial"/>
          <w:sz w:val="22"/>
          <w:szCs w:val="22"/>
        </w:rPr>
        <w:t xml:space="preserve"> workforce challenges are heavily compounded by wider structural constraints within NHS service delivery models. A primary systemic bottleneck stems from the fact that the NICE TA943 mandate was implemented without ring-fenced national funding, forcing local trusts to absorb the substantial infrastructural costs of technology </w:t>
      </w:r>
      <w:r w:rsidRPr="00C70944">
        <w:rPr>
          <w:rFonts w:ascii="Arial" w:hAnsi="Arial" w:cs="Arial"/>
          <w:sz w:val="22"/>
          <w:szCs w:val="22"/>
        </w:rPr>
        <w:lastRenderedPageBreak/>
        <w:t>onboarding within overstretched budgets. This financial deficit directly impacts daily clinic capacity. Quantitative evidence shows that teaching, downloading data, and clinical onboarding for an automated insulin delivery system is initially far more intensive and time-consuming for clinic schedules than supporting standard injection regimens (Lawton et al., 202</w:t>
      </w:r>
      <w:r w:rsidR="00CC68D8">
        <w:rPr>
          <w:rFonts w:ascii="Arial" w:hAnsi="Arial" w:cs="Arial"/>
          <w:sz w:val="22"/>
          <w:szCs w:val="22"/>
        </w:rPr>
        <w:t>5</w:t>
      </w:r>
      <w:r w:rsidRPr="00C70944">
        <w:rPr>
          <w:rFonts w:ascii="Arial" w:hAnsi="Arial" w:cs="Arial"/>
          <w:sz w:val="22"/>
          <w:szCs w:val="22"/>
        </w:rPr>
        <w:t xml:space="preserve">). </w:t>
      </w:r>
    </w:p>
    <w:p w14:paraId="5B45CDD0" w14:textId="6DC0F322" w:rsidR="000916F0" w:rsidRPr="00C70944" w:rsidRDefault="000916F0" w:rsidP="00C70944">
      <w:pPr>
        <w:spacing w:line="360" w:lineRule="auto"/>
        <w:rPr>
          <w:rFonts w:ascii="Arial" w:hAnsi="Arial" w:cs="Arial"/>
          <w:sz w:val="22"/>
          <w:szCs w:val="22"/>
        </w:rPr>
      </w:pPr>
      <w:r w:rsidRPr="00C70944">
        <w:rPr>
          <w:rFonts w:ascii="Arial" w:hAnsi="Arial" w:cs="Arial"/>
          <w:sz w:val="22"/>
          <w:szCs w:val="22"/>
        </w:rPr>
        <w:t xml:space="preserve">Consequently, these protracted appointment times create immediate operational backlogs, expanding patient waiting lists and delaying routine service access. While longitudinal data </w:t>
      </w:r>
      <w:r w:rsidR="00C57E2E">
        <w:rPr>
          <w:rFonts w:ascii="Arial" w:hAnsi="Arial" w:cs="Arial"/>
          <w:sz w:val="22"/>
          <w:szCs w:val="22"/>
        </w:rPr>
        <w:t>indicate</w:t>
      </w:r>
      <w:r w:rsidRPr="00C70944">
        <w:rPr>
          <w:rFonts w:ascii="Arial" w:hAnsi="Arial" w:cs="Arial"/>
          <w:sz w:val="22"/>
          <w:szCs w:val="22"/>
        </w:rPr>
        <w:t xml:space="preserve"> that HCL users eventually demonstrate a reduced need for crisis-driven contact with clinical teams, this long-term </w:t>
      </w:r>
      <w:r w:rsidR="001970EA">
        <w:rPr>
          <w:rFonts w:ascii="Arial" w:hAnsi="Arial" w:cs="Arial"/>
          <w:sz w:val="22"/>
          <w:szCs w:val="22"/>
        </w:rPr>
        <w:t>stabilisation</w:t>
      </w:r>
      <w:r w:rsidRPr="00C70944">
        <w:rPr>
          <w:rFonts w:ascii="Arial" w:hAnsi="Arial" w:cs="Arial"/>
          <w:sz w:val="22"/>
          <w:szCs w:val="22"/>
        </w:rPr>
        <w:t xml:space="preserve"> introduces a subtle service delivery risk: fewer face-to-face check-ins limit the opportunities for clinics to reinforce foundational diabetes knowledge (Lawton et al., 202</w:t>
      </w:r>
      <w:r w:rsidR="00CC68D8">
        <w:rPr>
          <w:rFonts w:ascii="Arial" w:hAnsi="Arial" w:cs="Arial"/>
          <w:sz w:val="22"/>
          <w:szCs w:val="22"/>
        </w:rPr>
        <w:t>5</w:t>
      </w:r>
      <w:r w:rsidRPr="00C70944">
        <w:rPr>
          <w:rFonts w:ascii="Arial" w:hAnsi="Arial" w:cs="Arial"/>
          <w:sz w:val="22"/>
          <w:szCs w:val="22"/>
        </w:rPr>
        <w:t>). Therefore, HCL integration exposes deep resource and training imbalances that prevent the NHS from achieving a streamlined, equitable delivery model.</w:t>
      </w:r>
    </w:p>
    <w:p w14:paraId="57AC738E" w14:textId="77777777" w:rsidR="00E76C9A" w:rsidRDefault="00E76C9A" w:rsidP="00A846E7">
      <w:pPr>
        <w:rPr>
          <w:rFonts w:ascii="Arial" w:hAnsi="Arial" w:cs="Arial"/>
          <w:sz w:val="22"/>
          <w:szCs w:val="22"/>
        </w:rPr>
      </w:pPr>
    </w:p>
    <w:p w14:paraId="31DCA2CB" w14:textId="5181C997" w:rsidR="00171773" w:rsidRPr="003E4D56" w:rsidRDefault="00171773" w:rsidP="00A846E7">
      <w:pPr>
        <w:rPr>
          <w:rFonts w:ascii="Arial" w:hAnsi="Arial" w:cs="Arial"/>
          <w:b/>
          <w:bCs/>
          <w:sz w:val="22"/>
          <w:szCs w:val="22"/>
          <w:u w:val="single"/>
        </w:rPr>
      </w:pPr>
      <w:r w:rsidRPr="003E4D56">
        <w:rPr>
          <w:rFonts w:ascii="Arial" w:hAnsi="Arial" w:cs="Arial"/>
          <w:b/>
          <w:bCs/>
          <w:sz w:val="22"/>
          <w:szCs w:val="22"/>
          <w:u w:val="single"/>
        </w:rPr>
        <w:t>4.0 The Lived Experiences of Patients and Service Users</w:t>
      </w:r>
    </w:p>
    <w:p w14:paraId="0E8A8496" w14:textId="470389F8" w:rsidR="00171773" w:rsidRPr="00171773" w:rsidRDefault="00171773" w:rsidP="00C57E2E">
      <w:pPr>
        <w:spacing w:line="360" w:lineRule="auto"/>
        <w:rPr>
          <w:rFonts w:ascii="Arial" w:hAnsi="Arial" w:cs="Arial"/>
          <w:sz w:val="22"/>
          <w:szCs w:val="22"/>
        </w:rPr>
      </w:pPr>
      <w:r>
        <w:rPr>
          <w:rFonts w:ascii="Arial" w:hAnsi="Arial" w:cs="Arial"/>
          <w:sz w:val="22"/>
          <w:szCs w:val="22"/>
        </w:rPr>
        <w:t>Analysing</w:t>
      </w:r>
      <w:r w:rsidRPr="00171773">
        <w:rPr>
          <w:rFonts w:ascii="Arial" w:hAnsi="Arial" w:cs="Arial"/>
          <w:sz w:val="22"/>
          <w:szCs w:val="22"/>
        </w:rPr>
        <w:t xml:space="preserve"> the patient perspective reveals that while HCL systems offer profound life alterations, they are fundamentally distinct from seamless, "plug-and-play" devices. Both clinical guidelines and empirical studies </w:t>
      </w:r>
      <w:r>
        <w:rPr>
          <w:rFonts w:ascii="Arial" w:hAnsi="Arial" w:cs="Arial"/>
          <w:sz w:val="22"/>
          <w:szCs w:val="22"/>
        </w:rPr>
        <w:t>emphasise</w:t>
      </w:r>
      <w:r w:rsidRPr="00171773">
        <w:rPr>
          <w:rFonts w:ascii="Arial" w:hAnsi="Arial" w:cs="Arial"/>
          <w:sz w:val="22"/>
          <w:szCs w:val="22"/>
        </w:rPr>
        <w:t xml:space="preserve"> that HCL integration requires a demanding, protracted period of adaptation </w:t>
      </w:r>
      <w:r>
        <w:rPr>
          <w:rFonts w:ascii="Arial" w:hAnsi="Arial" w:cs="Arial"/>
          <w:sz w:val="22"/>
          <w:szCs w:val="22"/>
        </w:rPr>
        <w:t>characterised</w:t>
      </w:r>
      <w:r w:rsidRPr="00171773">
        <w:rPr>
          <w:rFonts w:ascii="Arial" w:hAnsi="Arial" w:cs="Arial"/>
          <w:sz w:val="22"/>
          <w:szCs w:val="22"/>
        </w:rPr>
        <w:t xml:space="preserve"> by clinical trial-and-error, where users frequently struggle before experiencing tangible benefits (Hagan et al., 2026; NICE, 2023). A primary psychological barrier stems from the transition of control; individuals who have manually managed their blood glucose for decades routinely experience significant difficulty trusting an automated machine, occasionally leading to non-adherence by failing to use the automated insulin delivery (AID) as advised (Lawton et al., 2025). Furthermore, users must maintain active, daily collaboration with the system, such as executing precise carbohydrate counting, as the technology cannot independently cope with metabolic anomalies caused by illness, pre-menstrual cycles, or adolescent puberty (Lawton et al., 2025; Ware et al., 2024).</w:t>
      </w:r>
    </w:p>
    <w:p w14:paraId="730D3526" w14:textId="06813C10" w:rsidR="00171773" w:rsidRPr="00171773" w:rsidRDefault="00171773" w:rsidP="00C57E2E">
      <w:pPr>
        <w:spacing w:line="360" w:lineRule="auto"/>
        <w:rPr>
          <w:rFonts w:ascii="Arial" w:hAnsi="Arial" w:cs="Arial"/>
          <w:sz w:val="22"/>
          <w:szCs w:val="22"/>
        </w:rPr>
      </w:pPr>
      <w:r w:rsidRPr="00171773">
        <w:rPr>
          <w:rFonts w:ascii="Arial" w:hAnsi="Arial" w:cs="Arial"/>
          <w:sz w:val="22"/>
          <w:szCs w:val="22"/>
        </w:rPr>
        <w:t xml:space="preserve">This burden is further exacerbated by educational and physical frictions. Service users frequently report that </w:t>
      </w:r>
      <w:r>
        <w:rPr>
          <w:rFonts w:ascii="Arial" w:hAnsi="Arial" w:cs="Arial"/>
          <w:sz w:val="22"/>
          <w:szCs w:val="22"/>
        </w:rPr>
        <w:t>standardised</w:t>
      </w:r>
      <w:r w:rsidRPr="00171773">
        <w:rPr>
          <w:rFonts w:ascii="Arial" w:hAnsi="Arial" w:cs="Arial"/>
          <w:sz w:val="22"/>
          <w:szCs w:val="22"/>
        </w:rPr>
        <w:t xml:space="preserve"> training regimens are disengaging, boring, and easily forgettable, expressing a strict preference for interactive, small-group or one-to-one sessions where they can actively address personal concerns (Lawton et al., 2025). Additionally, for newly diagnosed youth who lack a historical baseline of manual management to compare against, the high frequency of device alarms is initially perceived as an intrusive burden that severely disrupts sleep architecture (Madrid-Valero et al., 2026).</w:t>
      </w:r>
    </w:p>
    <w:p w14:paraId="5CBCD7A8" w14:textId="47B1C495" w:rsidR="00171773" w:rsidRPr="00171773" w:rsidRDefault="00171773" w:rsidP="00C57E2E">
      <w:pPr>
        <w:spacing w:line="360" w:lineRule="auto"/>
        <w:rPr>
          <w:rFonts w:ascii="Arial" w:hAnsi="Arial" w:cs="Arial"/>
          <w:sz w:val="22"/>
          <w:szCs w:val="22"/>
        </w:rPr>
      </w:pPr>
      <w:r w:rsidRPr="00171773">
        <w:rPr>
          <w:rFonts w:ascii="Arial" w:hAnsi="Arial" w:cs="Arial"/>
          <w:sz w:val="22"/>
          <w:szCs w:val="22"/>
        </w:rPr>
        <w:lastRenderedPageBreak/>
        <w:t xml:space="preserve">Despite these friction points, the longitudinal emotional and psychological benefits </w:t>
      </w:r>
      <w:r w:rsidR="003072FF">
        <w:rPr>
          <w:rFonts w:ascii="Arial" w:hAnsi="Arial" w:cs="Arial"/>
          <w:sz w:val="22"/>
          <w:szCs w:val="22"/>
        </w:rPr>
        <w:t>match</w:t>
      </w:r>
      <w:r w:rsidRPr="00171773">
        <w:rPr>
          <w:rFonts w:ascii="Arial" w:hAnsi="Arial" w:cs="Arial"/>
          <w:sz w:val="22"/>
          <w:szCs w:val="22"/>
        </w:rPr>
        <w:t xml:space="preserve"> physical </w:t>
      </w:r>
      <w:r w:rsidR="003072FF" w:rsidRPr="00171773">
        <w:rPr>
          <w:rFonts w:ascii="Arial" w:hAnsi="Arial" w:cs="Arial"/>
          <w:sz w:val="22"/>
          <w:szCs w:val="22"/>
        </w:rPr>
        <w:t>glycaemic</w:t>
      </w:r>
      <w:r w:rsidRPr="00171773">
        <w:rPr>
          <w:rFonts w:ascii="Arial" w:hAnsi="Arial" w:cs="Arial"/>
          <w:sz w:val="22"/>
          <w:szCs w:val="22"/>
        </w:rPr>
        <w:t xml:space="preserve"> improvements (Hagan et al., 2026). After approximately two years of adaptation, the HCL system successfully operates as a </w:t>
      </w:r>
      <w:r w:rsidR="003072FF">
        <w:rPr>
          <w:rFonts w:ascii="Arial" w:hAnsi="Arial" w:cs="Arial"/>
          <w:sz w:val="22"/>
          <w:szCs w:val="22"/>
        </w:rPr>
        <w:t>stabiliser</w:t>
      </w:r>
      <w:r w:rsidRPr="00171773">
        <w:rPr>
          <w:rFonts w:ascii="Arial" w:hAnsi="Arial" w:cs="Arial"/>
          <w:sz w:val="22"/>
          <w:szCs w:val="22"/>
        </w:rPr>
        <w:t>, gradually reducing nocturnal parental hypervigilance and restoring sleep quality (Madrid-Valero et al., 2026). Qualitatively, successful users report that HCL therapy restores the agency that diabetes had previously stripped away, empowering parents to feel confident alone with their children and enabling adults to advance their careers and embrace greater professional responsibilities (Lawton et al., 2025).</w:t>
      </w:r>
    </w:p>
    <w:p w14:paraId="7F9001C7" w14:textId="2211958E" w:rsidR="00171773" w:rsidRPr="00044249" w:rsidRDefault="00171773" w:rsidP="00C57E2E">
      <w:pPr>
        <w:spacing w:line="360" w:lineRule="auto"/>
        <w:rPr>
          <w:rFonts w:ascii="Arial" w:hAnsi="Arial" w:cs="Arial"/>
          <w:b/>
          <w:bCs/>
          <w:sz w:val="22"/>
          <w:szCs w:val="22"/>
        </w:rPr>
      </w:pPr>
    </w:p>
    <w:p w14:paraId="682A9B77" w14:textId="4F97903C" w:rsidR="00044249" w:rsidRDefault="00044249" w:rsidP="00C57E2E">
      <w:pPr>
        <w:spacing w:line="360" w:lineRule="auto"/>
        <w:rPr>
          <w:rFonts w:ascii="Arial" w:hAnsi="Arial" w:cs="Arial"/>
          <w:b/>
          <w:bCs/>
          <w:sz w:val="22"/>
          <w:szCs w:val="22"/>
          <w:u w:val="single"/>
        </w:rPr>
      </w:pPr>
      <w:r w:rsidRPr="003E4D56">
        <w:rPr>
          <w:rFonts w:ascii="Arial" w:hAnsi="Arial" w:cs="Arial"/>
          <w:b/>
          <w:bCs/>
          <w:sz w:val="22"/>
          <w:szCs w:val="22"/>
          <w:u w:val="single"/>
        </w:rPr>
        <w:t>5.0 Socio-Structural and Community Impacts</w:t>
      </w:r>
    </w:p>
    <w:p w14:paraId="713DE4A2" w14:textId="15313094" w:rsidR="00044249" w:rsidRPr="00044249" w:rsidRDefault="00044249" w:rsidP="00044249">
      <w:pPr>
        <w:spacing w:line="360" w:lineRule="auto"/>
        <w:rPr>
          <w:rFonts w:ascii="Arial" w:hAnsi="Arial" w:cs="Arial"/>
          <w:sz w:val="22"/>
          <w:szCs w:val="22"/>
        </w:rPr>
      </w:pPr>
      <w:r w:rsidRPr="00044249">
        <w:rPr>
          <w:rFonts w:ascii="Arial" w:hAnsi="Arial" w:cs="Arial"/>
          <w:sz w:val="22"/>
          <w:szCs w:val="22"/>
        </w:rPr>
        <w:t xml:space="preserve">Beyond individual clinical outcomes, the sociotechnical rollout of HCL systems exerts a profound ripple effect across the wider family structure and socio-economic landscape. Managing Type 1 diabetes is inherently a household challenge, </w:t>
      </w:r>
      <w:r>
        <w:rPr>
          <w:rFonts w:ascii="Arial" w:hAnsi="Arial" w:cs="Arial"/>
          <w:sz w:val="22"/>
          <w:szCs w:val="22"/>
        </w:rPr>
        <w:t>recognised</w:t>
      </w:r>
      <w:r w:rsidRPr="00044249">
        <w:rPr>
          <w:rFonts w:ascii="Arial" w:hAnsi="Arial" w:cs="Arial"/>
          <w:sz w:val="22"/>
          <w:szCs w:val="22"/>
        </w:rPr>
        <w:t xml:space="preserve"> nationally as an exhausting ordeal for both patients and their wider families (NHS England, 2024). Crucially, the </w:t>
      </w:r>
      <w:r>
        <w:rPr>
          <w:rFonts w:ascii="Arial" w:hAnsi="Arial" w:cs="Arial"/>
          <w:sz w:val="22"/>
          <w:szCs w:val="22"/>
        </w:rPr>
        <w:t>stabilisation</w:t>
      </w:r>
      <w:r w:rsidRPr="00044249">
        <w:rPr>
          <w:rFonts w:ascii="Arial" w:hAnsi="Arial" w:cs="Arial"/>
          <w:sz w:val="22"/>
          <w:szCs w:val="22"/>
        </w:rPr>
        <w:t xml:space="preserve"> offered by automated insulin delivery extends beyond the patient, yielding significant emotional and psychological secondary benefits for romantic partners and </w:t>
      </w:r>
      <w:r>
        <w:rPr>
          <w:rFonts w:ascii="Arial" w:hAnsi="Arial" w:cs="Arial"/>
          <w:sz w:val="22"/>
          <w:szCs w:val="22"/>
        </w:rPr>
        <w:t>cohabiting</w:t>
      </w:r>
      <w:r w:rsidRPr="00044249">
        <w:rPr>
          <w:rFonts w:ascii="Arial" w:hAnsi="Arial" w:cs="Arial"/>
          <w:sz w:val="22"/>
          <w:szCs w:val="22"/>
        </w:rPr>
        <w:t xml:space="preserve"> family caregivers who share the long-term emotional burden of chronic disease management (Hagan et al., 2026).</w:t>
      </w:r>
    </w:p>
    <w:p w14:paraId="1646229A" w14:textId="77777777" w:rsidR="007878C2" w:rsidRDefault="00044249" w:rsidP="00044249">
      <w:pPr>
        <w:spacing w:line="360" w:lineRule="auto"/>
        <w:rPr>
          <w:rFonts w:ascii="Arial" w:hAnsi="Arial" w:cs="Arial"/>
          <w:sz w:val="22"/>
          <w:szCs w:val="22"/>
        </w:rPr>
      </w:pPr>
      <w:r w:rsidRPr="00044249">
        <w:rPr>
          <w:rFonts w:ascii="Arial" w:hAnsi="Arial" w:cs="Arial"/>
          <w:sz w:val="22"/>
          <w:szCs w:val="22"/>
        </w:rPr>
        <w:t xml:space="preserve">On a structural community level, HCL technology demonstrates an extraordinary capacity to act as a socio-economic </w:t>
      </w:r>
      <w:r>
        <w:rPr>
          <w:rFonts w:ascii="Arial" w:hAnsi="Arial" w:cs="Arial"/>
          <w:sz w:val="22"/>
          <w:szCs w:val="22"/>
        </w:rPr>
        <w:t>equaliser</w:t>
      </w:r>
      <w:r w:rsidRPr="00044249">
        <w:rPr>
          <w:rFonts w:ascii="Arial" w:hAnsi="Arial" w:cs="Arial"/>
          <w:sz w:val="22"/>
          <w:szCs w:val="22"/>
        </w:rPr>
        <w:t xml:space="preserve">, yet its distribution remains gatekept by systemic inequities. Empirical data </w:t>
      </w:r>
      <w:r>
        <w:rPr>
          <w:rFonts w:ascii="Arial" w:hAnsi="Arial" w:cs="Arial"/>
          <w:sz w:val="22"/>
          <w:szCs w:val="22"/>
        </w:rPr>
        <w:t>indicate</w:t>
      </w:r>
      <w:r w:rsidRPr="00044249">
        <w:rPr>
          <w:rFonts w:ascii="Arial" w:hAnsi="Arial" w:cs="Arial"/>
          <w:sz w:val="22"/>
          <w:szCs w:val="22"/>
        </w:rPr>
        <w:t xml:space="preserve"> a stark baseline disparity: individuals residing in socio-economically deprived areas spend significantly less baseline Time-in-Range (TIR) than their affluent counterparts, a gap that is completely eradicated once HCL therapy is introduced (Anandhakrishnan et al., 2025a). However, equitable community access is actively undermined by </w:t>
      </w:r>
      <w:r w:rsidR="007878C2">
        <w:rPr>
          <w:rFonts w:ascii="Arial" w:hAnsi="Arial" w:cs="Arial"/>
          <w:sz w:val="22"/>
          <w:szCs w:val="22"/>
        </w:rPr>
        <w:t>localised</w:t>
      </w:r>
      <w:r w:rsidRPr="00044249">
        <w:rPr>
          <w:rFonts w:ascii="Arial" w:hAnsi="Arial" w:cs="Arial"/>
          <w:sz w:val="22"/>
          <w:szCs w:val="22"/>
        </w:rPr>
        <w:t xml:space="preserve"> resource variations. </w:t>
      </w:r>
    </w:p>
    <w:p w14:paraId="6E790639" w14:textId="0EA9048A" w:rsidR="00044249" w:rsidRPr="00044249" w:rsidRDefault="00044249" w:rsidP="00044249">
      <w:pPr>
        <w:spacing w:line="360" w:lineRule="auto"/>
        <w:rPr>
          <w:rFonts w:ascii="Arial" w:hAnsi="Arial" w:cs="Arial"/>
          <w:sz w:val="22"/>
          <w:szCs w:val="22"/>
        </w:rPr>
      </w:pPr>
      <w:r w:rsidRPr="00044249">
        <w:rPr>
          <w:rFonts w:ascii="Arial" w:hAnsi="Arial" w:cs="Arial"/>
          <w:sz w:val="22"/>
          <w:szCs w:val="22"/>
        </w:rPr>
        <w:t xml:space="preserve">For instance, severe inequalities persist within </w:t>
      </w:r>
      <w:r w:rsidR="007878C2">
        <w:rPr>
          <w:rFonts w:ascii="Arial" w:hAnsi="Arial" w:cs="Arial"/>
          <w:sz w:val="22"/>
          <w:szCs w:val="22"/>
        </w:rPr>
        <w:t>specialised</w:t>
      </w:r>
      <w:r w:rsidRPr="00044249">
        <w:rPr>
          <w:rFonts w:ascii="Arial" w:hAnsi="Arial" w:cs="Arial"/>
          <w:sz w:val="22"/>
          <w:szCs w:val="22"/>
        </w:rPr>
        <w:t xml:space="preserve"> pregnancy care, where the highly advanced </w:t>
      </w:r>
      <w:proofErr w:type="spellStart"/>
      <w:r w:rsidRPr="00044249">
        <w:rPr>
          <w:rFonts w:ascii="Arial" w:hAnsi="Arial" w:cs="Arial"/>
          <w:sz w:val="22"/>
          <w:szCs w:val="22"/>
        </w:rPr>
        <w:t>CamAPSFx</w:t>
      </w:r>
      <w:proofErr w:type="spellEnd"/>
      <w:r w:rsidRPr="00044249">
        <w:rPr>
          <w:rFonts w:ascii="Arial" w:hAnsi="Arial" w:cs="Arial"/>
          <w:sz w:val="22"/>
          <w:szCs w:val="22"/>
        </w:rPr>
        <w:t xml:space="preserve"> system remains markedly more difficult to procure for </w:t>
      </w:r>
      <w:r w:rsidR="007878C2">
        <w:rPr>
          <w:rFonts w:ascii="Arial" w:hAnsi="Arial" w:cs="Arial"/>
          <w:sz w:val="22"/>
          <w:szCs w:val="22"/>
        </w:rPr>
        <w:t>marginalised</w:t>
      </w:r>
      <w:r w:rsidRPr="00044249">
        <w:rPr>
          <w:rFonts w:ascii="Arial" w:hAnsi="Arial" w:cs="Arial"/>
          <w:sz w:val="22"/>
          <w:szCs w:val="22"/>
        </w:rPr>
        <w:t xml:space="preserve"> cohorts (Anandhakrishnan et al., 2025b). To </w:t>
      </w:r>
      <w:r w:rsidR="007878C2">
        <w:rPr>
          <w:rFonts w:ascii="Arial" w:hAnsi="Arial" w:cs="Arial"/>
          <w:sz w:val="22"/>
          <w:szCs w:val="22"/>
        </w:rPr>
        <w:t>maximise</w:t>
      </w:r>
      <w:r w:rsidRPr="00044249">
        <w:rPr>
          <w:rFonts w:ascii="Arial" w:hAnsi="Arial" w:cs="Arial"/>
          <w:sz w:val="22"/>
          <w:szCs w:val="22"/>
        </w:rPr>
        <w:t xml:space="preserve"> the efficiency and equity of this digital innovation, the NHS must actively dismantle socio-structural appointment barriers and digital literacy divides within the community (</w:t>
      </w:r>
      <w:proofErr w:type="spellStart"/>
      <w:r w:rsidRPr="00044249">
        <w:rPr>
          <w:rFonts w:ascii="Arial" w:hAnsi="Arial" w:cs="Arial"/>
          <w:sz w:val="22"/>
          <w:szCs w:val="22"/>
        </w:rPr>
        <w:t>Balafshan</w:t>
      </w:r>
      <w:proofErr w:type="spellEnd"/>
      <w:r w:rsidRPr="00044249">
        <w:rPr>
          <w:rFonts w:ascii="Arial" w:hAnsi="Arial" w:cs="Arial"/>
          <w:sz w:val="22"/>
          <w:szCs w:val="22"/>
        </w:rPr>
        <w:t xml:space="preserve"> et al., 2025). Only by correcting these systemic access asymmetries can the health service transform HCL from a luxury tool into a universal standard of equitable public care.</w:t>
      </w:r>
    </w:p>
    <w:p w14:paraId="03A4A603" w14:textId="77777777" w:rsidR="00044249" w:rsidRDefault="00044249" w:rsidP="00C57E2E">
      <w:pPr>
        <w:spacing w:line="360" w:lineRule="auto"/>
        <w:rPr>
          <w:rFonts w:ascii="Arial" w:hAnsi="Arial" w:cs="Arial"/>
          <w:sz w:val="22"/>
          <w:szCs w:val="22"/>
        </w:rPr>
      </w:pPr>
    </w:p>
    <w:p w14:paraId="72C608FB" w14:textId="77777777" w:rsidR="007D5589" w:rsidRDefault="007D5589" w:rsidP="00C57E2E">
      <w:pPr>
        <w:spacing w:line="360" w:lineRule="auto"/>
        <w:rPr>
          <w:rFonts w:ascii="Arial" w:hAnsi="Arial" w:cs="Arial"/>
          <w:sz w:val="22"/>
          <w:szCs w:val="22"/>
        </w:rPr>
      </w:pPr>
    </w:p>
    <w:p w14:paraId="2718D6A2" w14:textId="324095F8" w:rsidR="00C57E2E" w:rsidRDefault="00B800B8" w:rsidP="00C57E2E">
      <w:pPr>
        <w:spacing w:line="360" w:lineRule="auto"/>
        <w:rPr>
          <w:rFonts w:ascii="Arial" w:hAnsi="Arial" w:cs="Arial"/>
          <w:b/>
          <w:bCs/>
          <w:sz w:val="22"/>
          <w:szCs w:val="22"/>
          <w:u w:val="single"/>
        </w:rPr>
      </w:pPr>
      <w:r w:rsidRPr="003E4D56">
        <w:rPr>
          <w:rFonts w:ascii="Arial" w:hAnsi="Arial" w:cs="Arial"/>
          <w:b/>
          <w:bCs/>
          <w:sz w:val="22"/>
          <w:szCs w:val="22"/>
          <w:u w:val="single"/>
        </w:rPr>
        <w:lastRenderedPageBreak/>
        <w:t xml:space="preserve">6.0 </w:t>
      </w:r>
      <w:r w:rsidR="007D5589" w:rsidRPr="003E4D56">
        <w:rPr>
          <w:rFonts w:ascii="Arial" w:hAnsi="Arial" w:cs="Arial"/>
          <w:b/>
          <w:bCs/>
          <w:sz w:val="22"/>
          <w:szCs w:val="22"/>
          <w:u w:val="single"/>
        </w:rPr>
        <w:t xml:space="preserve">Discussion and </w:t>
      </w:r>
      <w:r w:rsidRPr="003E4D56">
        <w:rPr>
          <w:rFonts w:ascii="Arial" w:hAnsi="Arial" w:cs="Arial"/>
          <w:b/>
          <w:bCs/>
          <w:sz w:val="22"/>
          <w:szCs w:val="22"/>
          <w:u w:val="single"/>
        </w:rPr>
        <w:t>Conclusion</w:t>
      </w:r>
    </w:p>
    <w:p w14:paraId="5522C087" w14:textId="691BE7C0" w:rsidR="00F4465F" w:rsidRPr="00F4465F" w:rsidRDefault="00F4465F" w:rsidP="00F4465F">
      <w:pPr>
        <w:spacing w:line="360" w:lineRule="auto"/>
        <w:rPr>
          <w:rFonts w:ascii="Arial" w:hAnsi="Arial" w:cs="Arial"/>
          <w:sz w:val="22"/>
          <w:szCs w:val="22"/>
        </w:rPr>
      </w:pPr>
      <w:r w:rsidRPr="00F4465F">
        <w:rPr>
          <w:rFonts w:ascii="Arial" w:hAnsi="Arial" w:cs="Arial"/>
          <w:sz w:val="22"/>
          <w:szCs w:val="22"/>
        </w:rPr>
        <w:t xml:space="preserve">This thematic analysis highlights that the national rollout of Hybrid Closed-Loop (HCL) systems is a complex sociotechnical challenge, rather than a simple medical device distribution. </w:t>
      </w:r>
      <w:r>
        <w:rPr>
          <w:rFonts w:ascii="Arial" w:hAnsi="Arial" w:cs="Arial"/>
          <w:sz w:val="22"/>
          <w:szCs w:val="22"/>
        </w:rPr>
        <w:t>Synthesising</w:t>
      </w:r>
      <w:r w:rsidRPr="00F4465F">
        <w:rPr>
          <w:rFonts w:ascii="Arial" w:hAnsi="Arial" w:cs="Arial"/>
          <w:sz w:val="22"/>
          <w:szCs w:val="22"/>
        </w:rPr>
        <w:t xml:space="preserve"> the evidence across workforce, service delivery, and patient perspectives reveals a clear tension between advanced technological capability and existing NHS structural constraints. While the data confirms profound long-term </w:t>
      </w:r>
      <w:r w:rsidRPr="00F4465F">
        <w:rPr>
          <w:rFonts w:ascii="Arial" w:hAnsi="Arial" w:cs="Arial"/>
          <w:sz w:val="22"/>
          <w:szCs w:val="22"/>
        </w:rPr>
        <w:t>glycaemic</w:t>
      </w:r>
      <w:r w:rsidRPr="00F4465F">
        <w:rPr>
          <w:rFonts w:ascii="Arial" w:hAnsi="Arial" w:cs="Arial"/>
          <w:sz w:val="22"/>
          <w:szCs w:val="22"/>
        </w:rPr>
        <w:t xml:space="preserve"> and psychosocial improvements, these benefits are actively throttled by initial clinic backlogs, uneven professional digital confidence, and systemic socioeconomic barriers to access. Critically, these findings indicate that deploying automated healthcare innovations without structural adjustments</w:t>
      </w:r>
      <w:r w:rsidR="003051D2">
        <w:rPr>
          <w:rFonts w:ascii="Arial" w:hAnsi="Arial" w:cs="Arial"/>
          <w:sz w:val="22"/>
          <w:szCs w:val="22"/>
        </w:rPr>
        <w:t xml:space="preserve"> - </w:t>
      </w:r>
      <w:r w:rsidRPr="00F4465F">
        <w:rPr>
          <w:rFonts w:ascii="Arial" w:hAnsi="Arial" w:cs="Arial"/>
          <w:sz w:val="22"/>
          <w:szCs w:val="22"/>
        </w:rPr>
        <w:t>such as ring-fenced infrastructure funding and interactive, tailored education</w:t>
      </w:r>
      <w:r w:rsidR="003051D2">
        <w:rPr>
          <w:rFonts w:ascii="Arial" w:hAnsi="Arial" w:cs="Arial"/>
          <w:sz w:val="22"/>
          <w:szCs w:val="22"/>
        </w:rPr>
        <w:t xml:space="preserve"> - </w:t>
      </w:r>
      <w:r w:rsidRPr="00F4465F">
        <w:rPr>
          <w:rFonts w:ascii="Arial" w:hAnsi="Arial" w:cs="Arial"/>
          <w:sz w:val="22"/>
          <w:szCs w:val="22"/>
        </w:rPr>
        <w:t>will inadvertently widen existing health disparities rather than close them.</w:t>
      </w:r>
    </w:p>
    <w:p w14:paraId="3140E6F1" w14:textId="77C13175" w:rsidR="00F4465F" w:rsidRPr="00F4465F" w:rsidRDefault="00F4465F" w:rsidP="00F4465F">
      <w:pPr>
        <w:spacing w:line="360" w:lineRule="auto"/>
        <w:rPr>
          <w:rFonts w:ascii="Arial" w:hAnsi="Arial" w:cs="Arial"/>
          <w:sz w:val="22"/>
          <w:szCs w:val="22"/>
        </w:rPr>
      </w:pPr>
      <w:r w:rsidRPr="00F4465F">
        <w:rPr>
          <w:rFonts w:ascii="Arial" w:hAnsi="Arial" w:cs="Arial"/>
          <w:sz w:val="22"/>
          <w:szCs w:val="22"/>
        </w:rPr>
        <w:t xml:space="preserve">Ultimately, for the NHS to successfully </w:t>
      </w:r>
      <w:r w:rsidR="003051D2">
        <w:rPr>
          <w:rFonts w:ascii="Arial" w:hAnsi="Arial" w:cs="Arial"/>
          <w:sz w:val="22"/>
          <w:szCs w:val="22"/>
        </w:rPr>
        <w:t>realise</w:t>
      </w:r>
      <w:r w:rsidRPr="00F4465F">
        <w:rPr>
          <w:rFonts w:ascii="Arial" w:hAnsi="Arial" w:cs="Arial"/>
          <w:sz w:val="22"/>
          <w:szCs w:val="22"/>
        </w:rPr>
        <w:t xml:space="preserve"> the ambitions outlined in the </w:t>
      </w:r>
      <w:r w:rsidRPr="00F4465F">
        <w:rPr>
          <w:rFonts w:ascii="Arial" w:hAnsi="Arial" w:cs="Arial"/>
          <w:i/>
          <w:iCs/>
          <w:sz w:val="22"/>
          <w:szCs w:val="22"/>
        </w:rPr>
        <w:t>Plan for Digital Health and Social Care</w:t>
      </w:r>
      <w:r w:rsidRPr="00F4465F">
        <w:rPr>
          <w:rFonts w:ascii="Arial" w:hAnsi="Arial" w:cs="Arial"/>
          <w:sz w:val="22"/>
          <w:szCs w:val="22"/>
        </w:rPr>
        <w:t xml:space="preserve">, future implementation frameworks must evolve beyond a focus on the technology itself. Achieving a sustainable, ethical rollout requires a systemic commitment to </w:t>
      </w:r>
      <w:r w:rsidR="000E42C6">
        <w:rPr>
          <w:rFonts w:ascii="Arial" w:hAnsi="Arial" w:cs="Arial"/>
          <w:sz w:val="22"/>
          <w:szCs w:val="22"/>
        </w:rPr>
        <w:t>stabilising</w:t>
      </w:r>
      <w:r w:rsidRPr="00F4465F">
        <w:rPr>
          <w:rFonts w:ascii="Arial" w:hAnsi="Arial" w:cs="Arial"/>
          <w:sz w:val="22"/>
          <w:szCs w:val="22"/>
        </w:rPr>
        <w:t xml:space="preserve"> clinic resource capacity, providing interactive 1-to-1 or small-group training for both staff and service users, and actively dismantling </w:t>
      </w:r>
      <w:r w:rsidR="000E42C6">
        <w:rPr>
          <w:rFonts w:ascii="Arial" w:hAnsi="Arial" w:cs="Arial"/>
          <w:sz w:val="22"/>
          <w:szCs w:val="22"/>
        </w:rPr>
        <w:t>localised</w:t>
      </w:r>
      <w:r w:rsidRPr="00F4465F">
        <w:rPr>
          <w:rFonts w:ascii="Arial" w:hAnsi="Arial" w:cs="Arial"/>
          <w:sz w:val="22"/>
          <w:szCs w:val="22"/>
        </w:rPr>
        <w:t xml:space="preserve"> postcode lotteries. Only by addressing these underlying operational and structural inequalities can the health service transform HCL therapy from an exclusive clinical privilege into a universal, equitable standard of public care.</w:t>
      </w:r>
    </w:p>
    <w:p w14:paraId="4964B662" w14:textId="77777777" w:rsidR="007D5589" w:rsidRDefault="007D5589" w:rsidP="00C57E2E">
      <w:pPr>
        <w:spacing w:line="360" w:lineRule="auto"/>
        <w:rPr>
          <w:rFonts w:ascii="Arial" w:hAnsi="Arial" w:cs="Arial"/>
          <w:sz w:val="22"/>
          <w:szCs w:val="22"/>
        </w:rPr>
      </w:pPr>
    </w:p>
    <w:p w14:paraId="68F67939" w14:textId="77777777" w:rsidR="00B800B8" w:rsidRDefault="00B800B8" w:rsidP="00C57E2E">
      <w:pPr>
        <w:spacing w:line="360" w:lineRule="auto"/>
        <w:rPr>
          <w:rFonts w:ascii="Arial" w:hAnsi="Arial" w:cs="Arial"/>
          <w:sz w:val="22"/>
          <w:szCs w:val="22"/>
        </w:rPr>
      </w:pPr>
    </w:p>
    <w:p w14:paraId="7D8AFA30" w14:textId="77777777" w:rsidR="00E76C9A" w:rsidRDefault="00E76C9A" w:rsidP="00C57E2E">
      <w:pPr>
        <w:spacing w:line="360" w:lineRule="auto"/>
        <w:rPr>
          <w:rFonts w:ascii="Arial" w:hAnsi="Arial" w:cs="Arial"/>
          <w:sz w:val="22"/>
          <w:szCs w:val="22"/>
        </w:rPr>
      </w:pPr>
    </w:p>
    <w:p w14:paraId="2071FEC8" w14:textId="77777777" w:rsidR="00E76C9A" w:rsidRDefault="00E76C9A" w:rsidP="00A846E7">
      <w:pPr>
        <w:rPr>
          <w:rFonts w:ascii="Arial" w:hAnsi="Arial" w:cs="Arial"/>
          <w:sz w:val="22"/>
          <w:szCs w:val="22"/>
        </w:rPr>
      </w:pPr>
    </w:p>
    <w:p w14:paraId="76FAC7A9" w14:textId="77777777" w:rsidR="00E76C9A" w:rsidRDefault="00E76C9A" w:rsidP="00A846E7">
      <w:pPr>
        <w:rPr>
          <w:rFonts w:ascii="Arial" w:hAnsi="Arial" w:cs="Arial"/>
          <w:sz w:val="22"/>
          <w:szCs w:val="22"/>
        </w:rPr>
      </w:pPr>
    </w:p>
    <w:p w14:paraId="3204FBD0" w14:textId="77777777" w:rsidR="00E76C9A" w:rsidRDefault="00E76C9A" w:rsidP="00A846E7">
      <w:pPr>
        <w:rPr>
          <w:rFonts w:ascii="Arial" w:hAnsi="Arial" w:cs="Arial"/>
          <w:sz w:val="22"/>
          <w:szCs w:val="22"/>
        </w:rPr>
      </w:pPr>
    </w:p>
    <w:p w14:paraId="3BE7BB64" w14:textId="77777777" w:rsidR="00E76C9A" w:rsidRDefault="00E76C9A" w:rsidP="00A846E7">
      <w:pPr>
        <w:rPr>
          <w:rFonts w:ascii="Arial" w:hAnsi="Arial" w:cs="Arial"/>
          <w:sz w:val="22"/>
          <w:szCs w:val="22"/>
        </w:rPr>
      </w:pPr>
    </w:p>
    <w:p w14:paraId="389038D2" w14:textId="77777777" w:rsidR="00E76C9A" w:rsidRDefault="00E76C9A" w:rsidP="00A846E7">
      <w:pPr>
        <w:rPr>
          <w:rFonts w:ascii="Arial" w:hAnsi="Arial" w:cs="Arial"/>
          <w:sz w:val="22"/>
          <w:szCs w:val="22"/>
        </w:rPr>
      </w:pPr>
    </w:p>
    <w:p w14:paraId="3778B658" w14:textId="77777777" w:rsidR="00E76C9A" w:rsidRDefault="00E76C9A" w:rsidP="00A846E7">
      <w:pPr>
        <w:rPr>
          <w:rFonts w:ascii="Arial" w:hAnsi="Arial" w:cs="Arial"/>
          <w:sz w:val="22"/>
          <w:szCs w:val="22"/>
        </w:rPr>
      </w:pPr>
    </w:p>
    <w:p w14:paraId="4638EC16" w14:textId="77777777" w:rsidR="00E76C9A" w:rsidRDefault="00E76C9A" w:rsidP="00A846E7">
      <w:pPr>
        <w:rPr>
          <w:rFonts w:ascii="Arial" w:hAnsi="Arial" w:cs="Arial"/>
          <w:sz w:val="22"/>
          <w:szCs w:val="22"/>
        </w:rPr>
      </w:pPr>
    </w:p>
    <w:p w14:paraId="152FFAA1" w14:textId="77777777" w:rsidR="00E76C9A" w:rsidRDefault="00E76C9A" w:rsidP="00A846E7">
      <w:pPr>
        <w:rPr>
          <w:rFonts w:ascii="Arial" w:hAnsi="Arial" w:cs="Arial"/>
          <w:sz w:val="22"/>
          <w:szCs w:val="22"/>
        </w:rPr>
      </w:pPr>
    </w:p>
    <w:p w14:paraId="02782E09" w14:textId="77777777" w:rsidR="00E76C9A" w:rsidRDefault="00E76C9A" w:rsidP="00A846E7">
      <w:pPr>
        <w:rPr>
          <w:rFonts w:ascii="Arial" w:hAnsi="Arial" w:cs="Arial"/>
          <w:sz w:val="22"/>
          <w:szCs w:val="22"/>
        </w:rPr>
      </w:pPr>
    </w:p>
    <w:p w14:paraId="2AA30AA4" w14:textId="77777777" w:rsidR="006C2DF8" w:rsidRDefault="006C2DF8" w:rsidP="00A846E7">
      <w:pPr>
        <w:rPr>
          <w:rFonts w:ascii="Arial" w:hAnsi="Arial" w:cs="Arial"/>
          <w:sz w:val="22"/>
          <w:szCs w:val="22"/>
        </w:rPr>
      </w:pPr>
    </w:p>
    <w:p w14:paraId="504D22A5" w14:textId="23A5CC80" w:rsidR="00A846E7" w:rsidRPr="006C2DF8" w:rsidRDefault="00A846E7" w:rsidP="00A846E7">
      <w:pPr>
        <w:rPr>
          <w:rFonts w:ascii="Arial" w:hAnsi="Arial" w:cs="Arial"/>
          <w:b/>
          <w:bCs/>
          <w:sz w:val="22"/>
          <w:szCs w:val="22"/>
          <w:u w:val="single"/>
        </w:rPr>
      </w:pPr>
      <w:r w:rsidRPr="006C2DF8">
        <w:rPr>
          <w:rFonts w:ascii="Arial" w:hAnsi="Arial" w:cs="Arial"/>
          <w:b/>
          <w:bCs/>
          <w:sz w:val="22"/>
          <w:szCs w:val="22"/>
          <w:u w:val="single"/>
        </w:rPr>
        <w:lastRenderedPageBreak/>
        <w:t>References</w:t>
      </w:r>
    </w:p>
    <w:p w14:paraId="28C4C4D8" w14:textId="77777777" w:rsidR="00A06FBA" w:rsidRDefault="00A06FBA">
      <w:pPr>
        <w:rPr>
          <w:rFonts w:ascii="Arial" w:hAnsi="Arial" w:cs="Arial"/>
          <w:sz w:val="22"/>
          <w:szCs w:val="22"/>
        </w:rPr>
      </w:pPr>
      <w:r w:rsidRPr="004A3AEC">
        <w:rPr>
          <w:rFonts w:ascii="Arial" w:hAnsi="Arial" w:cs="Arial"/>
          <w:sz w:val="22"/>
          <w:szCs w:val="22"/>
        </w:rPr>
        <w:t xml:space="preserve">Anandhakrishnan, A., </w:t>
      </w:r>
      <w:proofErr w:type="spellStart"/>
      <w:r w:rsidRPr="004A3AEC">
        <w:rPr>
          <w:rFonts w:ascii="Arial" w:hAnsi="Arial" w:cs="Arial"/>
          <w:sz w:val="22"/>
          <w:szCs w:val="22"/>
        </w:rPr>
        <w:t>Liarakos</w:t>
      </w:r>
      <w:proofErr w:type="spellEnd"/>
      <w:r w:rsidRPr="004A3AEC">
        <w:rPr>
          <w:rFonts w:ascii="Arial" w:hAnsi="Arial" w:cs="Arial"/>
          <w:sz w:val="22"/>
          <w:szCs w:val="22"/>
        </w:rPr>
        <w:t xml:space="preserve">, A. L., </w:t>
      </w:r>
      <w:proofErr w:type="spellStart"/>
      <w:r w:rsidRPr="004A3AEC">
        <w:rPr>
          <w:rFonts w:ascii="Arial" w:hAnsi="Arial" w:cs="Arial"/>
          <w:sz w:val="22"/>
          <w:szCs w:val="22"/>
        </w:rPr>
        <w:t>Dhatariya</w:t>
      </w:r>
      <w:proofErr w:type="spellEnd"/>
      <w:r w:rsidRPr="004A3AEC">
        <w:rPr>
          <w:rFonts w:ascii="Arial" w:hAnsi="Arial" w:cs="Arial"/>
          <w:sz w:val="22"/>
          <w:szCs w:val="22"/>
        </w:rPr>
        <w:t>, K., Gallen, G., Choudhary, P., Lumb, A., Wilmot, E. G., &amp; Hussain, S. (2025</w:t>
      </w:r>
      <w:r>
        <w:rPr>
          <w:rFonts w:ascii="Arial" w:hAnsi="Arial" w:cs="Arial"/>
          <w:sz w:val="22"/>
          <w:szCs w:val="22"/>
        </w:rPr>
        <w:t>b</w:t>
      </w:r>
      <w:r w:rsidRPr="004A3AEC">
        <w:rPr>
          <w:rFonts w:ascii="Arial" w:hAnsi="Arial" w:cs="Arial"/>
          <w:sz w:val="22"/>
          <w:szCs w:val="22"/>
        </w:rPr>
        <w:t xml:space="preserve">). </w:t>
      </w:r>
      <w:r>
        <w:rPr>
          <w:rFonts w:ascii="Arial" w:hAnsi="Arial" w:cs="Arial"/>
          <w:sz w:val="22"/>
          <w:szCs w:val="22"/>
        </w:rPr>
        <w:t>‘</w:t>
      </w:r>
      <w:r w:rsidRPr="004A3AEC">
        <w:rPr>
          <w:rFonts w:ascii="Arial" w:hAnsi="Arial" w:cs="Arial"/>
          <w:sz w:val="22"/>
          <w:szCs w:val="22"/>
        </w:rPr>
        <w:t>Hybrid closed</w:t>
      </w:r>
      <w:r w:rsidRPr="004A3AEC">
        <w:rPr>
          <w:rFonts w:ascii="Cambria Math" w:hAnsi="Cambria Math" w:cs="Cambria Math"/>
          <w:sz w:val="22"/>
          <w:szCs w:val="22"/>
        </w:rPr>
        <w:t>‐</w:t>
      </w:r>
      <w:r w:rsidRPr="004A3AEC">
        <w:rPr>
          <w:rFonts w:ascii="Arial" w:hAnsi="Arial" w:cs="Arial"/>
          <w:sz w:val="22"/>
          <w:szCs w:val="22"/>
        </w:rPr>
        <w:t>loop systems in UK type 1 diabetes care: National survey of healthcare professional awareness, confidence, and training needs.</w:t>
      </w:r>
      <w:r>
        <w:rPr>
          <w:rFonts w:ascii="Arial" w:hAnsi="Arial" w:cs="Arial"/>
          <w:sz w:val="22"/>
          <w:szCs w:val="22"/>
        </w:rPr>
        <w:t>’</w:t>
      </w:r>
      <w:r w:rsidRPr="004A3AEC">
        <w:rPr>
          <w:rFonts w:ascii="Arial" w:hAnsi="Arial" w:cs="Arial"/>
          <w:sz w:val="22"/>
          <w:szCs w:val="22"/>
        </w:rPr>
        <w:t> </w:t>
      </w:r>
      <w:r w:rsidRPr="004A3AEC">
        <w:rPr>
          <w:rFonts w:ascii="Arial" w:hAnsi="Arial" w:cs="Arial"/>
          <w:i/>
          <w:iCs/>
          <w:sz w:val="22"/>
          <w:szCs w:val="22"/>
        </w:rPr>
        <w:t>Diabetes, Obesity &amp; Metabolism</w:t>
      </w:r>
      <w:r w:rsidRPr="004A3AEC">
        <w:rPr>
          <w:rFonts w:ascii="Arial" w:hAnsi="Arial" w:cs="Arial"/>
          <w:sz w:val="22"/>
          <w:szCs w:val="22"/>
        </w:rPr>
        <w:t>, </w:t>
      </w:r>
      <w:r w:rsidRPr="004A3AEC">
        <w:rPr>
          <w:rFonts w:ascii="Arial" w:hAnsi="Arial" w:cs="Arial"/>
          <w:i/>
          <w:iCs/>
          <w:sz w:val="22"/>
          <w:szCs w:val="22"/>
        </w:rPr>
        <w:t>27</w:t>
      </w:r>
      <w:r w:rsidRPr="004A3AEC">
        <w:rPr>
          <w:rFonts w:ascii="Arial" w:hAnsi="Arial" w:cs="Arial"/>
          <w:sz w:val="22"/>
          <w:szCs w:val="22"/>
        </w:rPr>
        <w:t xml:space="preserve">(11), 6353–6366. </w:t>
      </w:r>
      <w:r>
        <w:rPr>
          <w:rFonts w:ascii="Arial" w:hAnsi="Arial" w:cs="Arial"/>
          <w:sz w:val="22"/>
          <w:szCs w:val="22"/>
        </w:rPr>
        <w:t xml:space="preserve">Available at: </w:t>
      </w:r>
      <w:hyperlink r:id="rId10" w:history="1">
        <w:r w:rsidRPr="00E3723D">
          <w:rPr>
            <w:rStyle w:val="Hyperlink"/>
            <w:rFonts w:ascii="Arial" w:hAnsi="Arial" w:cs="Arial"/>
            <w:sz w:val="22"/>
            <w:szCs w:val="22"/>
          </w:rPr>
          <w:t>https://doi.org/10.1111/dom.70027</w:t>
        </w:r>
      </w:hyperlink>
      <w:r>
        <w:rPr>
          <w:rFonts w:ascii="Arial" w:hAnsi="Arial" w:cs="Arial"/>
          <w:sz w:val="22"/>
          <w:szCs w:val="22"/>
        </w:rPr>
        <w:t>. Accessed on: 26</w:t>
      </w:r>
      <w:r w:rsidRPr="004A3AEC">
        <w:rPr>
          <w:rFonts w:ascii="Arial" w:hAnsi="Arial" w:cs="Arial"/>
          <w:sz w:val="22"/>
          <w:szCs w:val="22"/>
          <w:vertAlign w:val="superscript"/>
        </w:rPr>
        <w:t>th</w:t>
      </w:r>
      <w:r>
        <w:rPr>
          <w:rFonts w:ascii="Arial" w:hAnsi="Arial" w:cs="Arial"/>
          <w:sz w:val="22"/>
          <w:szCs w:val="22"/>
        </w:rPr>
        <w:t xml:space="preserve"> June 2026.</w:t>
      </w:r>
    </w:p>
    <w:p w14:paraId="1FC06B69" w14:textId="77777777" w:rsidR="00A06FBA" w:rsidRDefault="00A06FBA">
      <w:pPr>
        <w:rPr>
          <w:rFonts w:ascii="Arial" w:hAnsi="Arial" w:cs="Arial"/>
          <w:sz w:val="22"/>
          <w:szCs w:val="22"/>
        </w:rPr>
      </w:pPr>
      <w:r w:rsidRPr="004A3AEC">
        <w:rPr>
          <w:rFonts w:ascii="Arial" w:hAnsi="Arial" w:cs="Arial"/>
          <w:sz w:val="22"/>
          <w:szCs w:val="22"/>
        </w:rPr>
        <w:t xml:space="preserve">Anandhakrishnan, A., Pender, S., Johnston, T., Hyslop, R., Liu, Y., Kariyawasam, D., Brackenridge, A., </w:t>
      </w:r>
      <w:proofErr w:type="spellStart"/>
      <w:r w:rsidRPr="004A3AEC">
        <w:rPr>
          <w:rFonts w:ascii="Arial" w:hAnsi="Arial" w:cs="Arial"/>
          <w:sz w:val="22"/>
          <w:szCs w:val="22"/>
        </w:rPr>
        <w:t>Karalliedde</w:t>
      </w:r>
      <w:proofErr w:type="spellEnd"/>
      <w:r w:rsidRPr="004A3AEC">
        <w:rPr>
          <w:rFonts w:ascii="Arial" w:hAnsi="Arial" w:cs="Arial"/>
          <w:sz w:val="22"/>
          <w:szCs w:val="22"/>
        </w:rPr>
        <w:t>, J., &amp; Hussain, S. (2025</w:t>
      </w:r>
      <w:r>
        <w:rPr>
          <w:rFonts w:ascii="Arial" w:hAnsi="Arial" w:cs="Arial"/>
          <w:sz w:val="22"/>
          <w:szCs w:val="22"/>
        </w:rPr>
        <w:t>a</w:t>
      </w:r>
      <w:r w:rsidRPr="004A3AEC">
        <w:rPr>
          <w:rFonts w:ascii="Arial" w:hAnsi="Arial" w:cs="Arial"/>
          <w:sz w:val="22"/>
          <w:szCs w:val="22"/>
        </w:rPr>
        <w:t xml:space="preserve">). </w:t>
      </w:r>
      <w:r>
        <w:rPr>
          <w:rFonts w:ascii="Arial" w:hAnsi="Arial" w:cs="Arial"/>
          <w:sz w:val="22"/>
          <w:szCs w:val="22"/>
        </w:rPr>
        <w:t>‘</w:t>
      </w:r>
      <w:r w:rsidRPr="004A3AEC">
        <w:rPr>
          <w:rFonts w:ascii="Arial" w:hAnsi="Arial" w:cs="Arial"/>
          <w:sz w:val="22"/>
          <w:szCs w:val="22"/>
        </w:rPr>
        <w:t>Ethnicity and socioeconomic status do not influence glycaemic outcomes of a tubeless hybrid closed</w:t>
      </w:r>
      <w:r w:rsidRPr="004A3AEC">
        <w:rPr>
          <w:rFonts w:ascii="Cambria Math" w:hAnsi="Cambria Math" w:cs="Cambria Math"/>
          <w:sz w:val="22"/>
          <w:szCs w:val="22"/>
        </w:rPr>
        <w:t>‐</w:t>
      </w:r>
      <w:r w:rsidRPr="004A3AEC">
        <w:rPr>
          <w:rFonts w:ascii="Arial" w:hAnsi="Arial" w:cs="Arial"/>
          <w:sz w:val="22"/>
          <w:szCs w:val="22"/>
        </w:rPr>
        <w:t>loop system (</w:t>
      </w:r>
      <w:proofErr w:type="spellStart"/>
      <w:r w:rsidRPr="004A3AEC">
        <w:rPr>
          <w:rFonts w:ascii="Arial" w:hAnsi="Arial" w:cs="Arial"/>
          <w:sz w:val="22"/>
          <w:szCs w:val="22"/>
        </w:rPr>
        <w:t>Omnipod</w:t>
      </w:r>
      <w:proofErr w:type="spellEnd"/>
      <w:r w:rsidRPr="004A3AEC">
        <w:rPr>
          <w:rFonts w:ascii="Arial" w:hAnsi="Arial" w:cs="Arial"/>
          <w:sz w:val="22"/>
          <w:szCs w:val="22"/>
        </w:rPr>
        <w:t>® 5) in adults with type 1 diabetes.</w:t>
      </w:r>
      <w:r>
        <w:rPr>
          <w:rFonts w:ascii="Arial" w:hAnsi="Arial" w:cs="Arial"/>
          <w:sz w:val="22"/>
          <w:szCs w:val="22"/>
        </w:rPr>
        <w:t>’</w:t>
      </w:r>
      <w:r w:rsidRPr="004A3AEC">
        <w:rPr>
          <w:rFonts w:ascii="Arial" w:hAnsi="Arial" w:cs="Arial"/>
          <w:sz w:val="22"/>
          <w:szCs w:val="22"/>
        </w:rPr>
        <w:t> </w:t>
      </w:r>
      <w:r w:rsidRPr="004A3AEC">
        <w:rPr>
          <w:rFonts w:ascii="Arial" w:hAnsi="Arial" w:cs="Arial"/>
          <w:i/>
          <w:iCs/>
          <w:sz w:val="22"/>
          <w:szCs w:val="22"/>
        </w:rPr>
        <w:t>Diabetes, Obesity &amp; Metabolism</w:t>
      </w:r>
      <w:r w:rsidRPr="004A3AEC">
        <w:rPr>
          <w:rFonts w:ascii="Arial" w:hAnsi="Arial" w:cs="Arial"/>
          <w:sz w:val="22"/>
          <w:szCs w:val="22"/>
        </w:rPr>
        <w:t>, </w:t>
      </w:r>
      <w:r w:rsidRPr="004A3AEC">
        <w:rPr>
          <w:rFonts w:ascii="Arial" w:hAnsi="Arial" w:cs="Arial"/>
          <w:i/>
          <w:iCs/>
          <w:sz w:val="22"/>
          <w:szCs w:val="22"/>
        </w:rPr>
        <w:t>27</w:t>
      </w:r>
      <w:r w:rsidRPr="004A3AEC">
        <w:rPr>
          <w:rFonts w:ascii="Arial" w:hAnsi="Arial" w:cs="Arial"/>
          <w:sz w:val="22"/>
          <w:szCs w:val="22"/>
        </w:rPr>
        <w:t xml:space="preserve">(9), 5052–5063. </w:t>
      </w:r>
      <w:r>
        <w:rPr>
          <w:rFonts w:ascii="Arial" w:hAnsi="Arial" w:cs="Arial"/>
          <w:sz w:val="22"/>
          <w:szCs w:val="22"/>
        </w:rPr>
        <w:t xml:space="preserve">Available at: </w:t>
      </w:r>
      <w:r w:rsidRPr="004A3AEC">
        <w:rPr>
          <w:rFonts w:ascii="Arial" w:hAnsi="Arial" w:cs="Arial"/>
          <w:sz w:val="22"/>
          <w:szCs w:val="22"/>
        </w:rPr>
        <w:t xml:space="preserve">https://doi.org/10.1111/dom.16553. </w:t>
      </w:r>
      <w:r>
        <w:rPr>
          <w:rFonts w:ascii="Arial" w:hAnsi="Arial" w:cs="Arial"/>
          <w:sz w:val="22"/>
          <w:szCs w:val="22"/>
        </w:rPr>
        <w:t>Accessed on: 26</w:t>
      </w:r>
      <w:r w:rsidRPr="004A3AEC">
        <w:rPr>
          <w:rFonts w:ascii="Arial" w:hAnsi="Arial" w:cs="Arial"/>
          <w:sz w:val="22"/>
          <w:szCs w:val="22"/>
          <w:vertAlign w:val="superscript"/>
        </w:rPr>
        <w:t>th</w:t>
      </w:r>
      <w:r>
        <w:rPr>
          <w:rFonts w:ascii="Arial" w:hAnsi="Arial" w:cs="Arial"/>
          <w:sz w:val="22"/>
          <w:szCs w:val="22"/>
        </w:rPr>
        <w:t xml:space="preserve"> June 2026.</w:t>
      </w:r>
    </w:p>
    <w:p w14:paraId="33E565ED" w14:textId="77777777" w:rsidR="00A06FBA" w:rsidRPr="00A846E7" w:rsidRDefault="00A06FBA">
      <w:pPr>
        <w:rPr>
          <w:rFonts w:ascii="Arial" w:hAnsi="Arial" w:cs="Arial"/>
          <w:sz w:val="22"/>
          <w:szCs w:val="22"/>
        </w:rPr>
      </w:pPr>
      <w:r w:rsidRPr="001E2F09">
        <w:rPr>
          <w:rFonts w:ascii="Arial" w:hAnsi="Arial" w:cs="Arial"/>
          <w:sz w:val="22"/>
          <w:szCs w:val="22"/>
        </w:rPr>
        <w:t>Aveyard, H. (2023). </w:t>
      </w:r>
      <w:r>
        <w:rPr>
          <w:rFonts w:ascii="Arial" w:hAnsi="Arial" w:cs="Arial"/>
          <w:sz w:val="22"/>
          <w:szCs w:val="22"/>
        </w:rPr>
        <w:t>‘</w:t>
      </w:r>
      <w:r w:rsidRPr="001E2F09">
        <w:rPr>
          <w:rFonts w:ascii="Arial" w:hAnsi="Arial" w:cs="Arial"/>
          <w:sz w:val="22"/>
          <w:szCs w:val="22"/>
        </w:rPr>
        <w:t xml:space="preserve">Doing a literature review in health and social </w:t>
      </w:r>
      <w:proofErr w:type="gramStart"/>
      <w:r w:rsidRPr="001E2F09">
        <w:rPr>
          <w:rFonts w:ascii="Arial" w:hAnsi="Arial" w:cs="Arial"/>
          <w:sz w:val="22"/>
          <w:szCs w:val="22"/>
        </w:rPr>
        <w:t>care :</w:t>
      </w:r>
      <w:proofErr w:type="gramEnd"/>
      <w:r w:rsidRPr="001E2F09">
        <w:rPr>
          <w:rFonts w:ascii="Arial" w:hAnsi="Arial" w:cs="Arial"/>
          <w:sz w:val="22"/>
          <w:szCs w:val="22"/>
        </w:rPr>
        <w:t xml:space="preserve"> a practical guide (Fifth edition).</w:t>
      </w:r>
      <w:r>
        <w:rPr>
          <w:rFonts w:ascii="Arial" w:hAnsi="Arial" w:cs="Arial"/>
          <w:sz w:val="22"/>
          <w:szCs w:val="22"/>
        </w:rPr>
        <w:t>’</w:t>
      </w:r>
      <w:r w:rsidRPr="001E2F09">
        <w:rPr>
          <w:rFonts w:ascii="Arial" w:hAnsi="Arial" w:cs="Arial"/>
          <w:sz w:val="22"/>
          <w:szCs w:val="22"/>
        </w:rPr>
        <w:t xml:space="preserve"> </w:t>
      </w:r>
      <w:r w:rsidRPr="001E2F09">
        <w:rPr>
          <w:rFonts w:ascii="Arial" w:hAnsi="Arial" w:cs="Arial"/>
          <w:i/>
          <w:iCs/>
          <w:sz w:val="22"/>
          <w:szCs w:val="22"/>
        </w:rPr>
        <w:t>Open University Press</w:t>
      </w:r>
      <w:r w:rsidRPr="001E2F09">
        <w:rPr>
          <w:rFonts w:ascii="Arial" w:hAnsi="Arial" w:cs="Arial"/>
          <w:sz w:val="22"/>
          <w:szCs w:val="22"/>
        </w:rPr>
        <w:t xml:space="preserve">. </w:t>
      </w:r>
      <w:r>
        <w:rPr>
          <w:rFonts w:ascii="Arial" w:hAnsi="Arial" w:cs="Arial"/>
          <w:sz w:val="22"/>
          <w:szCs w:val="22"/>
        </w:rPr>
        <w:t xml:space="preserve">Available at: </w:t>
      </w:r>
      <w:hyperlink r:id="rId11" w:history="1">
        <w:r w:rsidRPr="00BB1D4C">
          <w:rPr>
            <w:rStyle w:val="Hyperlink"/>
            <w:rFonts w:ascii="Arial" w:hAnsi="Arial" w:cs="Arial"/>
            <w:sz w:val="22"/>
            <w:szCs w:val="22"/>
          </w:rPr>
          <w:t>https://ezproxy.uwtsd.ac.uk/login?url=https://www.vlebooks.com/product/openreader?id=TrinityStD&amp;accId=8886856&amp;isbn=9780335251957&amp;uid=^u</w:t>
        </w:r>
      </w:hyperlink>
      <w:r>
        <w:rPr>
          <w:rFonts w:ascii="Arial" w:hAnsi="Arial" w:cs="Arial"/>
          <w:sz w:val="22"/>
          <w:szCs w:val="22"/>
        </w:rPr>
        <w:t>. Accessed on: 1</w:t>
      </w:r>
      <w:r w:rsidRPr="001E2F09">
        <w:rPr>
          <w:rFonts w:ascii="Arial" w:hAnsi="Arial" w:cs="Arial"/>
          <w:sz w:val="22"/>
          <w:szCs w:val="22"/>
          <w:vertAlign w:val="superscript"/>
        </w:rPr>
        <w:t>st</w:t>
      </w:r>
      <w:r>
        <w:rPr>
          <w:rFonts w:ascii="Arial" w:hAnsi="Arial" w:cs="Arial"/>
          <w:sz w:val="22"/>
          <w:szCs w:val="22"/>
        </w:rPr>
        <w:t xml:space="preserve"> July 2026</w:t>
      </w:r>
    </w:p>
    <w:p w14:paraId="0283F338" w14:textId="77777777" w:rsidR="00A06FBA" w:rsidRDefault="00A06FBA" w:rsidP="00A846E7">
      <w:pPr>
        <w:rPr>
          <w:rFonts w:ascii="Arial" w:hAnsi="Arial" w:cs="Arial"/>
          <w:sz w:val="22"/>
          <w:szCs w:val="22"/>
        </w:rPr>
      </w:pPr>
      <w:proofErr w:type="spellStart"/>
      <w:r w:rsidRPr="00E539CE">
        <w:rPr>
          <w:rFonts w:ascii="Arial" w:hAnsi="Arial" w:cs="Arial"/>
          <w:sz w:val="22"/>
          <w:szCs w:val="22"/>
        </w:rPr>
        <w:t>Balafshan</w:t>
      </w:r>
      <w:proofErr w:type="spellEnd"/>
      <w:r w:rsidRPr="00E539CE">
        <w:rPr>
          <w:rFonts w:ascii="Arial" w:hAnsi="Arial" w:cs="Arial"/>
          <w:sz w:val="22"/>
          <w:szCs w:val="22"/>
        </w:rPr>
        <w:t xml:space="preserve">, T., Sullivan, H., Keigan, S., Wilson, A., &amp; Oyedeji, I. (2025). </w:t>
      </w:r>
      <w:r>
        <w:rPr>
          <w:rFonts w:ascii="Arial" w:hAnsi="Arial" w:cs="Arial"/>
          <w:sz w:val="22"/>
          <w:szCs w:val="22"/>
        </w:rPr>
        <w:t>‘</w:t>
      </w:r>
      <w:r w:rsidRPr="00E539CE">
        <w:rPr>
          <w:rFonts w:ascii="Arial" w:hAnsi="Arial" w:cs="Arial"/>
          <w:sz w:val="22"/>
          <w:szCs w:val="22"/>
        </w:rPr>
        <w:t>Revolutionising young adult diabetes care: a patient-centred transformation to improve access, engagement and outcomes in one of England’s most deprived areas.</w:t>
      </w:r>
      <w:r>
        <w:rPr>
          <w:rFonts w:ascii="Arial" w:hAnsi="Arial" w:cs="Arial"/>
          <w:sz w:val="22"/>
          <w:szCs w:val="22"/>
        </w:rPr>
        <w:t>’</w:t>
      </w:r>
      <w:r w:rsidRPr="00E539CE">
        <w:rPr>
          <w:rFonts w:ascii="Arial" w:hAnsi="Arial" w:cs="Arial"/>
          <w:sz w:val="22"/>
          <w:szCs w:val="22"/>
        </w:rPr>
        <w:t> </w:t>
      </w:r>
      <w:r w:rsidRPr="00E539CE">
        <w:rPr>
          <w:rFonts w:ascii="Arial" w:hAnsi="Arial" w:cs="Arial"/>
          <w:i/>
          <w:iCs/>
          <w:sz w:val="22"/>
          <w:szCs w:val="22"/>
        </w:rPr>
        <w:t>Future Healthcare Journal</w:t>
      </w:r>
      <w:r w:rsidRPr="00E539CE">
        <w:rPr>
          <w:rFonts w:ascii="Arial" w:hAnsi="Arial" w:cs="Arial"/>
          <w:sz w:val="22"/>
          <w:szCs w:val="22"/>
        </w:rPr>
        <w:t>, </w:t>
      </w:r>
      <w:r w:rsidRPr="00E539CE">
        <w:rPr>
          <w:rFonts w:ascii="Arial" w:hAnsi="Arial" w:cs="Arial"/>
          <w:i/>
          <w:iCs/>
          <w:sz w:val="22"/>
          <w:szCs w:val="22"/>
        </w:rPr>
        <w:t>12</w:t>
      </w:r>
      <w:r w:rsidRPr="00E539CE">
        <w:rPr>
          <w:rFonts w:ascii="Arial" w:hAnsi="Arial" w:cs="Arial"/>
          <w:sz w:val="22"/>
          <w:szCs w:val="22"/>
        </w:rPr>
        <w:t>(2), Article 100431.</w:t>
      </w:r>
      <w:r>
        <w:rPr>
          <w:rFonts w:ascii="Arial" w:hAnsi="Arial" w:cs="Arial"/>
          <w:sz w:val="22"/>
          <w:szCs w:val="22"/>
        </w:rPr>
        <w:t xml:space="preserve"> Available at:</w:t>
      </w:r>
      <w:r w:rsidRPr="00E539CE">
        <w:rPr>
          <w:rFonts w:ascii="Arial" w:hAnsi="Arial" w:cs="Arial"/>
          <w:sz w:val="22"/>
          <w:szCs w:val="22"/>
        </w:rPr>
        <w:t xml:space="preserve"> </w:t>
      </w:r>
      <w:hyperlink r:id="rId12" w:history="1">
        <w:r w:rsidRPr="00E3723D">
          <w:rPr>
            <w:rStyle w:val="Hyperlink"/>
            <w:rFonts w:ascii="Arial" w:hAnsi="Arial" w:cs="Arial"/>
            <w:sz w:val="22"/>
            <w:szCs w:val="22"/>
          </w:rPr>
          <w:t>https://doi.org/10.1016/j.fhj.2025.100431</w:t>
        </w:r>
      </w:hyperlink>
      <w:r>
        <w:rPr>
          <w:rFonts w:ascii="Arial" w:hAnsi="Arial" w:cs="Arial"/>
          <w:sz w:val="22"/>
          <w:szCs w:val="22"/>
        </w:rPr>
        <w:t>. Accessed on: 28</w:t>
      </w:r>
      <w:r w:rsidRPr="00E539CE">
        <w:rPr>
          <w:rFonts w:ascii="Arial" w:hAnsi="Arial" w:cs="Arial"/>
          <w:sz w:val="22"/>
          <w:szCs w:val="22"/>
          <w:vertAlign w:val="superscript"/>
        </w:rPr>
        <w:t>th</w:t>
      </w:r>
      <w:r>
        <w:rPr>
          <w:rFonts w:ascii="Arial" w:hAnsi="Arial" w:cs="Arial"/>
          <w:sz w:val="22"/>
          <w:szCs w:val="22"/>
        </w:rPr>
        <w:t xml:space="preserve"> June 2026.</w:t>
      </w:r>
    </w:p>
    <w:p w14:paraId="1B164EB6" w14:textId="77777777" w:rsidR="00A06FBA" w:rsidRDefault="00A06FBA">
      <w:pPr>
        <w:rPr>
          <w:rFonts w:ascii="Arial" w:hAnsi="Arial" w:cs="Arial"/>
          <w:sz w:val="22"/>
          <w:szCs w:val="22"/>
        </w:rPr>
      </w:pPr>
      <w:r>
        <w:rPr>
          <w:rFonts w:ascii="Arial" w:hAnsi="Arial" w:cs="Arial"/>
          <w:sz w:val="22"/>
          <w:szCs w:val="22"/>
        </w:rPr>
        <w:t xml:space="preserve">Department of Health and Social Care (2022). ‘A Plan for Digital Health and Social Care’. </w:t>
      </w:r>
      <w:r w:rsidRPr="00677A3A">
        <w:rPr>
          <w:rFonts w:ascii="Arial" w:hAnsi="Arial" w:cs="Arial"/>
          <w:i/>
          <w:iCs/>
          <w:sz w:val="22"/>
          <w:szCs w:val="22"/>
        </w:rPr>
        <w:t>Policy paper</w:t>
      </w:r>
      <w:r>
        <w:rPr>
          <w:rFonts w:ascii="Arial" w:hAnsi="Arial" w:cs="Arial"/>
          <w:sz w:val="22"/>
          <w:szCs w:val="22"/>
        </w:rPr>
        <w:t xml:space="preserve">. Available at: </w:t>
      </w:r>
      <w:hyperlink r:id="rId13" w:history="1">
        <w:r w:rsidRPr="00677A3A">
          <w:rPr>
            <w:rStyle w:val="Hyperlink"/>
            <w:rFonts w:ascii="Arial" w:hAnsi="Arial" w:cs="Arial"/>
            <w:sz w:val="22"/>
            <w:szCs w:val="22"/>
          </w:rPr>
          <w:t>A plan for digital health and social care - GOV.UK</w:t>
        </w:r>
      </w:hyperlink>
      <w:r>
        <w:rPr>
          <w:rFonts w:ascii="Arial" w:hAnsi="Arial" w:cs="Arial"/>
          <w:sz w:val="22"/>
          <w:szCs w:val="22"/>
        </w:rPr>
        <w:t>. Accessed on: 19</w:t>
      </w:r>
      <w:r w:rsidRPr="00677A3A">
        <w:rPr>
          <w:rFonts w:ascii="Arial" w:hAnsi="Arial" w:cs="Arial"/>
          <w:sz w:val="22"/>
          <w:szCs w:val="22"/>
          <w:vertAlign w:val="superscript"/>
        </w:rPr>
        <w:t>th</w:t>
      </w:r>
      <w:r>
        <w:rPr>
          <w:rFonts w:ascii="Arial" w:hAnsi="Arial" w:cs="Arial"/>
          <w:sz w:val="22"/>
          <w:szCs w:val="22"/>
        </w:rPr>
        <w:t xml:space="preserve"> June 2026.</w:t>
      </w:r>
    </w:p>
    <w:p w14:paraId="41D66BC5" w14:textId="77777777" w:rsidR="00A06FBA" w:rsidRDefault="00A06FBA">
      <w:pPr>
        <w:rPr>
          <w:rFonts w:ascii="Arial" w:hAnsi="Arial" w:cs="Arial"/>
          <w:sz w:val="22"/>
          <w:szCs w:val="22"/>
        </w:rPr>
      </w:pPr>
      <w:r>
        <w:rPr>
          <w:rFonts w:ascii="Arial" w:hAnsi="Arial" w:cs="Arial"/>
          <w:sz w:val="22"/>
          <w:szCs w:val="22"/>
        </w:rPr>
        <w:t xml:space="preserve">Department of Health and Social Care (2023). ‘Digital Working in Adult Social Care: What Good Looks Like’. </w:t>
      </w:r>
      <w:r w:rsidRPr="00244CFB">
        <w:rPr>
          <w:rFonts w:ascii="Arial" w:hAnsi="Arial" w:cs="Arial"/>
          <w:i/>
          <w:iCs/>
          <w:sz w:val="22"/>
          <w:szCs w:val="22"/>
        </w:rPr>
        <w:t>Guidance</w:t>
      </w:r>
      <w:r>
        <w:rPr>
          <w:rFonts w:ascii="Arial" w:hAnsi="Arial" w:cs="Arial"/>
          <w:sz w:val="22"/>
          <w:szCs w:val="22"/>
        </w:rPr>
        <w:t xml:space="preserve">. Available at: </w:t>
      </w:r>
      <w:hyperlink r:id="rId14" w:history="1">
        <w:r w:rsidRPr="00244CFB">
          <w:rPr>
            <w:rStyle w:val="Hyperlink"/>
            <w:rFonts w:ascii="Arial" w:hAnsi="Arial" w:cs="Arial"/>
            <w:sz w:val="22"/>
            <w:szCs w:val="22"/>
          </w:rPr>
          <w:t>Digital working in adult social care: What Good Looks Like - GOV.UK</w:t>
        </w:r>
      </w:hyperlink>
      <w:r>
        <w:rPr>
          <w:rFonts w:ascii="Arial" w:hAnsi="Arial" w:cs="Arial"/>
          <w:sz w:val="22"/>
          <w:szCs w:val="22"/>
        </w:rPr>
        <w:t>. Accessed on: 20</w:t>
      </w:r>
      <w:r w:rsidRPr="00244CFB">
        <w:rPr>
          <w:rFonts w:ascii="Arial" w:hAnsi="Arial" w:cs="Arial"/>
          <w:sz w:val="22"/>
          <w:szCs w:val="22"/>
          <w:vertAlign w:val="superscript"/>
        </w:rPr>
        <w:t>th</w:t>
      </w:r>
      <w:r>
        <w:rPr>
          <w:rFonts w:ascii="Arial" w:hAnsi="Arial" w:cs="Arial"/>
          <w:sz w:val="22"/>
          <w:szCs w:val="22"/>
        </w:rPr>
        <w:t xml:space="preserve"> June 2026.</w:t>
      </w:r>
    </w:p>
    <w:p w14:paraId="59F13244" w14:textId="77777777" w:rsidR="00A06FBA" w:rsidRDefault="00A06FBA">
      <w:pPr>
        <w:rPr>
          <w:rFonts w:ascii="Arial" w:hAnsi="Arial" w:cs="Arial"/>
          <w:sz w:val="22"/>
          <w:szCs w:val="22"/>
        </w:rPr>
      </w:pPr>
      <w:r>
        <w:rPr>
          <w:rFonts w:ascii="Arial" w:hAnsi="Arial" w:cs="Arial"/>
          <w:sz w:val="22"/>
          <w:szCs w:val="22"/>
        </w:rPr>
        <w:t>Diabetes UK (2025). ‘Closed Loop Systems’</w:t>
      </w:r>
      <w:r w:rsidRPr="006E2AFB">
        <w:rPr>
          <w:rFonts w:ascii="Arial" w:hAnsi="Arial" w:cs="Arial"/>
          <w:i/>
          <w:iCs/>
          <w:sz w:val="22"/>
          <w:szCs w:val="22"/>
        </w:rPr>
        <w:t>. Diabetes technology</w:t>
      </w:r>
      <w:r>
        <w:rPr>
          <w:rFonts w:ascii="Arial" w:hAnsi="Arial" w:cs="Arial"/>
          <w:sz w:val="22"/>
          <w:szCs w:val="22"/>
        </w:rPr>
        <w:t xml:space="preserve">. Available at: </w:t>
      </w:r>
      <w:hyperlink r:id="rId15" w:history="1">
        <w:r w:rsidRPr="006E2AFB">
          <w:rPr>
            <w:rStyle w:val="Hyperlink"/>
            <w:rFonts w:ascii="Arial" w:hAnsi="Arial" w:cs="Arial"/>
            <w:sz w:val="22"/>
            <w:szCs w:val="22"/>
          </w:rPr>
          <w:t>What are closed loop systems? | Diabetes UK</w:t>
        </w:r>
      </w:hyperlink>
      <w:r>
        <w:rPr>
          <w:rFonts w:ascii="Arial" w:hAnsi="Arial" w:cs="Arial"/>
          <w:sz w:val="22"/>
          <w:szCs w:val="22"/>
        </w:rPr>
        <w:t>. Accessed on: 20</w:t>
      </w:r>
      <w:r w:rsidRPr="006E2AFB">
        <w:rPr>
          <w:rFonts w:ascii="Arial" w:hAnsi="Arial" w:cs="Arial"/>
          <w:sz w:val="22"/>
          <w:szCs w:val="22"/>
          <w:vertAlign w:val="superscript"/>
        </w:rPr>
        <w:t>th</w:t>
      </w:r>
      <w:r>
        <w:rPr>
          <w:rFonts w:ascii="Arial" w:hAnsi="Arial" w:cs="Arial"/>
          <w:sz w:val="22"/>
          <w:szCs w:val="22"/>
        </w:rPr>
        <w:t xml:space="preserve"> June 2026.</w:t>
      </w:r>
    </w:p>
    <w:p w14:paraId="15224268" w14:textId="77777777" w:rsidR="00A06FBA" w:rsidRPr="00A846E7" w:rsidRDefault="00A06FBA" w:rsidP="00A846E7">
      <w:pPr>
        <w:rPr>
          <w:rFonts w:ascii="Arial" w:hAnsi="Arial" w:cs="Arial"/>
          <w:sz w:val="22"/>
          <w:szCs w:val="22"/>
        </w:rPr>
      </w:pPr>
      <w:r w:rsidRPr="004A3AEC">
        <w:rPr>
          <w:rFonts w:ascii="Arial" w:hAnsi="Arial" w:cs="Arial"/>
          <w:sz w:val="22"/>
          <w:szCs w:val="22"/>
        </w:rPr>
        <w:t xml:space="preserve">Hagan, J., Griffin, T. P., Chauhan, R., Choudhary, P., Crabtree, T. S. J., Ackroyd, D., Wilmot, E. G., Narendran, P., Bawlchhim, Z., Elliott, J., &amp; </w:t>
      </w:r>
      <w:proofErr w:type="spellStart"/>
      <w:r w:rsidRPr="004A3AEC">
        <w:rPr>
          <w:rFonts w:ascii="Arial" w:hAnsi="Arial" w:cs="Arial"/>
          <w:sz w:val="22"/>
          <w:szCs w:val="22"/>
        </w:rPr>
        <w:t>Hadjiconstantinou</w:t>
      </w:r>
      <w:proofErr w:type="spellEnd"/>
      <w:r w:rsidRPr="004A3AEC">
        <w:rPr>
          <w:rFonts w:ascii="Arial" w:hAnsi="Arial" w:cs="Arial"/>
          <w:sz w:val="22"/>
          <w:szCs w:val="22"/>
        </w:rPr>
        <w:t xml:space="preserve">, M. (2026). </w:t>
      </w:r>
      <w:r>
        <w:rPr>
          <w:rFonts w:ascii="Arial" w:hAnsi="Arial" w:cs="Arial"/>
          <w:sz w:val="22"/>
          <w:szCs w:val="22"/>
        </w:rPr>
        <w:t>‘</w:t>
      </w:r>
      <w:r w:rsidRPr="004A3AEC">
        <w:rPr>
          <w:rFonts w:ascii="Arial" w:hAnsi="Arial" w:cs="Arial"/>
          <w:sz w:val="22"/>
          <w:szCs w:val="22"/>
        </w:rPr>
        <w:t>Exploring the Use of Hybrid Closed</w:t>
      </w:r>
      <w:r w:rsidRPr="004A3AEC">
        <w:rPr>
          <w:rFonts w:ascii="Cambria Math" w:hAnsi="Cambria Math" w:cs="Cambria Math"/>
          <w:sz w:val="22"/>
          <w:szCs w:val="22"/>
        </w:rPr>
        <w:t>‐</w:t>
      </w:r>
      <w:r w:rsidRPr="004A3AEC">
        <w:rPr>
          <w:rFonts w:ascii="Arial" w:hAnsi="Arial" w:cs="Arial"/>
          <w:sz w:val="22"/>
          <w:szCs w:val="22"/>
        </w:rPr>
        <w:t xml:space="preserve">Loop Systems in People </w:t>
      </w:r>
      <w:proofErr w:type="gramStart"/>
      <w:r w:rsidRPr="004A3AEC">
        <w:rPr>
          <w:rFonts w:ascii="Arial" w:hAnsi="Arial" w:cs="Arial"/>
          <w:sz w:val="22"/>
          <w:szCs w:val="22"/>
        </w:rPr>
        <w:t>With</w:t>
      </w:r>
      <w:proofErr w:type="gramEnd"/>
      <w:r w:rsidRPr="004A3AEC">
        <w:rPr>
          <w:rFonts w:ascii="Arial" w:hAnsi="Arial" w:cs="Arial"/>
          <w:sz w:val="22"/>
          <w:szCs w:val="22"/>
        </w:rPr>
        <w:t xml:space="preserve"> Type 1 Diabetes and Their Partners: A Qualitative Evaluation </w:t>
      </w:r>
      <w:proofErr w:type="gramStart"/>
      <w:r w:rsidRPr="004A3AEC">
        <w:rPr>
          <w:rFonts w:ascii="Arial" w:hAnsi="Arial" w:cs="Arial"/>
          <w:sz w:val="22"/>
          <w:szCs w:val="22"/>
        </w:rPr>
        <w:t>From</w:t>
      </w:r>
      <w:proofErr w:type="gramEnd"/>
      <w:r w:rsidRPr="004A3AEC">
        <w:rPr>
          <w:rFonts w:ascii="Arial" w:hAnsi="Arial" w:cs="Arial"/>
          <w:sz w:val="22"/>
          <w:szCs w:val="22"/>
        </w:rPr>
        <w:t xml:space="preserve"> the NHS England Pilot.</w:t>
      </w:r>
      <w:r>
        <w:rPr>
          <w:rFonts w:ascii="Arial" w:hAnsi="Arial" w:cs="Arial"/>
          <w:sz w:val="22"/>
          <w:szCs w:val="22"/>
        </w:rPr>
        <w:t>’</w:t>
      </w:r>
      <w:r w:rsidRPr="004A3AEC">
        <w:rPr>
          <w:rFonts w:ascii="Arial" w:hAnsi="Arial" w:cs="Arial"/>
          <w:sz w:val="22"/>
          <w:szCs w:val="22"/>
        </w:rPr>
        <w:t> </w:t>
      </w:r>
      <w:r w:rsidRPr="004A3AEC">
        <w:rPr>
          <w:rFonts w:ascii="Arial" w:hAnsi="Arial" w:cs="Arial"/>
          <w:i/>
          <w:iCs/>
          <w:sz w:val="22"/>
          <w:szCs w:val="22"/>
        </w:rPr>
        <w:t>Journal of Diabetes Research</w:t>
      </w:r>
      <w:r w:rsidRPr="004A3AEC">
        <w:rPr>
          <w:rFonts w:ascii="Arial" w:hAnsi="Arial" w:cs="Arial"/>
          <w:sz w:val="22"/>
          <w:szCs w:val="22"/>
        </w:rPr>
        <w:t>, </w:t>
      </w:r>
      <w:r w:rsidRPr="004A3AEC">
        <w:rPr>
          <w:rFonts w:ascii="Arial" w:hAnsi="Arial" w:cs="Arial"/>
          <w:i/>
          <w:iCs/>
          <w:sz w:val="22"/>
          <w:szCs w:val="22"/>
        </w:rPr>
        <w:t>2026</w:t>
      </w:r>
      <w:r w:rsidRPr="004A3AEC">
        <w:rPr>
          <w:rFonts w:ascii="Arial" w:hAnsi="Arial" w:cs="Arial"/>
          <w:sz w:val="22"/>
          <w:szCs w:val="22"/>
        </w:rPr>
        <w:t xml:space="preserve">(1), 1997861. </w:t>
      </w:r>
      <w:r>
        <w:rPr>
          <w:rFonts w:ascii="Arial" w:hAnsi="Arial" w:cs="Arial"/>
          <w:sz w:val="22"/>
          <w:szCs w:val="22"/>
        </w:rPr>
        <w:t xml:space="preserve">Available at: </w:t>
      </w:r>
      <w:hyperlink r:id="rId16" w:history="1">
        <w:r w:rsidRPr="00E3723D">
          <w:rPr>
            <w:rStyle w:val="Hyperlink"/>
            <w:rFonts w:ascii="Arial" w:hAnsi="Arial" w:cs="Arial"/>
            <w:sz w:val="22"/>
            <w:szCs w:val="22"/>
          </w:rPr>
          <w:t>https://doi.org/10.1155/jdr/1997861</w:t>
        </w:r>
      </w:hyperlink>
      <w:r>
        <w:rPr>
          <w:rFonts w:ascii="Arial" w:hAnsi="Arial" w:cs="Arial"/>
          <w:sz w:val="22"/>
          <w:szCs w:val="22"/>
        </w:rPr>
        <w:t>. Accessed on: 25</w:t>
      </w:r>
      <w:r w:rsidRPr="004A3AEC">
        <w:rPr>
          <w:rFonts w:ascii="Arial" w:hAnsi="Arial" w:cs="Arial"/>
          <w:sz w:val="22"/>
          <w:szCs w:val="22"/>
          <w:vertAlign w:val="superscript"/>
        </w:rPr>
        <w:t>th</w:t>
      </w:r>
      <w:r>
        <w:rPr>
          <w:rFonts w:ascii="Arial" w:hAnsi="Arial" w:cs="Arial"/>
          <w:sz w:val="22"/>
          <w:szCs w:val="22"/>
        </w:rPr>
        <w:t xml:space="preserve"> June 2026</w:t>
      </w:r>
    </w:p>
    <w:p w14:paraId="5E5A523E" w14:textId="77777777" w:rsidR="00A06FBA" w:rsidRDefault="00A06FBA" w:rsidP="00A846E7">
      <w:pPr>
        <w:rPr>
          <w:rFonts w:ascii="Arial" w:hAnsi="Arial" w:cs="Arial"/>
          <w:sz w:val="22"/>
          <w:szCs w:val="22"/>
        </w:rPr>
      </w:pPr>
      <w:r w:rsidRPr="00A846E7">
        <w:rPr>
          <w:rFonts w:ascii="Arial" w:hAnsi="Arial" w:cs="Arial"/>
          <w:sz w:val="22"/>
          <w:szCs w:val="22"/>
        </w:rPr>
        <w:t xml:space="preserve">Khan, M. S., Sivanantham, S., Farouk, L., </w:t>
      </w:r>
      <w:proofErr w:type="spellStart"/>
      <w:r w:rsidRPr="00A846E7">
        <w:rPr>
          <w:rFonts w:ascii="Arial" w:hAnsi="Arial" w:cs="Arial"/>
          <w:sz w:val="22"/>
          <w:szCs w:val="22"/>
        </w:rPr>
        <w:t>Lakshmareddy</w:t>
      </w:r>
      <w:proofErr w:type="spellEnd"/>
      <w:r w:rsidRPr="00A846E7">
        <w:rPr>
          <w:rFonts w:ascii="Arial" w:hAnsi="Arial" w:cs="Arial"/>
          <w:sz w:val="22"/>
          <w:szCs w:val="22"/>
        </w:rPr>
        <w:t xml:space="preserve">, D. R., De Scolasticis, S., Cresta, E., </w:t>
      </w:r>
      <w:proofErr w:type="spellStart"/>
      <w:r w:rsidRPr="00A846E7">
        <w:rPr>
          <w:rFonts w:ascii="Arial" w:hAnsi="Arial" w:cs="Arial"/>
          <w:sz w:val="22"/>
          <w:szCs w:val="22"/>
        </w:rPr>
        <w:t>Godsland</w:t>
      </w:r>
      <w:proofErr w:type="spellEnd"/>
      <w:r w:rsidRPr="00A846E7">
        <w:rPr>
          <w:rFonts w:ascii="Arial" w:hAnsi="Arial" w:cs="Arial"/>
          <w:sz w:val="22"/>
          <w:szCs w:val="22"/>
        </w:rPr>
        <w:t xml:space="preserve">, I., Avari, P., Oliver, N., </w:t>
      </w:r>
      <w:proofErr w:type="spellStart"/>
      <w:r w:rsidRPr="00A846E7">
        <w:rPr>
          <w:rFonts w:ascii="Arial" w:hAnsi="Arial" w:cs="Arial"/>
          <w:sz w:val="22"/>
          <w:szCs w:val="22"/>
        </w:rPr>
        <w:t>Leelarathna</w:t>
      </w:r>
      <w:proofErr w:type="spellEnd"/>
      <w:r w:rsidRPr="00A846E7">
        <w:rPr>
          <w:rFonts w:ascii="Arial" w:hAnsi="Arial" w:cs="Arial"/>
          <w:sz w:val="22"/>
          <w:szCs w:val="22"/>
        </w:rPr>
        <w:t xml:space="preserve">, L., &amp; Reddy, M. (2026). </w:t>
      </w:r>
      <w:r>
        <w:rPr>
          <w:rFonts w:ascii="Arial" w:hAnsi="Arial" w:cs="Arial"/>
          <w:sz w:val="22"/>
          <w:szCs w:val="22"/>
        </w:rPr>
        <w:t>‘</w:t>
      </w:r>
      <w:r w:rsidRPr="00A846E7">
        <w:rPr>
          <w:rFonts w:ascii="Arial" w:hAnsi="Arial" w:cs="Arial"/>
          <w:sz w:val="22"/>
          <w:szCs w:val="22"/>
        </w:rPr>
        <w:t>Real</w:t>
      </w:r>
      <w:r w:rsidRPr="00A846E7">
        <w:rPr>
          <w:rFonts w:ascii="Cambria Math" w:hAnsi="Cambria Math" w:cs="Cambria Math"/>
          <w:sz w:val="22"/>
          <w:szCs w:val="22"/>
        </w:rPr>
        <w:t>‐</w:t>
      </w:r>
      <w:r w:rsidRPr="00A846E7">
        <w:rPr>
          <w:rFonts w:ascii="Arial" w:hAnsi="Arial" w:cs="Arial"/>
          <w:sz w:val="22"/>
          <w:szCs w:val="22"/>
        </w:rPr>
        <w:t>world glycaemic outcomes observed with the use of Medtronic 780G, Tandem Control</w:t>
      </w:r>
      <w:r w:rsidRPr="00A846E7">
        <w:rPr>
          <w:rFonts w:ascii="Cambria Math" w:hAnsi="Cambria Math" w:cs="Cambria Math"/>
          <w:sz w:val="22"/>
          <w:szCs w:val="22"/>
        </w:rPr>
        <w:t>‐</w:t>
      </w:r>
      <w:r w:rsidRPr="00A846E7">
        <w:rPr>
          <w:rFonts w:ascii="Arial" w:hAnsi="Arial" w:cs="Arial"/>
          <w:sz w:val="22"/>
          <w:szCs w:val="22"/>
        </w:rPr>
        <w:t xml:space="preserve">IQ and </w:t>
      </w:r>
      <w:proofErr w:type="spellStart"/>
      <w:r w:rsidRPr="00A846E7">
        <w:rPr>
          <w:rFonts w:ascii="Arial" w:hAnsi="Arial" w:cs="Arial"/>
          <w:sz w:val="22"/>
          <w:szCs w:val="22"/>
        </w:rPr>
        <w:t>Omnipod</w:t>
      </w:r>
      <w:proofErr w:type="spellEnd"/>
      <w:r w:rsidRPr="00A846E7">
        <w:rPr>
          <w:rFonts w:ascii="Arial" w:hAnsi="Arial" w:cs="Arial"/>
          <w:sz w:val="22"/>
          <w:szCs w:val="22"/>
        </w:rPr>
        <w:t xml:space="preserve"> 5 automated insulin delivery systems.</w:t>
      </w:r>
      <w:r>
        <w:rPr>
          <w:rFonts w:ascii="Arial" w:hAnsi="Arial" w:cs="Arial"/>
          <w:sz w:val="22"/>
          <w:szCs w:val="22"/>
        </w:rPr>
        <w:t>’</w:t>
      </w:r>
      <w:r w:rsidRPr="00A846E7">
        <w:rPr>
          <w:rFonts w:ascii="Arial" w:hAnsi="Arial" w:cs="Arial"/>
          <w:sz w:val="22"/>
          <w:szCs w:val="22"/>
        </w:rPr>
        <w:t> </w:t>
      </w:r>
      <w:r w:rsidRPr="00A846E7">
        <w:rPr>
          <w:rFonts w:ascii="Arial" w:hAnsi="Arial" w:cs="Arial"/>
          <w:i/>
          <w:iCs/>
          <w:sz w:val="22"/>
          <w:szCs w:val="22"/>
        </w:rPr>
        <w:t>Diabetic Medicine</w:t>
      </w:r>
      <w:r w:rsidRPr="00A846E7">
        <w:rPr>
          <w:rFonts w:ascii="Arial" w:hAnsi="Arial" w:cs="Arial"/>
          <w:sz w:val="22"/>
          <w:szCs w:val="22"/>
        </w:rPr>
        <w:t>, </w:t>
      </w:r>
      <w:r w:rsidRPr="00A846E7">
        <w:rPr>
          <w:rFonts w:ascii="Arial" w:hAnsi="Arial" w:cs="Arial"/>
          <w:i/>
          <w:iCs/>
          <w:sz w:val="22"/>
          <w:szCs w:val="22"/>
        </w:rPr>
        <w:t>43</w:t>
      </w:r>
      <w:r w:rsidRPr="00A846E7">
        <w:rPr>
          <w:rFonts w:ascii="Arial" w:hAnsi="Arial" w:cs="Arial"/>
          <w:sz w:val="22"/>
          <w:szCs w:val="22"/>
        </w:rPr>
        <w:t xml:space="preserve">(5), e70251-n/a. </w:t>
      </w:r>
      <w:r>
        <w:rPr>
          <w:rFonts w:ascii="Arial" w:hAnsi="Arial" w:cs="Arial"/>
          <w:sz w:val="22"/>
          <w:szCs w:val="22"/>
        </w:rPr>
        <w:t xml:space="preserve">Available at: </w:t>
      </w:r>
      <w:hyperlink r:id="rId17" w:history="1">
        <w:r w:rsidRPr="00E3723D">
          <w:rPr>
            <w:rStyle w:val="Hyperlink"/>
            <w:rFonts w:ascii="Arial" w:hAnsi="Arial" w:cs="Arial"/>
            <w:sz w:val="22"/>
            <w:szCs w:val="22"/>
          </w:rPr>
          <w:t>https://doi.org/10.1111/dme.70251</w:t>
        </w:r>
      </w:hyperlink>
      <w:r>
        <w:rPr>
          <w:rFonts w:ascii="Arial" w:hAnsi="Arial" w:cs="Arial"/>
          <w:sz w:val="22"/>
          <w:szCs w:val="22"/>
        </w:rPr>
        <w:t>. Accessed on 25</w:t>
      </w:r>
      <w:r w:rsidRPr="004A3AEC">
        <w:rPr>
          <w:rFonts w:ascii="Arial" w:hAnsi="Arial" w:cs="Arial"/>
          <w:sz w:val="22"/>
          <w:szCs w:val="22"/>
          <w:vertAlign w:val="superscript"/>
        </w:rPr>
        <w:t>th</w:t>
      </w:r>
      <w:r>
        <w:rPr>
          <w:rFonts w:ascii="Arial" w:hAnsi="Arial" w:cs="Arial"/>
          <w:sz w:val="22"/>
          <w:szCs w:val="22"/>
        </w:rPr>
        <w:t xml:space="preserve"> June 2026.</w:t>
      </w:r>
    </w:p>
    <w:p w14:paraId="4A11F2C8" w14:textId="77777777" w:rsidR="00A06FBA" w:rsidRDefault="00A06FBA">
      <w:pPr>
        <w:rPr>
          <w:rFonts w:ascii="Arial" w:hAnsi="Arial" w:cs="Arial"/>
          <w:sz w:val="22"/>
          <w:szCs w:val="22"/>
        </w:rPr>
      </w:pPr>
      <w:r w:rsidRPr="00D642DD">
        <w:rPr>
          <w:rFonts w:ascii="Arial" w:hAnsi="Arial" w:cs="Arial"/>
          <w:sz w:val="22"/>
          <w:szCs w:val="22"/>
        </w:rPr>
        <w:t xml:space="preserve">Kieu A, King J, Govender RD, </w:t>
      </w:r>
      <w:proofErr w:type="spellStart"/>
      <w:r w:rsidRPr="00D642DD">
        <w:rPr>
          <w:rFonts w:ascii="Arial" w:hAnsi="Arial" w:cs="Arial"/>
          <w:sz w:val="22"/>
          <w:szCs w:val="22"/>
        </w:rPr>
        <w:t>Östlundh</w:t>
      </w:r>
      <w:proofErr w:type="spellEnd"/>
      <w:r w:rsidRPr="00D642DD">
        <w:rPr>
          <w:rFonts w:ascii="Arial" w:hAnsi="Arial" w:cs="Arial"/>
          <w:sz w:val="22"/>
          <w:szCs w:val="22"/>
        </w:rPr>
        <w:t xml:space="preserve"> L. </w:t>
      </w:r>
      <w:r>
        <w:rPr>
          <w:rFonts w:ascii="Arial" w:hAnsi="Arial" w:cs="Arial"/>
          <w:sz w:val="22"/>
          <w:szCs w:val="22"/>
        </w:rPr>
        <w:t>‘</w:t>
      </w:r>
      <w:r w:rsidRPr="00D642DD">
        <w:rPr>
          <w:rFonts w:ascii="Arial" w:hAnsi="Arial" w:cs="Arial"/>
          <w:sz w:val="22"/>
          <w:szCs w:val="22"/>
        </w:rPr>
        <w:t>The Benefits of Utilizing Continuous Glucose Monitoring of Diabetes Mellitus in Primary Care: A Systematic Review.</w:t>
      </w:r>
      <w:r>
        <w:rPr>
          <w:rFonts w:ascii="Arial" w:hAnsi="Arial" w:cs="Arial"/>
          <w:sz w:val="22"/>
          <w:szCs w:val="22"/>
        </w:rPr>
        <w:t>’</w:t>
      </w:r>
      <w:r w:rsidRPr="00D642DD">
        <w:rPr>
          <w:rFonts w:ascii="Arial" w:hAnsi="Arial" w:cs="Arial"/>
          <w:sz w:val="22"/>
          <w:szCs w:val="22"/>
        </w:rPr>
        <w:t> </w:t>
      </w:r>
      <w:r w:rsidRPr="00D642DD">
        <w:rPr>
          <w:rFonts w:ascii="Arial" w:hAnsi="Arial" w:cs="Arial"/>
          <w:i/>
          <w:iCs/>
          <w:sz w:val="22"/>
          <w:szCs w:val="22"/>
        </w:rPr>
        <w:t>Journal of Diabetes Science and Technology</w:t>
      </w:r>
      <w:r w:rsidRPr="00D642DD">
        <w:rPr>
          <w:rFonts w:ascii="Arial" w:hAnsi="Arial" w:cs="Arial"/>
          <w:sz w:val="22"/>
          <w:szCs w:val="22"/>
        </w:rPr>
        <w:t xml:space="preserve">. 2023;17(3):762-774. </w:t>
      </w:r>
      <w:r>
        <w:rPr>
          <w:rFonts w:ascii="Arial" w:hAnsi="Arial" w:cs="Arial"/>
          <w:sz w:val="22"/>
          <w:szCs w:val="22"/>
        </w:rPr>
        <w:t>Available at: doi</w:t>
      </w:r>
      <w:r w:rsidRPr="00D642DD">
        <w:rPr>
          <w:rFonts w:ascii="Arial" w:hAnsi="Arial" w:cs="Arial"/>
          <w:sz w:val="22"/>
          <w:szCs w:val="22"/>
        </w:rPr>
        <w:t>:</w:t>
      </w:r>
      <w:hyperlink r:id="rId18" w:history="1">
        <w:r w:rsidRPr="00D642DD">
          <w:rPr>
            <w:rStyle w:val="Hyperlink"/>
            <w:rFonts w:ascii="Arial" w:hAnsi="Arial" w:cs="Arial"/>
            <w:sz w:val="22"/>
            <w:szCs w:val="22"/>
          </w:rPr>
          <w:t>10.1177/19322968211070855</w:t>
        </w:r>
      </w:hyperlink>
      <w:r>
        <w:rPr>
          <w:rFonts w:ascii="Arial" w:hAnsi="Arial" w:cs="Arial"/>
          <w:sz w:val="22"/>
          <w:szCs w:val="22"/>
        </w:rPr>
        <w:t>. Accessed on 19</w:t>
      </w:r>
      <w:r w:rsidRPr="00D642DD">
        <w:rPr>
          <w:rFonts w:ascii="Arial" w:hAnsi="Arial" w:cs="Arial"/>
          <w:sz w:val="22"/>
          <w:szCs w:val="22"/>
          <w:vertAlign w:val="superscript"/>
        </w:rPr>
        <w:t>th</w:t>
      </w:r>
      <w:r>
        <w:rPr>
          <w:rFonts w:ascii="Arial" w:hAnsi="Arial" w:cs="Arial"/>
          <w:sz w:val="22"/>
          <w:szCs w:val="22"/>
        </w:rPr>
        <w:t xml:space="preserve"> June 2026</w:t>
      </w:r>
    </w:p>
    <w:p w14:paraId="2D9BCFD4" w14:textId="77777777" w:rsidR="00A06FBA" w:rsidRPr="00A846E7" w:rsidRDefault="00A06FBA" w:rsidP="00A846E7">
      <w:pPr>
        <w:rPr>
          <w:rFonts w:ascii="Arial" w:hAnsi="Arial" w:cs="Arial"/>
          <w:sz w:val="22"/>
          <w:szCs w:val="22"/>
        </w:rPr>
      </w:pPr>
      <w:r w:rsidRPr="00A846E7">
        <w:rPr>
          <w:rFonts w:ascii="Arial" w:hAnsi="Arial" w:cs="Arial"/>
          <w:sz w:val="22"/>
          <w:szCs w:val="22"/>
        </w:rPr>
        <w:lastRenderedPageBreak/>
        <w:t>Lawton, J., Kyle, C. J., Chambers, T. J. G., Steven, L., Currie, A., Gibb, F., McKnight, J. A., &amp; Rankin, D. (2025). ‘What training and support do people need to make optimal use of automated insulin delivery systems: Interview study.’ </w:t>
      </w:r>
      <w:r w:rsidRPr="00A846E7">
        <w:rPr>
          <w:rFonts w:ascii="Arial" w:hAnsi="Arial" w:cs="Arial"/>
          <w:i/>
          <w:iCs/>
          <w:sz w:val="22"/>
          <w:szCs w:val="22"/>
        </w:rPr>
        <w:t>Diabetic Medicine</w:t>
      </w:r>
      <w:r w:rsidRPr="00A846E7">
        <w:rPr>
          <w:rFonts w:ascii="Arial" w:hAnsi="Arial" w:cs="Arial"/>
          <w:sz w:val="22"/>
          <w:szCs w:val="22"/>
        </w:rPr>
        <w:t>, </w:t>
      </w:r>
      <w:r w:rsidRPr="00A846E7">
        <w:rPr>
          <w:rFonts w:ascii="Arial" w:hAnsi="Arial" w:cs="Arial"/>
          <w:i/>
          <w:iCs/>
          <w:sz w:val="22"/>
          <w:szCs w:val="22"/>
        </w:rPr>
        <w:t>42</w:t>
      </w:r>
      <w:r w:rsidRPr="00A846E7">
        <w:rPr>
          <w:rFonts w:ascii="Arial" w:hAnsi="Arial" w:cs="Arial"/>
          <w:sz w:val="22"/>
          <w:szCs w:val="22"/>
        </w:rPr>
        <w:t xml:space="preserve">(12), e70153. Available at: </w:t>
      </w:r>
      <w:hyperlink r:id="rId19" w:history="1">
        <w:r w:rsidRPr="00A846E7">
          <w:rPr>
            <w:rStyle w:val="Hyperlink"/>
            <w:rFonts w:ascii="Arial" w:hAnsi="Arial" w:cs="Arial"/>
            <w:sz w:val="22"/>
            <w:szCs w:val="22"/>
          </w:rPr>
          <w:t>https://doi.org/10.1111/dme.70153</w:t>
        </w:r>
      </w:hyperlink>
      <w:r w:rsidRPr="00A846E7">
        <w:rPr>
          <w:rFonts w:ascii="Arial" w:hAnsi="Arial" w:cs="Arial"/>
          <w:sz w:val="22"/>
          <w:szCs w:val="22"/>
        </w:rPr>
        <w:t>. Accessed on: 29</w:t>
      </w:r>
      <w:r w:rsidRPr="00A846E7">
        <w:rPr>
          <w:rFonts w:ascii="Arial" w:hAnsi="Arial" w:cs="Arial"/>
          <w:sz w:val="22"/>
          <w:szCs w:val="22"/>
          <w:vertAlign w:val="superscript"/>
        </w:rPr>
        <w:t>th</w:t>
      </w:r>
      <w:r w:rsidRPr="00A846E7">
        <w:rPr>
          <w:rFonts w:ascii="Arial" w:hAnsi="Arial" w:cs="Arial"/>
          <w:sz w:val="22"/>
          <w:szCs w:val="22"/>
        </w:rPr>
        <w:t xml:space="preserve"> June 2026</w:t>
      </w:r>
    </w:p>
    <w:p w14:paraId="4D80C471" w14:textId="77777777" w:rsidR="00A06FBA" w:rsidRDefault="00A06FBA" w:rsidP="00A846E7">
      <w:pPr>
        <w:rPr>
          <w:rFonts w:ascii="Arial" w:hAnsi="Arial" w:cs="Arial"/>
          <w:sz w:val="22"/>
          <w:szCs w:val="22"/>
        </w:rPr>
      </w:pPr>
      <w:r w:rsidRPr="00A846E7">
        <w:rPr>
          <w:rFonts w:ascii="Arial" w:hAnsi="Arial" w:cs="Arial"/>
          <w:sz w:val="22"/>
          <w:szCs w:val="22"/>
        </w:rPr>
        <w:t xml:space="preserve">Madrid-Valero, J. J., Scott, E. M., Boughton, C. K., Allen, J. M., Ware, J., </w:t>
      </w:r>
      <w:proofErr w:type="spellStart"/>
      <w:r w:rsidRPr="00A846E7">
        <w:rPr>
          <w:rFonts w:ascii="Arial" w:hAnsi="Arial" w:cs="Arial"/>
          <w:sz w:val="22"/>
          <w:szCs w:val="22"/>
        </w:rPr>
        <w:t>Wilinska</w:t>
      </w:r>
      <w:proofErr w:type="spellEnd"/>
      <w:r w:rsidRPr="00A846E7">
        <w:rPr>
          <w:rFonts w:ascii="Arial" w:hAnsi="Arial" w:cs="Arial"/>
          <w:sz w:val="22"/>
          <w:szCs w:val="22"/>
        </w:rPr>
        <w:t xml:space="preserve">, M. E., Hartnell, S., </w:t>
      </w:r>
      <w:proofErr w:type="spellStart"/>
      <w:r w:rsidRPr="00A846E7">
        <w:rPr>
          <w:rFonts w:ascii="Arial" w:hAnsi="Arial" w:cs="Arial"/>
          <w:sz w:val="22"/>
          <w:szCs w:val="22"/>
        </w:rPr>
        <w:t>Thankamony</w:t>
      </w:r>
      <w:proofErr w:type="spellEnd"/>
      <w:r w:rsidRPr="00A846E7">
        <w:rPr>
          <w:rFonts w:ascii="Arial" w:hAnsi="Arial" w:cs="Arial"/>
          <w:sz w:val="22"/>
          <w:szCs w:val="22"/>
        </w:rPr>
        <w:t xml:space="preserve">, A., Randell, T., Ghatak, A., Besser, R. E. J., Elleri, D., Trevelyan, N., Campbell, F. M., Hovorka, R., &amp; Gregory, A. M. (2026). ‘Closed-Loop Therapy and Sleep in Young People Newly Diagnosed </w:t>
      </w:r>
      <w:proofErr w:type="gramStart"/>
      <w:r w:rsidRPr="00A846E7">
        <w:rPr>
          <w:rFonts w:ascii="Arial" w:hAnsi="Arial" w:cs="Arial"/>
          <w:sz w:val="22"/>
          <w:szCs w:val="22"/>
        </w:rPr>
        <w:t>With</w:t>
      </w:r>
      <w:proofErr w:type="gramEnd"/>
      <w:r w:rsidRPr="00A846E7">
        <w:rPr>
          <w:rFonts w:ascii="Arial" w:hAnsi="Arial" w:cs="Arial"/>
          <w:sz w:val="22"/>
          <w:szCs w:val="22"/>
        </w:rPr>
        <w:t xml:space="preserve"> Type 1 Diabetes and Their Parents.’ </w:t>
      </w:r>
      <w:r w:rsidRPr="00A846E7">
        <w:rPr>
          <w:rFonts w:ascii="Arial" w:hAnsi="Arial" w:cs="Arial"/>
          <w:i/>
          <w:iCs/>
          <w:sz w:val="22"/>
          <w:szCs w:val="22"/>
        </w:rPr>
        <w:t>Journal of Diabetes Science and Technology</w:t>
      </w:r>
      <w:r w:rsidRPr="00A846E7">
        <w:rPr>
          <w:rFonts w:ascii="Arial" w:hAnsi="Arial" w:cs="Arial"/>
          <w:sz w:val="22"/>
          <w:szCs w:val="22"/>
        </w:rPr>
        <w:t>, </w:t>
      </w:r>
      <w:r w:rsidRPr="00A846E7">
        <w:rPr>
          <w:rFonts w:ascii="Arial" w:hAnsi="Arial" w:cs="Arial"/>
          <w:i/>
          <w:iCs/>
          <w:sz w:val="22"/>
          <w:szCs w:val="22"/>
        </w:rPr>
        <w:t>20</w:t>
      </w:r>
      <w:r w:rsidRPr="00A846E7">
        <w:rPr>
          <w:rFonts w:ascii="Arial" w:hAnsi="Arial" w:cs="Arial"/>
          <w:sz w:val="22"/>
          <w:szCs w:val="22"/>
        </w:rPr>
        <w:t xml:space="preserve">(2), 335–341. Available at: </w:t>
      </w:r>
      <w:hyperlink r:id="rId20" w:history="1">
        <w:r w:rsidRPr="00A846E7">
          <w:rPr>
            <w:rStyle w:val="Hyperlink"/>
            <w:rFonts w:ascii="Arial" w:hAnsi="Arial" w:cs="Arial"/>
            <w:sz w:val="22"/>
            <w:szCs w:val="22"/>
          </w:rPr>
          <w:t>https://doi.org/10.1177/19322968241286816</w:t>
        </w:r>
      </w:hyperlink>
      <w:r w:rsidRPr="00A846E7">
        <w:rPr>
          <w:rFonts w:ascii="Arial" w:hAnsi="Arial" w:cs="Arial"/>
          <w:sz w:val="22"/>
          <w:szCs w:val="22"/>
        </w:rPr>
        <w:t>. Accessed on:</w:t>
      </w:r>
      <w:r>
        <w:rPr>
          <w:rFonts w:ascii="Arial" w:hAnsi="Arial" w:cs="Arial"/>
          <w:sz w:val="22"/>
          <w:szCs w:val="22"/>
        </w:rPr>
        <w:t xml:space="preserve"> </w:t>
      </w:r>
      <w:r w:rsidRPr="00A846E7">
        <w:rPr>
          <w:rFonts w:ascii="Arial" w:hAnsi="Arial" w:cs="Arial"/>
          <w:sz w:val="22"/>
          <w:szCs w:val="22"/>
        </w:rPr>
        <w:t>28</w:t>
      </w:r>
      <w:r w:rsidRPr="00A846E7">
        <w:rPr>
          <w:rFonts w:ascii="Arial" w:hAnsi="Arial" w:cs="Arial"/>
          <w:sz w:val="22"/>
          <w:szCs w:val="22"/>
          <w:vertAlign w:val="superscript"/>
        </w:rPr>
        <w:t>th</w:t>
      </w:r>
      <w:r w:rsidRPr="00A846E7">
        <w:rPr>
          <w:rFonts w:ascii="Arial" w:hAnsi="Arial" w:cs="Arial"/>
          <w:sz w:val="22"/>
          <w:szCs w:val="22"/>
        </w:rPr>
        <w:t xml:space="preserve"> June 2026</w:t>
      </w:r>
    </w:p>
    <w:p w14:paraId="5FFD0761" w14:textId="77777777" w:rsidR="00A06FBA" w:rsidRDefault="00A06FBA">
      <w:pPr>
        <w:rPr>
          <w:rFonts w:ascii="Arial" w:hAnsi="Arial" w:cs="Arial"/>
          <w:sz w:val="22"/>
          <w:szCs w:val="22"/>
        </w:rPr>
      </w:pPr>
      <w:r>
        <w:rPr>
          <w:rFonts w:ascii="Arial" w:hAnsi="Arial" w:cs="Arial"/>
          <w:sz w:val="22"/>
          <w:szCs w:val="22"/>
        </w:rPr>
        <w:t>NHS England (2024). ‘</w:t>
      </w:r>
      <w:r w:rsidRPr="001A12D4">
        <w:rPr>
          <w:rFonts w:ascii="Arial" w:hAnsi="Arial" w:cs="Arial"/>
          <w:sz w:val="22"/>
          <w:szCs w:val="22"/>
        </w:rPr>
        <w:t>Hybrid closed loop technologies: 5-year implementation strategy</w:t>
      </w:r>
      <w:r>
        <w:rPr>
          <w:rFonts w:ascii="Arial" w:hAnsi="Arial" w:cs="Arial"/>
          <w:sz w:val="22"/>
          <w:szCs w:val="22"/>
        </w:rPr>
        <w:t xml:space="preserve">.’ </w:t>
      </w:r>
      <w:r w:rsidRPr="004F34D7">
        <w:rPr>
          <w:rFonts w:ascii="Arial" w:hAnsi="Arial" w:cs="Arial"/>
          <w:i/>
          <w:iCs/>
          <w:sz w:val="22"/>
          <w:szCs w:val="22"/>
        </w:rPr>
        <w:t>Diabetes</w:t>
      </w:r>
      <w:r>
        <w:rPr>
          <w:rFonts w:ascii="Arial" w:hAnsi="Arial" w:cs="Arial"/>
          <w:sz w:val="22"/>
          <w:szCs w:val="22"/>
        </w:rPr>
        <w:t xml:space="preserve">. Available at: </w:t>
      </w:r>
      <w:hyperlink r:id="rId21" w:history="1">
        <w:r w:rsidRPr="004F34D7">
          <w:rPr>
            <w:rStyle w:val="Hyperlink"/>
            <w:rFonts w:ascii="Arial" w:hAnsi="Arial" w:cs="Arial"/>
            <w:sz w:val="22"/>
            <w:szCs w:val="22"/>
          </w:rPr>
          <w:t>NHS England » Hybrid closed loop technologies: 5-year implementation strategy</w:t>
        </w:r>
      </w:hyperlink>
      <w:r>
        <w:rPr>
          <w:rFonts w:ascii="Arial" w:hAnsi="Arial" w:cs="Arial"/>
          <w:sz w:val="22"/>
          <w:szCs w:val="22"/>
        </w:rPr>
        <w:t>. Accessed on:  20</w:t>
      </w:r>
      <w:r w:rsidRPr="004F34D7">
        <w:rPr>
          <w:rFonts w:ascii="Arial" w:hAnsi="Arial" w:cs="Arial"/>
          <w:sz w:val="22"/>
          <w:szCs w:val="22"/>
          <w:vertAlign w:val="superscript"/>
        </w:rPr>
        <w:t>th</w:t>
      </w:r>
      <w:r>
        <w:rPr>
          <w:rFonts w:ascii="Arial" w:hAnsi="Arial" w:cs="Arial"/>
          <w:sz w:val="22"/>
          <w:szCs w:val="22"/>
        </w:rPr>
        <w:t xml:space="preserve"> June 2026.</w:t>
      </w:r>
    </w:p>
    <w:p w14:paraId="0910F666" w14:textId="77777777" w:rsidR="00A06FBA" w:rsidRDefault="00A06FBA" w:rsidP="00A846E7">
      <w:pPr>
        <w:rPr>
          <w:rFonts w:ascii="Arial" w:hAnsi="Arial" w:cs="Arial"/>
          <w:sz w:val="22"/>
          <w:szCs w:val="22"/>
        </w:rPr>
      </w:pPr>
      <w:r w:rsidRPr="00E539CE">
        <w:rPr>
          <w:rFonts w:ascii="Arial" w:hAnsi="Arial" w:cs="Arial"/>
          <w:sz w:val="22"/>
          <w:szCs w:val="22"/>
        </w:rPr>
        <w:t xml:space="preserve">Ware, J., </w:t>
      </w:r>
      <w:proofErr w:type="spellStart"/>
      <w:r w:rsidRPr="00E539CE">
        <w:rPr>
          <w:rFonts w:ascii="Arial" w:hAnsi="Arial" w:cs="Arial"/>
          <w:sz w:val="22"/>
          <w:szCs w:val="22"/>
        </w:rPr>
        <w:t>Wilinska</w:t>
      </w:r>
      <w:proofErr w:type="spellEnd"/>
      <w:r w:rsidRPr="00E539CE">
        <w:rPr>
          <w:rFonts w:ascii="Arial" w:hAnsi="Arial" w:cs="Arial"/>
          <w:sz w:val="22"/>
          <w:szCs w:val="22"/>
        </w:rPr>
        <w:t xml:space="preserve">, M. E., Ruan, Y., Allen, J. M., Boughton, C. K., Hartnell, S., Bally, L., de Beaufort, C., Besser, R. E. J., Campbell, F. M., </w:t>
      </w:r>
      <w:proofErr w:type="spellStart"/>
      <w:r w:rsidRPr="00E539CE">
        <w:rPr>
          <w:rFonts w:ascii="Arial" w:hAnsi="Arial" w:cs="Arial"/>
          <w:sz w:val="22"/>
          <w:szCs w:val="22"/>
        </w:rPr>
        <w:t>Draxlbauer</w:t>
      </w:r>
      <w:proofErr w:type="spellEnd"/>
      <w:r w:rsidRPr="00E539CE">
        <w:rPr>
          <w:rFonts w:ascii="Arial" w:hAnsi="Arial" w:cs="Arial"/>
          <w:sz w:val="22"/>
          <w:szCs w:val="22"/>
        </w:rPr>
        <w:t>, K., Elleri, D., Evans, M. L., Fröhlich-</w:t>
      </w:r>
      <w:proofErr w:type="spellStart"/>
      <w:r w:rsidRPr="00E539CE">
        <w:rPr>
          <w:rFonts w:ascii="Arial" w:hAnsi="Arial" w:cs="Arial"/>
          <w:sz w:val="22"/>
          <w:szCs w:val="22"/>
        </w:rPr>
        <w:t>Reiterer</w:t>
      </w:r>
      <w:proofErr w:type="spellEnd"/>
      <w:r w:rsidRPr="00E539CE">
        <w:rPr>
          <w:rFonts w:ascii="Arial" w:hAnsi="Arial" w:cs="Arial"/>
          <w:sz w:val="22"/>
          <w:szCs w:val="22"/>
        </w:rPr>
        <w:t>, E., Ghatak, A., Hofer, S. E., Kapellen, T. M., Leelarathna, L., Mader, J. K.,</w:t>
      </w:r>
      <w:r>
        <w:rPr>
          <w:rFonts w:ascii="Arial" w:hAnsi="Arial" w:cs="Arial"/>
          <w:sz w:val="22"/>
          <w:szCs w:val="22"/>
        </w:rPr>
        <w:t xml:space="preserve"> </w:t>
      </w:r>
      <w:r w:rsidRPr="00E539CE">
        <w:rPr>
          <w:rFonts w:ascii="Arial" w:hAnsi="Arial" w:cs="Arial"/>
          <w:sz w:val="22"/>
          <w:szCs w:val="22"/>
        </w:rPr>
        <w:t xml:space="preserve">Hovorka, R. (2024). </w:t>
      </w:r>
      <w:r>
        <w:rPr>
          <w:rFonts w:ascii="Arial" w:hAnsi="Arial" w:cs="Arial"/>
          <w:sz w:val="22"/>
          <w:szCs w:val="22"/>
        </w:rPr>
        <w:t>‘</w:t>
      </w:r>
      <w:r w:rsidRPr="00E539CE">
        <w:rPr>
          <w:rFonts w:ascii="Arial" w:hAnsi="Arial" w:cs="Arial"/>
          <w:sz w:val="22"/>
          <w:szCs w:val="22"/>
        </w:rPr>
        <w:t>Safety of User-Initiated Intensification of Insulin Delivery Using Cambridge Hybrid Closed-Loop Algorithm.</w:t>
      </w:r>
      <w:r>
        <w:rPr>
          <w:rFonts w:ascii="Arial" w:hAnsi="Arial" w:cs="Arial"/>
          <w:sz w:val="22"/>
          <w:szCs w:val="22"/>
        </w:rPr>
        <w:t>’</w:t>
      </w:r>
      <w:r w:rsidRPr="00E539CE">
        <w:rPr>
          <w:rFonts w:ascii="Arial" w:hAnsi="Arial" w:cs="Arial"/>
          <w:sz w:val="22"/>
          <w:szCs w:val="22"/>
        </w:rPr>
        <w:t> </w:t>
      </w:r>
      <w:r w:rsidRPr="00E539CE">
        <w:rPr>
          <w:rFonts w:ascii="Arial" w:hAnsi="Arial" w:cs="Arial"/>
          <w:i/>
          <w:iCs/>
          <w:sz w:val="22"/>
          <w:szCs w:val="22"/>
        </w:rPr>
        <w:t>Journal of Diabetes Science and Technology</w:t>
      </w:r>
      <w:r w:rsidRPr="00E539CE">
        <w:rPr>
          <w:rFonts w:ascii="Arial" w:hAnsi="Arial" w:cs="Arial"/>
          <w:sz w:val="22"/>
          <w:szCs w:val="22"/>
        </w:rPr>
        <w:t>, </w:t>
      </w:r>
      <w:r w:rsidRPr="00E539CE">
        <w:rPr>
          <w:rFonts w:ascii="Arial" w:hAnsi="Arial" w:cs="Arial"/>
          <w:i/>
          <w:iCs/>
          <w:sz w:val="22"/>
          <w:szCs w:val="22"/>
        </w:rPr>
        <w:t>18</w:t>
      </w:r>
      <w:r w:rsidRPr="00E539CE">
        <w:rPr>
          <w:rFonts w:ascii="Arial" w:hAnsi="Arial" w:cs="Arial"/>
          <w:sz w:val="22"/>
          <w:szCs w:val="22"/>
        </w:rPr>
        <w:t xml:space="preserve">(4), 882–888. </w:t>
      </w:r>
      <w:r>
        <w:rPr>
          <w:rFonts w:ascii="Arial" w:hAnsi="Arial" w:cs="Arial"/>
          <w:sz w:val="22"/>
          <w:szCs w:val="22"/>
        </w:rPr>
        <w:t xml:space="preserve">Available at: </w:t>
      </w:r>
      <w:hyperlink r:id="rId22" w:history="1">
        <w:r w:rsidRPr="00E3723D">
          <w:rPr>
            <w:rStyle w:val="Hyperlink"/>
            <w:rFonts w:ascii="Arial" w:hAnsi="Arial" w:cs="Arial"/>
            <w:sz w:val="22"/>
            <w:szCs w:val="22"/>
          </w:rPr>
          <w:t>https://doi.org/10.1177/19322968221141924</w:t>
        </w:r>
      </w:hyperlink>
      <w:r>
        <w:rPr>
          <w:rFonts w:ascii="Arial" w:hAnsi="Arial" w:cs="Arial"/>
          <w:sz w:val="22"/>
          <w:szCs w:val="22"/>
        </w:rPr>
        <w:t>. Accessed on: 28</w:t>
      </w:r>
      <w:r w:rsidRPr="00E539CE">
        <w:rPr>
          <w:rFonts w:ascii="Arial" w:hAnsi="Arial" w:cs="Arial"/>
          <w:sz w:val="22"/>
          <w:szCs w:val="22"/>
          <w:vertAlign w:val="superscript"/>
        </w:rPr>
        <w:t>th</w:t>
      </w:r>
      <w:r>
        <w:rPr>
          <w:rFonts w:ascii="Arial" w:hAnsi="Arial" w:cs="Arial"/>
          <w:sz w:val="22"/>
          <w:szCs w:val="22"/>
        </w:rPr>
        <w:t xml:space="preserve"> June 2026.</w:t>
      </w:r>
    </w:p>
    <w:sectPr w:rsidR="00A06FBA" w:rsidSect="00A846E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14F26" w14:textId="77777777" w:rsidR="0043770D" w:rsidRDefault="0043770D" w:rsidP="00A846E7">
      <w:pPr>
        <w:spacing w:after="0" w:line="240" w:lineRule="auto"/>
      </w:pPr>
      <w:r>
        <w:separator/>
      </w:r>
    </w:p>
  </w:endnote>
  <w:endnote w:type="continuationSeparator" w:id="0">
    <w:p w14:paraId="70F7AE3B" w14:textId="77777777" w:rsidR="0043770D" w:rsidRDefault="0043770D" w:rsidP="00A84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862705"/>
      <w:docPartObj>
        <w:docPartGallery w:val="Page Numbers (Bottom of Page)"/>
        <w:docPartUnique/>
      </w:docPartObj>
    </w:sdtPr>
    <w:sdtEndPr>
      <w:rPr>
        <w:noProof/>
      </w:rPr>
    </w:sdtEndPr>
    <w:sdtContent>
      <w:p w14:paraId="4BF88F5B" w14:textId="7102EF54" w:rsidR="00BB38BA" w:rsidRDefault="00BB38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EED63E" w14:textId="77777777" w:rsidR="00BB38BA" w:rsidRDefault="00BB3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61B08" w14:textId="77777777" w:rsidR="0043770D" w:rsidRDefault="0043770D" w:rsidP="00A846E7">
      <w:pPr>
        <w:spacing w:after="0" w:line="240" w:lineRule="auto"/>
      </w:pPr>
      <w:r>
        <w:separator/>
      </w:r>
    </w:p>
  </w:footnote>
  <w:footnote w:type="continuationSeparator" w:id="0">
    <w:p w14:paraId="5A7DE74D" w14:textId="77777777" w:rsidR="0043770D" w:rsidRDefault="0043770D" w:rsidP="00A84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0410"/>
    <w:multiLevelType w:val="multilevel"/>
    <w:tmpl w:val="A5120F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7EC08C2"/>
    <w:multiLevelType w:val="multilevel"/>
    <w:tmpl w:val="7A32469A"/>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521166481">
    <w:abstractNumId w:val="0"/>
  </w:num>
  <w:num w:numId="2" w16cid:durableId="2079934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E7"/>
    <w:rsid w:val="00004F62"/>
    <w:rsid w:val="000230D4"/>
    <w:rsid w:val="00023109"/>
    <w:rsid w:val="00044249"/>
    <w:rsid w:val="000631EB"/>
    <w:rsid w:val="0007610C"/>
    <w:rsid w:val="000872C7"/>
    <w:rsid w:val="000916F0"/>
    <w:rsid w:val="00093531"/>
    <w:rsid w:val="000A2335"/>
    <w:rsid w:val="000A5A74"/>
    <w:rsid w:val="000B2BD5"/>
    <w:rsid w:val="000B312A"/>
    <w:rsid w:val="000B3E02"/>
    <w:rsid w:val="000E42C6"/>
    <w:rsid w:val="000F000A"/>
    <w:rsid w:val="000F1AE2"/>
    <w:rsid w:val="001028C2"/>
    <w:rsid w:val="00123114"/>
    <w:rsid w:val="00161281"/>
    <w:rsid w:val="00171773"/>
    <w:rsid w:val="001970EA"/>
    <w:rsid w:val="001A12D4"/>
    <w:rsid w:val="001E2F09"/>
    <w:rsid w:val="001F1140"/>
    <w:rsid w:val="001F7615"/>
    <w:rsid w:val="002011C1"/>
    <w:rsid w:val="0021730E"/>
    <w:rsid w:val="002263DE"/>
    <w:rsid w:val="00227FA0"/>
    <w:rsid w:val="00244CFB"/>
    <w:rsid w:val="00245F95"/>
    <w:rsid w:val="002528A7"/>
    <w:rsid w:val="00272D94"/>
    <w:rsid w:val="002808E1"/>
    <w:rsid w:val="0029069D"/>
    <w:rsid w:val="0029562C"/>
    <w:rsid w:val="002A13E6"/>
    <w:rsid w:val="002B4BCE"/>
    <w:rsid w:val="002C2A21"/>
    <w:rsid w:val="002D1670"/>
    <w:rsid w:val="003051D2"/>
    <w:rsid w:val="003072FF"/>
    <w:rsid w:val="003219AD"/>
    <w:rsid w:val="00354D7C"/>
    <w:rsid w:val="00355F85"/>
    <w:rsid w:val="0036558B"/>
    <w:rsid w:val="003816CC"/>
    <w:rsid w:val="00382FE2"/>
    <w:rsid w:val="00397CB8"/>
    <w:rsid w:val="003A34CE"/>
    <w:rsid w:val="003B4998"/>
    <w:rsid w:val="003E4D56"/>
    <w:rsid w:val="003F48B0"/>
    <w:rsid w:val="0043770D"/>
    <w:rsid w:val="0046522D"/>
    <w:rsid w:val="00470B4D"/>
    <w:rsid w:val="00471D1C"/>
    <w:rsid w:val="0047608A"/>
    <w:rsid w:val="00484F45"/>
    <w:rsid w:val="004A3AEC"/>
    <w:rsid w:val="004B24B7"/>
    <w:rsid w:val="004F34D7"/>
    <w:rsid w:val="00500248"/>
    <w:rsid w:val="005014D9"/>
    <w:rsid w:val="00532669"/>
    <w:rsid w:val="00532D05"/>
    <w:rsid w:val="005362F4"/>
    <w:rsid w:val="00580784"/>
    <w:rsid w:val="005845B0"/>
    <w:rsid w:val="00593E26"/>
    <w:rsid w:val="005A30C6"/>
    <w:rsid w:val="005D0CBD"/>
    <w:rsid w:val="005E145B"/>
    <w:rsid w:val="00603C80"/>
    <w:rsid w:val="00605617"/>
    <w:rsid w:val="006337F2"/>
    <w:rsid w:val="00677A3A"/>
    <w:rsid w:val="00681460"/>
    <w:rsid w:val="00682B01"/>
    <w:rsid w:val="006845B7"/>
    <w:rsid w:val="006B66C4"/>
    <w:rsid w:val="006C157A"/>
    <w:rsid w:val="006C1A67"/>
    <w:rsid w:val="006C2DF8"/>
    <w:rsid w:val="006D4287"/>
    <w:rsid w:val="006D4459"/>
    <w:rsid w:val="006D6AE0"/>
    <w:rsid w:val="006E2AFB"/>
    <w:rsid w:val="006F08FF"/>
    <w:rsid w:val="006F18C3"/>
    <w:rsid w:val="006F60FE"/>
    <w:rsid w:val="00701A6A"/>
    <w:rsid w:val="00706034"/>
    <w:rsid w:val="00741380"/>
    <w:rsid w:val="00747BA2"/>
    <w:rsid w:val="0076701F"/>
    <w:rsid w:val="007878C2"/>
    <w:rsid w:val="007C0DDD"/>
    <w:rsid w:val="007D296D"/>
    <w:rsid w:val="007D5589"/>
    <w:rsid w:val="007E0735"/>
    <w:rsid w:val="007F3D8F"/>
    <w:rsid w:val="00827F68"/>
    <w:rsid w:val="0084223D"/>
    <w:rsid w:val="00842A95"/>
    <w:rsid w:val="00876D9D"/>
    <w:rsid w:val="00885142"/>
    <w:rsid w:val="008A2018"/>
    <w:rsid w:val="008B384B"/>
    <w:rsid w:val="008B6412"/>
    <w:rsid w:val="008C702F"/>
    <w:rsid w:val="008D4FB9"/>
    <w:rsid w:val="00904651"/>
    <w:rsid w:val="009A043D"/>
    <w:rsid w:val="009B0106"/>
    <w:rsid w:val="009B3431"/>
    <w:rsid w:val="009B65DC"/>
    <w:rsid w:val="009C280B"/>
    <w:rsid w:val="00A022F6"/>
    <w:rsid w:val="00A06FBA"/>
    <w:rsid w:val="00A1256D"/>
    <w:rsid w:val="00A12E72"/>
    <w:rsid w:val="00A20636"/>
    <w:rsid w:val="00A2451D"/>
    <w:rsid w:val="00A404D5"/>
    <w:rsid w:val="00A54B6D"/>
    <w:rsid w:val="00A73FF8"/>
    <w:rsid w:val="00A846E7"/>
    <w:rsid w:val="00AE4387"/>
    <w:rsid w:val="00AE741E"/>
    <w:rsid w:val="00B076D8"/>
    <w:rsid w:val="00B428EF"/>
    <w:rsid w:val="00B45C0A"/>
    <w:rsid w:val="00B56201"/>
    <w:rsid w:val="00B73E3A"/>
    <w:rsid w:val="00B800B8"/>
    <w:rsid w:val="00B83368"/>
    <w:rsid w:val="00B845B4"/>
    <w:rsid w:val="00BA3916"/>
    <w:rsid w:val="00BB38BA"/>
    <w:rsid w:val="00BC5800"/>
    <w:rsid w:val="00BD5446"/>
    <w:rsid w:val="00C03500"/>
    <w:rsid w:val="00C372F4"/>
    <w:rsid w:val="00C41A28"/>
    <w:rsid w:val="00C57E2E"/>
    <w:rsid w:val="00C70944"/>
    <w:rsid w:val="00C734FD"/>
    <w:rsid w:val="00C80686"/>
    <w:rsid w:val="00CB3595"/>
    <w:rsid w:val="00CC68D8"/>
    <w:rsid w:val="00CE5A60"/>
    <w:rsid w:val="00D00430"/>
    <w:rsid w:val="00D071B5"/>
    <w:rsid w:val="00D329A4"/>
    <w:rsid w:val="00D62B40"/>
    <w:rsid w:val="00D642DD"/>
    <w:rsid w:val="00D671C0"/>
    <w:rsid w:val="00D67707"/>
    <w:rsid w:val="00D91724"/>
    <w:rsid w:val="00DC4149"/>
    <w:rsid w:val="00DD42D4"/>
    <w:rsid w:val="00DD5479"/>
    <w:rsid w:val="00DE6365"/>
    <w:rsid w:val="00DF17A5"/>
    <w:rsid w:val="00DF2E4F"/>
    <w:rsid w:val="00E11FA6"/>
    <w:rsid w:val="00E33C78"/>
    <w:rsid w:val="00E44A2A"/>
    <w:rsid w:val="00E539CE"/>
    <w:rsid w:val="00E64F90"/>
    <w:rsid w:val="00E7518F"/>
    <w:rsid w:val="00E76C9A"/>
    <w:rsid w:val="00E94AB2"/>
    <w:rsid w:val="00EA1336"/>
    <w:rsid w:val="00EB3BD0"/>
    <w:rsid w:val="00ED60AD"/>
    <w:rsid w:val="00ED7D2E"/>
    <w:rsid w:val="00EE3928"/>
    <w:rsid w:val="00F04D88"/>
    <w:rsid w:val="00F101ED"/>
    <w:rsid w:val="00F368BA"/>
    <w:rsid w:val="00F4465F"/>
    <w:rsid w:val="00FD2B8E"/>
    <w:rsid w:val="00FF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AE9E6"/>
  <w15:chartTrackingRefBased/>
  <w15:docId w15:val="{07BE42EE-5B3F-4D98-B42C-B0B8E4303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4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6E7"/>
    <w:rPr>
      <w:rFonts w:eastAsiaTheme="majorEastAsia" w:cstheme="majorBidi"/>
      <w:color w:val="272727" w:themeColor="text1" w:themeTint="D8"/>
    </w:rPr>
  </w:style>
  <w:style w:type="paragraph" w:styleId="Title">
    <w:name w:val="Title"/>
    <w:basedOn w:val="Normal"/>
    <w:next w:val="Normal"/>
    <w:link w:val="TitleChar"/>
    <w:uiPriority w:val="10"/>
    <w:qFormat/>
    <w:rsid w:val="00A84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6E7"/>
    <w:pPr>
      <w:spacing w:before="160"/>
      <w:jc w:val="center"/>
    </w:pPr>
    <w:rPr>
      <w:i/>
      <w:iCs/>
      <w:color w:val="404040" w:themeColor="text1" w:themeTint="BF"/>
    </w:rPr>
  </w:style>
  <w:style w:type="character" w:customStyle="1" w:styleId="QuoteChar">
    <w:name w:val="Quote Char"/>
    <w:basedOn w:val="DefaultParagraphFont"/>
    <w:link w:val="Quote"/>
    <w:uiPriority w:val="29"/>
    <w:rsid w:val="00A846E7"/>
    <w:rPr>
      <w:i/>
      <w:iCs/>
      <w:color w:val="404040" w:themeColor="text1" w:themeTint="BF"/>
    </w:rPr>
  </w:style>
  <w:style w:type="paragraph" w:styleId="ListParagraph">
    <w:name w:val="List Paragraph"/>
    <w:basedOn w:val="Normal"/>
    <w:uiPriority w:val="34"/>
    <w:qFormat/>
    <w:rsid w:val="00A846E7"/>
    <w:pPr>
      <w:ind w:left="720"/>
      <w:contextualSpacing/>
    </w:pPr>
  </w:style>
  <w:style w:type="character" w:styleId="IntenseEmphasis">
    <w:name w:val="Intense Emphasis"/>
    <w:basedOn w:val="DefaultParagraphFont"/>
    <w:uiPriority w:val="21"/>
    <w:qFormat/>
    <w:rsid w:val="00A846E7"/>
    <w:rPr>
      <w:i/>
      <w:iCs/>
      <w:color w:val="0F4761" w:themeColor="accent1" w:themeShade="BF"/>
    </w:rPr>
  </w:style>
  <w:style w:type="paragraph" w:styleId="IntenseQuote">
    <w:name w:val="Intense Quote"/>
    <w:basedOn w:val="Normal"/>
    <w:next w:val="Normal"/>
    <w:link w:val="IntenseQuoteChar"/>
    <w:uiPriority w:val="30"/>
    <w:qFormat/>
    <w:rsid w:val="00A84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6E7"/>
    <w:rPr>
      <w:i/>
      <w:iCs/>
      <w:color w:val="0F4761" w:themeColor="accent1" w:themeShade="BF"/>
    </w:rPr>
  </w:style>
  <w:style w:type="character" w:styleId="IntenseReference">
    <w:name w:val="Intense Reference"/>
    <w:basedOn w:val="DefaultParagraphFont"/>
    <w:uiPriority w:val="32"/>
    <w:qFormat/>
    <w:rsid w:val="00A846E7"/>
    <w:rPr>
      <w:b/>
      <w:bCs/>
      <w:smallCaps/>
      <w:color w:val="0F4761" w:themeColor="accent1" w:themeShade="BF"/>
      <w:spacing w:val="5"/>
    </w:rPr>
  </w:style>
  <w:style w:type="paragraph" w:styleId="Footer">
    <w:name w:val="footer"/>
    <w:basedOn w:val="Normal"/>
    <w:link w:val="FooterChar"/>
    <w:uiPriority w:val="99"/>
    <w:unhideWhenUsed/>
    <w:rsid w:val="00A84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6E7"/>
  </w:style>
  <w:style w:type="character" w:styleId="Hyperlink">
    <w:name w:val="Hyperlink"/>
    <w:basedOn w:val="DefaultParagraphFont"/>
    <w:uiPriority w:val="99"/>
    <w:unhideWhenUsed/>
    <w:rsid w:val="00A846E7"/>
    <w:rPr>
      <w:color w:val="467886" w:themeColor="hyperlink"/>
      <w:u w:val="single"/>
    </w:rPr>
  </w:style>
  <w:style w:type="character" w:styleId="UnresolvedMention">
    <w:name w:val="Unresolved Mention"/>
    <w:basedOn w:val="DefaultParagraphFont"/>
    <w:uiPriority w:val="99"/>
    <w:semiHidden/>
    <w:unhideWhenUsed/>
    <w:rsid w:val="00A846E7"/>
    <w:rPr>
      <w:color w:val="605E5C"/>
      <w:shd w:val="clear" w:color="auto" w:fill="E1DFDD"/>
    </w:rPr>
  </w:style>
  <w:style w:type="paragraph" w:styleId="Header">
    <w:name w:val="header"/>
    <w:basedOn w:val="Normal"/>
    <w:link w:val="HeaderChar"/>
    <w:uiPriority w:val="99"/>
    <w:unhideWhenUsed/>
    <w:rsid w:val="00A84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a-plan-for-digital-health-and-social-care/a-plan-for-digital-health-and-social-care" TargetMode="External"/><Relationship Id="rId18" Type="http://schemas.openxmlformats.org/officeDocument/2006/relationships/hyperlink" Target="https://doi-org.uwtsd.idm.oclc.org/10.1177/19322968211070855" TargetMode="External"/><Relationship Id="rId3" Type="http://schemas.openxmlformats.org/officeDocument/2006/relationships/customXml" Target="../customXml/item3.xml"/><Relationship Id="rId21" Type="http://schemas.openxmlformats.org/officeDocument/2006/relationships/hyperlink" Target="https://www.england.nhs.uk/long-read/hybrid-closed-loop-technologies-5-year-implementation-strategy/" TargetMode="External"/><Relationship Id="rId7" Type="http://schemas.openxmlformats.org/officeDocument/2006/relationships/webSettings" Target="webSettings.xml"/><Relationship Id="rId12" Type="http://schemas.openxmlformats.org/officeDocument/2006/relationships/hyperlink" Target="https://doi.org/10.1016/j.fhj.2025.100431" TargetMode="External"/><Relationship Id="rId17" Type="http://schemas.openxmlformats.org/officeDocument/2006/relationships/hyperlink" Target="https://doi.org/10.1111/dme.7025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55/jdr/1997861" TargetMode="External"/><Relationship Id="rId20" Type="http://schemas.openxmlformats.org/officeDocument/2006/relationships/hyperlink" Target="https://doi.org/10.1177/1932296824128681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zproxy.uwtsd.ac.uk/login?url=https://www.vlebooks.com/product/openreader?id=TrinityStD&amp;accId=8886856&amp;isbn=9780335251957&amp;uid=%5eu"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diabetes.org.uk/about-diabetes/looking-after-diabetes/technology/closed-loop-systems" TargetMode="External"/><Relationship Id="rId23" Type="http://schemas.openxmlformats.org/officeDocument/2006/relationships/footer" Target="footer1.xml"/><Relationship Id="rId10" Type="http://schemas.openxmlformats.org/officeDocument/2006/relationships/hyperlink" Target="https://doi.org/10.1111/dom.70027" TargetMode="External"/><Relationship Id="rId19" Type="http://schemas.openxmlformats.org/officeDocument/2006/relationships/hyperlink" Target="https://doi.org/10.1111/dme.7015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igital-working-in-adult-social-care-what-good-looks-like/digital-working-in-adult-social-care-what-good-looks-like-for-local-authorities-and-care-providers?_hsenc=p2ANqtz-_1uTwKU26DBSTXWmzNMVr9iHTfq7UDY9mgkvsv06YUg-8m3plzO9f3dr3Nusf7eEnwfM05" TargetMode="External"/><Relationship Id="rId22" Type="http://schemas.openxmlformats.org/officeDocument/2006/relationships/hyperlink" Target="https://doi.org/10.1177/19322968221141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7a85f05058ebae9dc3ebb42f739d553c">
  <xsd:schema xmlns:xsd="http://www.w3.org/2001/XMLSchema" xmlns:xs="http://www.w3.org/2001/XMLSchema" xmlns:p="http://schemas.microsoft.com/office/2006/metadata/properties" xmlns:ns3="6642d537-5170-4cd9-a3f2-9ec198ee3eac" targetNamespace="http://schemas.microsoft.com/office/2006/metadata/properties" ma:root="true" ma:fieldsID="080e2e472cb913ab1342d54ef682653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EBDAC960-5707-4376-A231-E14BC9990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414471-7C96-4747-9DD8-B353DDFB5F53}">
  <ds:schemaRefs>
    <ds:schemaRef ds:uri="http://schemas.microsoft.com/sharepoint/v3/contenttype/forms"/>
  </ds:schemaRefs>
</ds:datastoreItem>
</file>

<file path=customXml/itemProps3.xml><?xml version="1.0" encoding="utf-8"?>
<ds:datastoreItem xmlns:ds="http://schemas.openxmlformats.org/officeDocument/2006/customXml" ds:itemID="{BAE5E044-739A-424C-A464-6F12F0D3AA84}">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11</Pages>
  <Words>3528</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Cherelle Moran (2328226)</dc:creator>
  <cp:keywords/>
  <dc:description/>
  <cp:lastModifiedBy>Cherelle Moran (2328226)</cp:lastModifiedBy>
  <cp:revision>168</cp:revision>
  <dcterms:created xsi:type="dcterms:W3CDTF">2026-07-03T08:31:00Z</dcterms:created>
  <dcterms:modified xsi:type="dcterms:W3CDTF">2026-07-04T14:58:00Z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5d30e97a-7a12-4dc3-b4aa-901de942c4a6</vt:lpwstr>
  </property>
  <property fmtid="{D5CDD505-2E9C-101B-9397-08002B2CF9AE}" pid="3" name="ContentTypeId">
    <vt:lpwstr>0x010100E3345881D5A19F4FA532CBA535E9E684</vt:lpwstr>
  </property>
</Properties>
</file>