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4A37827" w:rsidR="7908378C" w:rsidRDefault="7908378C" w:rsidP="33572C6E">
            <w:pPr>
              <w:ind w:right="237"/>
              <w:rPr>
                <w:b/>
                <w:bCs/>
                <w:color w:val="auto"/>
                <w:sz w:val="32"/>
                <w:szCs w:val="32"/>
              </w:rPr>
            </w:pPr>
            <w:r w:rsidRPr="33572C6E">
              <w:rPr>
                <w:b/>
                <w:bCs/>
                <w:color w:val="auto"/>
                <w:sz w:val="32"/>
                <w:szCs w:val="32"/>
              </w:rPr>
              <w:t>Learner name: ___</w:t>
            </w:r>
            <w:r w:rsidR="00264447">
              <w:rPr>
                <w:b/>
                <w:bCs/>
                <w:color w:val="auto"/>
                <w:sz w:val="32"/>
                <w:szCs w:val="32"/>
              </w:rPr>
              <w:t>Billy Deasy</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74BE962" w:rsidR="7908378C" w:rsidRDefault="7908378C" w:rsidP="33572C6E">
            <w:pPr>
              <w:ind w:right="237"/>
              <w:rPr>
                <w:b/>
                <w:bCs/>
                <w:color w:val="auto"/>
                <w:sz w:val="32"/>
                <w:szCs w:val="32"/>
              </w:rPr>
            </w:pPr>
            <w:r w:rsidRPr="33572C6E">
              <w:rPr>
                <w:b/>
                <w:bCs/>
                <w:color w:val="auto"/>
                <w:sz w:val="32"/>
                <w:szCs w:val="32"/>
              </w:rPr>
              <w:t>________</w:t>
            </w:r>
            <w:r w:rsidR="00BC25EF">
              <w:rPr>
                <w:b/>
                <w:bCs/>
                <w:color w:val="auto"/>
                <w:sz w:val="32"/>
                <w:szCs w:val="32"/>
              </w:rPr>
              <w:t>2031219</w:t>
            </w:r>
            <w:r w:rsidRPr="33572C6E">
              <w:rPr>
                <w:b/>
                <w:bCs/>
                <w:color w:val="auto"/>
                <w:sz w:val="32"/>
                <w:szCs w:val="32"/>
              </w:rPr>
              <w:t>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r w:rsidR="00264447" w14:paraId="76921499" w14:textId="77777777" w:rsidTr="33572C6E">
        <w:tc>
          <w:tcPr>
            <w:tcW w:w="9015" w:type="dxa"/>
          </w:tcPr>
          <w:p w14:paraId="74A4EFD8" w14:textId="77777777" w:rsidR="00264447" w:rsidRPr="33572C6E" w:rsidRDefault="00264447" w:rsidP="33572C6E">
            <w:pPr>
              <w:ind w:right="237"/>
              <w:rPr>
                <w:b/>
                <w:bCs/>
                <w:color w:val="auto"/>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41B4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00B73F15">
      <w:pPr>
        <w:ind w:right="237"/>
        <w:jc w:val="both"/>
        <w:rPr>
          <w:b/>
          <w:bCs/>
          <w:sz w:val="24"/>
          <w:szCs w:val="24"/>
        </w:rPr>
      </w:pPr>
    </w:p>
    <w:p w14:paraId="42FFBF9F"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When police officers deal with crime related incidents there is always a victim to consider. The victim in these cases could be from many different groups. In some cases it may seem that there is no specific victim, such as cases of driving offences and drug offences which do not result in any damage or loss to property or injury or harassment to people. Incidents such as possession of controlled substances where there appear to be no victims still consider that the state is the victim of these crimes. In these instances we list the victim as REX and consider the crown to be the victim. However in these cases there is no requirement to offer any victim support.</w:t>
      </w:r>
    </w:p>
    <w:p w14:paraId="68670715"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5387A60A" w14:textId="76105406"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In other cases there can be victims such as shops or large companies. These cases usually involve thefts or criminal damage. It can be difficult to consider victim support in these cases as there may be no individuals to offer support to. However</w:t>
      </w:r>
      <w:r w:rsidR="00DA7E57">
        <w:rPr>
          <w:rFonts w:asciiTheme="minorHAnsi" w:eastAsiaTheme="minorHAnsi" w:hAnsiTheme="minorHAnsi" w:cstheme="minorBidi"/>
          <w:color w:val="auto"/>
          <w:sz w:val="22"/>
          <w:szCs w:val="22"/>
          <w:lang w:val="en-US" w:eastAsia="en-US"/>
        </w:rPr>
        <w:t>,</w:t>
      </w:r>
      <w:r w:rsidRPr="00196FF0">
        <w:rPr>
          <w:rFonts w:asciiTheme="minorHAnsi" w:eastAsiaTheme="minorHAnsi" w:hAnsiTheme="minorHAnsi" w:cstheme="minorBidi"/>
          <w:color w:val="auto"/>
          <w:sz w:val="22"/>
          <w:szCs w:val="22"/>
          <w:lang w:val="en-US" w:eastAsia="en-US"/>
        </w:rPr>
        <w:t xml:space="preserve"> in these cases we should still consider the </w:t>
      </w:r>
      <w:r w:rsidR="00DA7E57">
        <w:rPr>
          <w:rFonts w:asciiTheme="minorHAnsi" w:eastAsiaTheme="minorHAnsi" w:hAnsiTheme="minorHAnsi" w:cstheme="minorBidi"/>
          <w:color w:val="auto"/>
          <w:sz w:val="22"/>
          <w:szCs w:val="22"/>
          <w:lang w:val="en-US" w:eastAsia="en-US"/>
        </w:rPr>
        <w:t>V</w:t>
      </w:r>
      <w:r w:rsidRPr="00196FF0">
        <w:rPr>
          <w:rFonts w:asciiTheme="minorHAnsi" w:eastAsiaTheme="minorHAnsi" w:hAnsiTheme="minorHAnsi" w:cstheme="minorBidi"/>
          <w:color w:val="auto"/>
          <w:sz w:val="22"/>
          <w:szCs w:val="22"/>
          <w:lang w:val="en-US" w:eastAsia="en-US"/>
        </w:rPr>
        <w:t xml:space="preserve">ictims </w:t>
      </w:r>
      <w:r w:rsidR="00DA7E57">
        <w:rPr>
          <w:rFonts w:asciiTheme="minorHAnsi" w:eastAsiaTheme="minorHAnsi" w:hAnsiTheme="minorHAnsi" w:cstheme="minorBidi"/>
          <w:color w:val="auto"/>
          <w:sz w:val="22"/>
          <w:szCs w:val="22"/>
          <w:lang w:val="en-US" w:eastAsia="en-US"/>
        </w:rPr>
        <w:t>C</w:t>
      </w:r>
      <w:r w:rsidRPr="00196FF0">
        <w:rPr>
          <w:rFonts w:asciiTheme="minorHAnsi" w:eastAsiaTheme="minorHAnsi" w:hAnsiTheme="minorHAnsi" w:cstheme="minorBidi"/>
          <w:color w:val="auto"/>
          <w:sz w:val="22"/>
          <w:szCs w:val="22"/>
          <w:lang w:val="en-US" w:eastAsia="en-US"/>
        </w:rPr>
        <w:t>ode</w:t>
      </w:r>
      <w:r w:rsidR="00B772F8">
        <w:rPr>
          <w:rFonts w:asciiTheme="minorHAnsi" w:eastAsiaTheme="minorHAnsi" w:hAnsiTheme="minorHAnsi" w:cstheme="minorBidi"/>
          <w:color w:val="auto"/>
          <w:sz w:val="22"/>
          <w:szCs w:val="22"/>
          <w:lang w:val="en-US" w:eastAsia="en-US"/>
        </w:rPr>
        <w:t xml:space="preserve"> (</w:t>
      </w:r>
      <w:r w:rsidR="000967F7">
        <w:rPr>
          <w:rFonts w:asciiTheme="minorHAnsi" w:eastAsiaTheme="minorHAnsi" w:hAnsiTheme="minorHAnsi" w:cstheme="minorBidi"/>
          <w:color w:val="auto"/>
          <w:sz w:val="22"/>
          <w:szCs w:val="22"/>
          <w:lang w:val="en-US" w:eastAsia="en-US"/>
        </w:rPr>
        <w:t>November 2020)</w:t>
      </w:r>
      <w:r w:rsidRPr="00196FF0">
        <w:rPr>
          <w:rFonts w:asciiTheme="minorHAnsi" w:eastAsiaTheme="minorHAnsi" w:hAnsiTheme="minorHAnsi" w:cstheme="minorBidi"/>
          <w:color w:val="auto"/>
          <w:sz w:val="22"/>
          <w:szCs w:val="22"/>
          <w:lang w:val="en-US" w:eastAsia="en-US"/>
        </w:rPr>
        <w:t xml:space="preserve"> and ensure that the victims are aware of their rights as victims of crime and that the victim’s code is followed </w:t>
      </w:r>
      <w:proofErr w:type="gramStart"/>
      <w:r w:rsidRPr="00196FF0">
        <w:rPr>
          <w:rFonts w:asciiTheme="minorHAnsi" w:eastAsiaTheme="minorHAnsi" w:hAnsiTheme="minorHAnsi" w:cstheme="minorBidi"/>
          <w:color w:val="auto"/>
          <w:sz w:val="22"/>
          <w:szCs w:val="22"/>
          <w:lang w:val="en-US" w:eastAsia="en-US"/>
        </w:rPr>
        <w:t>in regards to</w:t>
      </w:r>
      <w:proofErr w:type="gramEnd"/>
      <w:r w:rsidRPr="00196FF0">
        <w:rPr>
          <w:rFonts w:asciiTheme="minorHAnsi" w:eastAsiaTheme="minorHAnsi" w:hAnsiTheme="minorHAnsi" w:cstheme="minorBidi"/>
          <w:color w:val="auto"/>
          <w:sz w:val="22"/>
          <w:szCs w:val="22"/>
          <w:lang w:val="en-US" w:eastAsia="en-US"/>
        </w:rPr>
        <w:t xml:space="preserve"> victim updates. We will speak more about the victim’s code further in this essay. It is also important to consider that in many cases where a company may be considered as the victim in crimes, there is also an individual, usually an employee who may have had an adverse experience in relation to the crime. These people will often provide statements and make complaints on behalf of the </w:t>
      </w:r>
      <w:proofErr w:type="gramStart"/>
      <w:r w:rsidRPr="00196FF0">
        <w:rPr>
          <w:rFonts w:asciiTheme="minorHAnsi" w:eastAsiaTheme="minorHAnsi" w:hAnsiTheme="minorHAnsi" w:cstheme="minorBidi"/>
          <w:color w:val="auto"/>
          <w:sz w:val="22"/>
          <w:szCs w:val="22"/>
          <w:lang w:val="en-US" w:eastAsia="en-US"/>
        </w:rPr>
        <w:t>company</w:t>
      </w:r>
      <w:proofErr w:type="gramEnd"/>
      <w:r w:rsidRPr="00196FF0">
        <w:rPr>
          <w:rFonts w:asciiTheme="minorHAnsi" w:eastAsiaTheme="minorHAnsi" w:hAnsiTheme="minorHAnsi" w:cstheme="minorBidi"/>
          <w:color w:val="auto"/>
          <w:sz w:val="22"/>
          <w:szCs w:val="22"/>
          <w:lang w:val="en-US" w:eastAsia="en-US"/>
        </w:rPr>
        <w:t xml:space="preserve"> and it should be ensured that they also receive the individual support they require and are considered as victims themselves for this purpose.</w:t>
      </w:r>
    </w:p>
    <w:p w14:paraId="15F9BFAD"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293B14DC"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lastRenderedPageBreak/>
        <w:t>The type of victim this essay will concentrate on will be the individual as a victim. These victims are members of the public who have been victims of crime and can be easily identified for support. The incident we will concentrate on involves a female victim of coercive control and common assault within an abusive relationship. This makes them a victim of domestic abuse and also requires further support in relation to this which we will touch upon, however we will mainly consider here the support that is provided to all victims and the duties of police officers when working with these victims.</w:t>
      </w:r>
    </w:p>
    <w:p w14:paraId="5A9BFA90"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2CE83A75"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In the incident we will consider, the victim contacted police stating that she had been in a controlling relationship in which her finances had been restricted, the perpetrator had moved himself in to her home without her consent and her phone was regularly monitored. The perpetrator had the victim provide his bank details for all of her benefit payments and would make her buy him alcohol regularly. The victim also disclosed that she had been assaulted multiple times over the course of the relationship and that on one occasion where she defended herself the perpetrator had her arrested for assault. Upon checking, there was an extensive history of domestic abuse between the victim and the perpetrator with both parties being reported as both victim and aggressor to the other.</w:t>
      </w:r>
    </w:p>
    <w:p w14:paraId="641773AB"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72BD46CD" w14:textId="793AE291"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In the initial instance it is the victims right to be understood and to be able to understand the information given to them by officers</w:t>
      </w:r>
      <w:r w:rsidR="00D86964">
        <w:rPr>
          <w:rFonts w:asciiTheme="minorHAnsi" w:eastAsiaTheme="minorHAnsi" w:hAnsiTheme="minorHAnsi" w:cstheme="minorBidi"/>
          <w:color w:val="auto"/>
          <w:sz w:val="22"/>
          <w:szCs w:val="22"/>
          <w:lang w:val="en-US" w:eastAsia="en-US"/>
        </w:rPr>
        <w:t xml:space="preserve"> </w:t>
      </w:r>
      <w:r w:rsidR="00EB7B11">
        <w:rPr>
          <w:rFonts w:asciiTheme="minorHAnsi" w:eastAsiaTheme="minorHAnsi" w:hAnsiTheme="minorHAnsi" w:cstheme="minorBidi"/>
          <w:color w:val="auto"/>
          <w:sz w:val="22"/>
          <w:szCs w:val="22"/>
          <w:lang w:val="en-US" w:eastAsia="en-US"/>
        </w:rPr>
        <w:t>(Reeves 2019)</w:t>
      </w:r>
      <w:r w:rsidRPr="00196FF0">
        <w:rPr>
          <w:rFonts w:asciiTheme="minorHAnsi" w:eastAsiaTheme="minorHAnsi" w:hAnsiTheme="minorHAnsi" w:cstheme="minorBidi"/>
          <w:color w:val="auto"/>
          <w:sz w:val="22"/>
          <w:szCs w:val="22"/>
          <w:lang w:val="en-US" w:eastAsia="en-US"/>
        </w:rPr>
        <w:t>. In this instance the victim was clearly able to explain her situation and understand what officers explained to her.</w:t>
      </w:r>
      <w:r w:rsidR="002A3E4F">
        <w:rPr>
          <w:rFonts w:asciiTheme="minorHAnsi" w:eastAsiaTheme="minorHAnsi" w:hAnsiTheme="minorHAnsi" w:cstheme="minorBidi"/>
          <w:color w:val="auto"/>
          <w:sz w:val="22"/>
          <w:szCs w:val="22"/>
          <w:lang w:val="en-US" w:eastAsia="en-US"/>
        </w:rPr>
        <w:t xml:space="preserve"> It is important that the victim </w:t>
      </w:r>
      <w:proofErr w:type="gramStart"/>
      <w:r w:rsidR="002A3E4F">
        <w:rPr>
          <w:rFonts w:asciiTheme="minorHAnsi" w:eastAsiaTheme="minorHAnsi" w:hAnsiTheme="minorHAnsi" w:cstheme="minorBidi"/>
          <w:color w:val="auto"/>
          <w:sz w:val="22"/>
          <w:szCs w:val="22"/>
          <w:lang w:val="en-US" w:eastAsia="en-US"/>
        </w:rPr>
        <w:t>is able to</w:t>
      </w:r>
      <w:proofErr w:type="gramEnd"/>
      <w:r w:rsidR="002A3E4F">
        <w:rPr>
          <w:rFonts w:asciiTheme="minorHAnsi" w:eastAsiaTheme="minorHAnsi" w:hAnsiTheme="minorHAnsi" w:cstheme="minorBidi"/>
          <w:color w:val="auto"/>
          <w:sz w:val="22"/>
          <w:szCs w:val="22"/>
          <w:lang w:val="en-US" w:eastAsia="en-US"/>
        </w:rPr>
        <w:t xml:space="preserve"> understa</w:t>
      </w:r>
      <w:r w:rsidR="00465CFF">
        <w:rPr>
          <w:rFonts w:asciiTheme="minorHAnsi" w:eastAsiaTheme="minorHAnsi" w:hAnsiTheme="minorHAnsi" w:cstheme="minorBidi"/>
          <w:color w:val="auto"/>
          <w:sz w:val="22"/>
          <w:szCs w:val="22"/>
          <w:lang w:val="en-US" w:eastAsia="en-US"/>
        </w:rPr>
        <w:t>nd what police are doing to encourage victim engagement (Birdsall, 2017).</w:t>
      </w:r>
      <w:r w:rsidRPr="00196FF0">
        <w:rPr>
          <w:rFonts w:asciiTheme="minorHAnsi" w:eastAsiaTheme="minorHAnsi" w:hAnsiTheme="minorHAnsi" w:cstheme="minorBidi"/>
          <w:color w:val="auto"/>
          <w:sz w:val="22"/>
          <w:szCs w:val="22"/>
          <w:lang w:val="en-US" w:eastAsia="en-US"/>
        </w:rPr>
        <w:t xml:space="preserve"> If there had been any issues in relation to this however, it would have been necessary to provide support. This support could be in the form of a translator had the victim’s first language not been English or if the victim struggled to understand or provide information due to any disabilities or learning difficulties, an appropriate adult could be provided to help the victim. In any case where a victim is considered a child as they are under 18 years of age, an appropriate adult would be required for a case to be progressed</w:t>
      </w:r>
      <w:r w:rsidR="00323A8E">
        <w:rPr>
          <w:rFonts w:asciiTheme="minorHAnsi" w:eastAsiaTheme="minorHAnsi" w:hAnsiTheme="minorHAnsi" w:cstheme="minorBidi"/>
          <w:color w:val="auto"/>
          <w:sz w:val="22"/>
          <w:szCs w:val="22"/>
          <w:lang w:val="en-US" w:eastAsia="en-US"/>
        </w:rPr>
        <w:t xml:space="preserve"> (</w:t>
      </w:r>
      <w:proofErr w:type="spellStart"/>
      <w:r w:rsidR="00323A8E">
        <w:rPr>
          <w:rFonts w:asciiTheme="minorHAnsi" w:eastAsiaTheme="minorHAnsi" w:hAnsiTheme="minorHAnsi" w:cstheme="minorBidi"/>
          <w:color w:val="auto"/>
          <w:sz w:val="22"/>
          <w:szCs w:val="22"/>
          <w:lang w:val="en-US" w:eastAsia="en-US"/>
        </w:rPr>
        <w:t>Pierpoint</w:t>
      </w:r>
      <w:proofErr w:type="spellEnd"/>
      <w:r w:rsidR="00323A8E">
        <w:rPr>
          <w:rFonts w:asciiTheme="minorHAnsi" w:eastAsiaTheme="minorHAnsi" w:hAnsiTheme="minorHAnsi" w:cstheme="minorBidi"/>
          <w:color w:val="auto"/>
          <w:sz w:val="22"/>
          <w:szCs w:val="22"/>
          <w:lang w:val="en-US" w:eastAsia="en-US"/>
        </w:rPr>
        <w:t>, 2011)</w:t>
      </w:r>
      <w:r w:rsidRPr="00196FF0">
        <w:rPr>
          <w:rFonts w:asciiTheme="minorHAnsi" w:eastAsiaTheme="minorHAnsi" w:hAnsiTheme="minorHAnsi" w:cstheme="minorBidi"/>
          <w:color w:val="auto"/>
          <w:sz w:val="22"/>
          <w:szCs w:val="22"/>
          <w:lang w:val="en-US" w:eastAsia="en-US"/>
        </w:rPr>
        <w:t>. This allows for all victims to be able to adequately report crimes in most cases, however at times, particularly in the instance of children providing evidence this can result in some victims being reluctant to provide complete evidence in the presence of the appropriate adult, especially where this may be a parent</w:t>
      </w:r>
      <w:r w:rsidR="005A2171">
        <w:rPr>
          <w:rFonts w:asciiTheme="minorHAnsi" w:eastAsiaTheme="minorHAnsi" w:hAnsiTheme="minorHAnsi" w:cstheme="minorBidi"/>
          <w:color w:val="auto"/>
          <w:sz w:val="22"/>
          <w:szCs w:val="22"/>
          <w:lang w:val="en-US" w:eastAsia="en-US"/>
        </w:rPr>
        <w:t xml:space="preserve"> (Drakeford, 1994)</w:t>
      </w:r>
      <w:r w:rsidRPr="00196FF0">
        <w:rPr>
          <w:rFonts w:asciiTheme="minorHAnsi" w:eastAsiaTheme="minorHAnsi" w:hAnsiTheme="minorHAnsi" w:cstheme="minorBidi"/>
          <w:color w:val="auto"/>
          <w:sz w:val="22"/>
          <w:szCs w:val="22"/>
          <w:lang w:val="en-US" w:eastAsia="en-US"/>
        </w:rPr>
        <w:t>. This should be considered when deciding upon an appropriate adult, but sometimes can be unavoidable due to the child’s age or reluctance to provide evidence without a parents presence.</w:t>
      </w:r>
      <w:r w:rsidR="008156C0">
        <w:rPr>
          <w:rFonts w:asciiTheme="minorHAnsi" w:eastAsiaTheme="minorHAnsi" w:hAnsiTheme="minorHAnsi" w:cstheme="minorBidi"/>
          <w:color w:val="auto"/>
          <w:sz w:val="22"/>
          <w:szCs w:val="22"/>
          <w:lang w:val="en-US" w:eastAsia="en-US"/>
        </w:rPr>
        <w:t xml:space="preserve"> This problem has led to the consideration of professionalizing the role of appropriate adults </w:t>
      </w:r>
      <w:r w:rsidR="00981F42">
        <w:rPr>
          <w:rFonts w:asciiTheme="minorHAnsi" w:eastAsiaTheme="minorHAnsi" w:hAnsiTheme="minorHAnsi" w:cstheme="minorBidi"/>
          <w:color w:val="auto"/>
          <w:sz w:val="22"/>
          <w:szCs w:val="22"/>
          <w:lang w:val="en-US" w:eastAsia="en-US"/>
        </w:rPr>
        <w:t>(</w:t>
      </w:r>
      <w:proofErr w:type="spellStart"/>
      <w:r w:rsidR="00981F42">
        <w:rPr>
          <w:rFonts w:asciiTheme="minorHAnsi" w:eastAsiaTheme="minorHAnsi" w:hAnsiTheme="minorHAnsi" w:cstheme="minorBidi"/>
          <w:color w:val="auto"/>
          <w:sz w:val="22"/>
          <w:szCs w:val="22"/>
          <w:lang w:val="en-US" w:eastAsia="en-US"/>
        </w:rPr>
        <w:t>Pierpoint</w:t>
      </w:r>
      <w:proofErr w:type="spellEnd"/>
      <w:r w:rsidR="00981F42">
        <w:rPr>
          <w:rFonts w:asciiTheme="minorHAnsi" w:eastAsiaTheme="minorHAnsi" w:hAnsiTheme="minorHAnsi" w:cstheme="minorBidi"/>
          <w:color w:val="auto"/>
          <w:sz w:val="22"/>
          <w:szCs w:val="22"/>
          <w:lang w:val="en-US" w:eastAsia="en-US"/>
        </w:rPr>
        <w:t>, 2011)</w:t>
      </w:r>
    </w:p>
    <w:p w14:paraId="625224F3"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04606F7F" w14:textId="6E967125"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Once officers have established the circumstances with the victim and a crime is evident</w:t>
      </w:r>
      <w:r w:rsidR="00981F42">
        <w:rPr>
          <w:rFonts w:asciiTheme="minorHAnsi" w:eastAsiaTheme="minorHAnsi" w:hAnsiTheme="minorHAnsi" w:cstheme="minorBidi"/>
          <w:color w:val="auto"/>
          <w:sz w:val="22"/>
          <w:szCs w:val="22"/>
          <w:lang w:val="en-US" w:eastAsia="en-US"/>
        </w:rPr>
        <w:t>,</w:t>
      </w:r>
      <w:r w:rsidRPr="00196FF0">
        <w:rPr>
          <w:rFonts w:asciiTheme="minorHAnsi" w:eastAsiaTheme="minorHAnsi" w:hAnsiTheme="minorHAnsi" w:cstheme="minorBidi"/>
          <w:color w:val="auto"/>
          <w:sz w:val="22"/>
          <w:szCs w:val="22"/>
          <w:lang w:val="en-US" w:eastAsia="en-US"/>
        </w:rPr>
        <w:t xml:space="preserve"> the crime should be recorded as expediently as possible in accordance with victim’s rights under the victim’s code. In most cases this will include taking a statement from the victim documenting their experience and their intention to support a prosecution case against the victim. When taking a statement it is a requirement for officers to complete a form documenting the victims needs and requirements. These will include the victim’s willingness to attend court in relation to the incident as well as if they believe they will need any special measures to give their best evidence in court. </w:t>
      </w:r>
      <w:r w:rsidR="00C720B2">
        <w:rPr>
          <w:rFonts w:asciiTheme="minorHAnsi" w:eastAsiaTheme="minorHAnsi" w:hAnsiTheme="minorHAnsi" w:cstheme="minorBidi"/>
          <w:color w:val="auto"/>
          <w:sz w:val="22"/>
          <w:szCs w:val="22"/>
          <w:lang w:val="en-US" w:eastAsia="en-US"/>
        </w:rPr>
        <w:t xml:space="preserve">Gaining the support of the </w:t>
      </w:r>
      <w:r w:rsidR="004E6F10">
        <w:rPr>
          <w:rFonts w:asciiTheme="minorHAnsi" w:eastAsiaTheme="minorHAnsi" w:hAnsiTheme="minorHAnsi" w:cstheme="minorBidi"/>
          <w:color w:val="auto"/>
          <w:sz w:val="22"/>
          <w:szCs w:val="22"/>
          <w:lang w:val="en-US" w:eastAsia="en-US"/>
        </w:rPr>
        <w:t xml:space="preserve">victim and ensuring they are able and willing to attend court is vital </w:t>
      </w:r>
      <w:r w:rsidR="002333F8">
        <w:rPr>
          <w:rFonts w:asciiTheme="minorHAnsi" w:eastAsiaTheme="minorHAnsi" w:hAnsiTheme="minorHAnsi" w:cstheme="minorBidi"/>
          <w:color w:val="auto"/>
          <w:sz w:val="22"/>
          <w:szCs w:val="22"/>
          <w:lang w:val="en-US" w:eastAsia="en-US"/>
        </w:rPr>
        <w:t xml:space="preserve">as this can be a most daunting prospect to victims </w:t>
      </w:r>
      <w:r w:rsidR="004E6F10">
        <w:rPr>
          <w:rFonts w:asciiTheme="minorHAnsi" w:eastAsiaTheme="minorHAnsi" w:hAnsiTheme="minorHAnsi" w:cstheme="minorBidi"/>
          <w:color w:val="auto"/>
          <w:sz w:val="22"/>
          <w:szCs w:val="22"/>
          <w:lang w:val="en-US" w:eastAsia="en-US"/>
        </w:rPr>
        <w:t>(</w:t>
      </w:r>
      <w:r w:rsidR="002333F8">
        <w:rPr>
          <w:rFonts w:asciiTheme="minorHAnsi" w:eastAsiaTheme="minorHAnsi" w:hAnsiTheme="minorHAnsi" w:cstheme="minorBidi"/>
          <w:color w:val="auto"/>
          <w:sz w:val="22"/>
          <w:szCs w:val="22"/>
          <w:lang w:val="en-US" w:eastAsia="en-US"/>
        </w:rPr>
        <w:t>Sanders, 2012)</w:t>
      </w:r>
      <w:r w:rsidR="004E6F10">
        <w:rPr>
          <w:rFonts w:asciiTheme="minorHAnsi" w:eastAsiaTheme="minorHAnsi" w:hAnsiTheme="minorHAnsi" w:cstheme="minorBidi"/>
          <w:color w:val="auto"/>
          <w:sz w:val="22"/>
          <w:szCs w:val="22"/>
          <w:lang w:val="en-US" w:eastAsia="en-US"/>
        </w:rPr>
        <w:t xml:space="preserve">. </w:t>
      </w:r>
      <w:r w:rsidRPr="00196FF0">
        <w:rPr>
          <w:rFonts w:asciiTheme="minorHAnsi" w:eastAsiaTheme="minorHAnsi" w:hAnsiTheme="minorHAnsi" w:cstheme="minorBidi"/>
          <w:color w:val="auto"/>
          <w:sz w:val="22"/>
          <w:szCs w:val="22"/>
          <w:lang w:val="en-US" w:eastAsia="en-US"/>
        </w:rPr>
        <w:t xml:space="preserve">Officers must also check the victim’s consent to provide medical information to police and their willingness for their statement to be provided to other parties in relation to court or any further civil proceedings. They will also be offered the opportunity to provide </w:t>
      </w:r>
      <w:r w:rsidRPr="00196FF0">
        <w:rPr>
          <w:rFonts w:asciiTheme="minorHAnsi" w:eastAsiaTheme="minorHAnsi" w:hAnsiTheme="minorHAnsi" w:cstheme="minorBidi"/>
          <w:color w:val="auto"/>
          <w:sz w:val="22"/>
          <w:szCs w:val="22"/>
          <w:lang w:val="en-US" w:eastAsia="en-US"/>
        </w:rPr>
        <w:lastRenderedPageBreak/>
        <w:t>a victim personal statement at this time</w:t>
      </w:r>
      <w:r w:rsidR="00BB1739">
        <w:rPr>
          <w:rFonts w:asciiTheme="minorHAnsi" w:eastAsiaTheme="minorHAnsi" w:hAnsiTheme="minorHAnsi" w:cstheme="minorBidi"/>
          <w:color w:val="auto"/>
          <w:sz w:val="22"/>
          <w:szCs w:val="22"/>
          <w:lang w:val="en-US" w:eastAsia="en-US"/>
        </w:rPr>
        <w:t>. This is</w:t>
      </w:r>
      <w:r w:rsidR="0099748A">
        <w:rPr>
          <w:rFonts w:asciiTheme="minorHAnsi" w:eastAsiaTheme="minorHAnsi" w:hAnsiTheme="minorHAnsi" w:cstheme="minorBidi"/>
          <w:color w:val="auto"/>
          <w:sz w:val="22"/>
          <w:szCs w:val="22"/>
          <w:lang w:val="en-US" w:eastAsia="en-US"/>
        </w:rPr>
        <w:t xml:space="preserve"> important for victims to have the opportunity to express how the incident has </w:t>
      </w:r>
      <w:proofErr w:type="spellStart"/>
      <w:proofErr w:type="gramStart"/>
      <w:r w:rsidR="0099748A">
        <w:rPr>
          <w:rFonts w:asciiTheme="minorHAnsi" w:eastAsiaTheme="minorHAnsi" w:hAnsiTheme="minorHAnsi" w:cstheme="minorBidi"/>
          <w:color w:val="auto"/>
          <w:sz w:val="22"/>
          <w:szCs w:val="22"/>
          <w:lang w:val="en-US" w:eastAsia="en-US"/>
        </w:rPr>
        <w:t>effect</w:t>
      </w:r>
      <w:proofErr w:type="gramEnd"/>
      <w:r w:rsidR="0099748A">
        <w:rPr>
          <w:rFonts w:asciiTheme="minorHAnsi" w:eastAsiaTheme="minorHAnsi" w:hAnsiTheme="minorHAnsi" w:cstheme="minorBidi"/>
          <w:color w:val="auto"/>
          <w:sz w:val="22"/>
          <w:szCs w:val="22"/>
          <w:lang w:val="en-US" w:eastAsia="en-US"/>
        </w:rPr>
        <w:t xml:space="preserve"> them</w:t>
      </w:r>
      <w:proofErr w:type="spellEnd"/>
      <w:r w:rsidR="00B82680">
        <w:rPr>
          <w:rFonts w:asciiTheme="minorHAnsi" w:eastAsiaTheme="minorHAnsi" w:hAnsiTheme="minorHAnsi" w:cstheme="minorBidi"/>
          <w:color w:val="auto"/>
          <w:sz w:val="22"/>
          <w:szCs w:val="22"/>
          <w:lang w:val="en-US" w:eastAsia="en-US"/>
        </w:rPr>
        <w:t xml:space="preserve">. This also </w:t>
      </w:r>
      <w:proofErr w:type="gramStart"/>
      <w:r w:rsidR="00B82680">
        <w:rPr>
          <w:rFonts w:asciiTheme="minorHAnsi" w:eastAsiaTheme="minorHAnsi" w:hAnsiTheme="minorHAnsi" w:cstheme="minorBidi"/>
          <w:color w:val="auto"/>
          <w:sz w:val="22"/>
          <w:szCs w:val="22"/>
          <w:lang w:val="en-US" w:eastAsia="en-US"/>
        </w:rPr>
        <w:t>has an effect on</w:t>
      </w:r>
      <w:proofErr w:type="gramEnd"/>
      <w:r w:rsidR="00B82680">
        <w:rPr>
          <w:rFonts w:asciiTheme="minorHAnsi" w:eastAsiaTheme="minorHAnsi" w:hAnsiTheme="minorHAnsi" w:cstheme="minorBidi"/>
          <w:color w:val="auto"/>
          <w:sz w:val="22"/>
          <w:szCs w:val="22"/>
          <w:lang w:val="en-US" w:eastAsia="en-US"/>
        </w:rPr>
        <w:t xml:space="preserve"> sentencing and also may have an effect on reoffending rates</w:t>
      </w:r>
      <w:r w:rsidR="009966E1">
        <w:rPr>
          <w:rFonts w:asciiTheme="minorHAnsi" w:eastAsiaTheme="minorHAnsi" w:hAnsiTheme="minorHAnsi" w:cstheme="minorBidi"/>
          <w:color w:val="auto"/>
          <w:sz w:val="22"/>
          <w:szCs w:val="22"/>
          <w:lang w:val="en-US" w:eastAsia="en-US"/>
        </w:rPr>
        <w:t xml:space="preserve"> where offenders may not have been fully aware of the impact of their actions</w:t>
      </w:r>
      <w:r w:rsidR="003B6A36">
        <w:rPr>
          <w:rFonts w:asciiTheme="minorHAnsi" w:eastAsiaTheme="minorHAnsi" w:hAnsiTheme="minorHAnsi" w:cstheme="minorBidi"/>
          <w:color w:val="auto"/>
          <w:sz w:val="22"/>
          <w:szCs w:val="22"/>
          <w:lang w:val="en-US" w:eastAsia="en-US"/>
        </w:rPr>
        <w:t xml:space="preserve"> (Roberts, 2011)</w:t>
      </w:r>
      <w:r w:rsidRPr="00196FF0">
        <w:rPr>
          <w:rFonts w:asciiTheme="minorHAnsi" w:eastAsiaTheme="minorHAnsi" w:hAnsiTheme="minorHAnsi" w:cstheme="minorBidi"/>
          <w:color w:val="auto"/>
          <w:sz w:val="22"/>
          <w:szCs w:val="22"/>
          <w:lang w:val="en-US" w:eastAsia="en-US"/>
        </w:rPr>
        <w:t>. The victim in our considered incident provided a statement supporting police action and was willing to attend court. She did not wish to ask for any special measures as she wanted to provide evidence to the court without any restriction and wanted to do this in the presence of the perpetrator to show she was finished with the relationship and that she no longer feared him.</w:t>
      </w:r>
      <w:r w:rsidR="002333F8">
        <w:rPr>
          <w:rFonts w:asciiTheme="minorHAnsi" w:eastAsiaTheme="minorHAnsi" w:hAnsiTheme="minorHAnsi" w:cstheme="minorBidi"/>
          <w:color w:val="auto"/>
          <w:sz w:val="22"/>
          <w:szCs w:val="22"/>
          <w:lang w:val="en-US" w:eastAsia="en-US"/>
        </w:rPr>
        <w:t xml:space="preserve"> This is a common </w:t>
      </w:r>
      <w:r w:rsidR="00BB1739">
        <w:rPr>
          <w:rFonts w:asciiTheme="minorHAnsi" w:eastAsiaTheme="minorHAnsi" w:hAnsiTheme="minorHAnsi" w:cstheme="minorBidi"/>
          <w:color w:val="auto"/>
          <w:sz w:val="22"/>
          <w:szCs w:val="22"/>
          <w:lang w:val="en-US" w:eastAsia="en-US"/>
        </w:rPr>
        <w:t xml:space="preserve">consideration for victims </w:t>
      </w:r>
      <w:r w:rsidR="009A0C37">
        <w:rPr>
          <w:rFonts w:asciiTheme="minorHAnsi" w:eastAsiaTheme="minorHAnsi" w:hAnsiTheme="minorHAnsi" w:cstheme="minorBidi"/>
          <w:color w:val="auto"/>
          <w:sz w:val="22"/>
          <w:szCs w:val="22"/>
          <w:lang w:val="en-US" w:eastAsia="en-US"/>
        </w:rPr>
        <w:t xml:space="preserve">and witnesses as they </w:t>
      </w:r>
      <w:r w:rsidR="00145776">
        <w:rPr>
          <w:rFonts w:asciiTheme="minorHAnsi" w:eastAsiaTheme="minorHAnsi" w:hAnsiTheme="minorHAnsi" w:cstheme="minorBidi"/>
          <w:color w:val="auto"/>
          <w:sz w:val="22"/>
          <w:szCs w:val="22"/>
          <w:lang w:val="en-US" w:eastAsia="en-US"/>
        </w:rPr>
        <w:t xml:space="preserve">experience a cathartic effect of having their </w:t>
      </w:r>
      <w:r w:rsidR="000614BE">
        <w:rPr>
          <w:rFonts w:asciiTheme="minorHAnsi" w:eastAsiaTheme="minorHAnsi" w:hAnsiTheme="minorHAnsi" w:cstheme="minorBidi"/>
          <w:color w:val="auto"/>
          <w:sz w:val="22"/>
          <w:szCs w:val="22"/>
          <w:lang w:val="en-US" w:eastAsia="en-US"/>
        </w:rPr>
        <w:t>“</w:t>
      </w:r>
      <w:r w:rsidR="00145776">
        <w:rPr>
          <w:rFonts w:asciiTheme="minorHAnsi" w:eastAsiaTheme="minorHAnsi" w:hAnsiTheme="minorHAnsi" w:cstheme="minorBidi"/>
          <w:color w:val="auto"/>
          <w:sz w:val="22"/>
          <w:szCs w:val="22"/>
          <w:lang w:val="en-US" w:eastAsia="en-US"/>
        </w:rPr>
        <w:t>day in court.” (</w:t>
      </w:r>
      <w:r w:rsidR="000614BE">
        <w:rPr>
          <w:rFonts w:asciiTheme="minorHAnsi" w:eastAsiaTheme="minorHAnsi" w:hAnsiTheme="minorHAnsi" w:cstheme="minorBidi"/>
          <w:color w:val="auto"/>
          <w:sz w:val="22"/>
          <w:szCs w:val="22"/>
          <w:lang w:val="en-US" w:eastAsia="en-US"/>
        </w:rPr>
        <w:t>Cryer, 2003)</w:t>
      </w:r>
    </w:p>
    <w:p w14:paraId="02A2203A"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20BAF051" w14:textId="7E18D51E"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 xml:space="preserve">The issue with the expedient report of crime in this manner usually come in the form of intoxication. It is quite common for crimes to be reported while the victim is intoxicated. This can be detrimental to the victim’s ability to report the crime accurately. This can cause conflict with the victim’s right to be understood and understand information and needs to be balanced by the </w:t>
      </w:r>
      <w:proofErr w:type="gramStart"/>
      <w:r w:rsidRPr="00196FF0">
        <w:rPr>
          <w:rFonts w:asciiTheme="minorHAnsi" w:eastAsiaTheme="minorHAnsi" w:hAnsiTheme="minorHAnsi" w:cstheme="minorBidi"/>
          <w:color w:val="auto"/>
          <w:sz w:val="22"/>
          <w:szCs w:val="22"/>
          <w:lang w:val="en-US" w:eastAsia="en-US"/>
        </w:rPr>
        <w:t>officers</w:t>
      </w:r>
      <w:proofErr w:type="gramEnd"/>
      <w:r w:rsidRPr="00196FF0">
        <w:rPr>
          <w:rFonts w:asciiTheme="minorHAnsi" w:eastAsiaTheme="minorHAnsi" w:hAnsiTheme="minorHAnsi" w:cstheme="minorBidi"/>
          <w:color w:val="auto"/>
          <w:sz w:val="22"/>
          <w:szCs w:val="22"/>
          <w:lang w:val="en-US" w:eastAsia="en-US"/>
        </w:rPr>
        <w:t xml:space="preserve"> present to consider whether a statement should be taken at the time or if an initial account and report should be taken and a full statement taken when the victim is more able to express their views and wishes and be understood by officers when explaining the circumstances.</w:t>
      </w:r>
      <w:r w:rsidR="00A939FD">
        <w:rPr>
          <w:rFonts w:asciiTheme="minorHAnsi" w:eastAsiaTheme="minorHAnsi" w:hAnsiTheme="minorHAnsi" w:cstheme="minorBidi"/>
          <w:color w:val="auto"/>
          <w:sz w:val="22"/>
          <w:szCs w:val="22"/>
          <w:lang w:val="en-US" w:eastAsia="en-US"/>
        </w:rPr>
        <w:t xml:space="preserve"> Victims and witnesses being intoxicated also has a negative impact on the chances of gaining a prosecution</w:t>
      </w:r>
      <w:r w:rsidR="005F3060">
        <w:rPr>
          <w:rFonts w:asciiTheme="minorHAnsi" w:eastAsiaTheme="minorHAnsi" w:hAnsiTheme="minorHAnsi" w:cstheme="minorBidi"/>
          <w:color w:val="auto"/>
          <w:sz w:val="22"/>
          <w:szCs w:val="22"/>
          <w:lang w:val="en-US" w:eastAsia="en-US"/>
        </w:rPr>
        <w:t xml:space="preserve"> (Evans, 2010)</w:t>
      </w:r>
    </w:p>
    <w:p w14:paraId="3EA22374"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6D36E351" w14:textId="2B46863C"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 xml:space="preserve">The victim has a right to provide a victim personal statement which can be read in court if they wish, either by themselves or by somebody else on their behalf. This right is also outlined in the victim’s code. This statement provides the victim with the opportunity to explain how the crimes committed against them have </w:t>
      </w:r>
      <w:proofErr w:type="gramStart"/>
      <w:r w:rsidRPr="00196FF0">
        <w:rPr>
          <w:rFonts w:asciiTheme="minorHAnsi" w:eastAsiaTheme="minorHAnsi" w:hAnsiTheme="minorHAnsi" w:cstheme="minorBidi"/>
          <w:color w:val="auto"/>
          <w:sz w:val="22"/>
          <w:szCs w:val="22"/>
          <w:lang w:val="en-US" w:eastAsia="en-US"/>
        </w:rPr>
        <w:t>effected</w:t>
      </w:r>
      <w:proofErr w:type="gramEnd"/>
      <w:r w:rsidRPr="00196FF0">
        <w:rPr>
          <w:rFonts w:asciiTheme="minorHAnsi" w:eastAsiaTheme="minorHAnsi" w:hAnsiTheme="minorHAnsi" w:cstheme="minorBidi"/>
          <w:color w:val="auto"/>
          <w:sz w:val="22"/>
          <w:szCs w:val="22"/>
          <w:lang w:val="en-US" w:eastAsia="en-US"/>
        </w:rPr>
        <w:t xml:space="preserve"> them. This can include how their daily lives have been </w:t>
      </w:r>
      <w:proofErr w:type="gramStart"/>
      <w:r w:rsidRPr="00196FF0">
        <w:rPr>
          <w:rFonts w:asciiTheme="minorHAnsi" w:eastAsiaTheme="minorHAnsi" w:hAnsiTheme="minorHAnsi" w:cstheme="minorBidi"/>
          <w:color w:val="auto"/>
          <w:sz w:val="22"/>
          <w:szCs w:val="22"/>
          <w:lang w:val="en-US" w:eastAsia="en-US"/>
        </w:rPr>
        <w:t>effected</w:t>
      </w:r>
      <w:proofErr w:type="gramEnd"/>
      <w:r w:rsidRPr="00196FF0">
        <w:rPr>
          <w:rFonts w:asciiTheme="minorHAnsi" w:eastAsiaTheme="minorHAnsi" w:hAnsiTheme="minorHAnsi" w:cstheme="minorBidi"/>
          <w:color w:val="auto"/>
          <w:sz w:val="22"/>
          <w:szCs w:val="22"/>
          <w:lang w:val="en-US" w:eastAsia="en-US"/>
        </w:rPr>
        <w:t xml:space="preserve"> as well as emotional or physical effects. The victim can say here anything they wish in relation to what effect being a victim has had on them. In the incident we are considering here the victim did not wish to provide a victim personal statement as she felt she had said all she wanted to in her victim statement</w:t>
      </w:r>
      <w:r w:rsidR="00711F64">
        <w:rPr>
          <w:rFonts w:asciiTheme="minorHAnsi" w:eastAsiaTheme="minorHAnsi" w:hAnsiTheme="minorHAnsi" w:cstheme="minorBidi"/>
          <w:color w:val="auto"/>
          <w:sz w:val="22"/>
          <w:szCs w:val="22"/>
          <w:lang w:val="en-US" w:eastAsia="en-US"/>
        </w:rPr>
        <w:t xml:space="preserve">. This is </w:t>
      </w:r>
      <w:proofErr w:type="gramStart"/>
      <w:r w:rsidR="00711F64">
        <w:rPr>
          <w:rFonts w:asciiTheme="minorHAnsi" w:eastAsiaTheme="minorHAnsi" w:hAnsiTheme="minorHAnsi" w:cstheme="minorBidi"/>
          <w:color w:val="auto"/>
          <w:sz w:val="22"/>
          <w:szCs w:val="22"/>
          <w:lang w:val="en-US" w:eastAsia="en-US"/>
        </w:rPr>
        <w:t>fairly common</w:t>
      </w:r>
      <w:proofErr w:type="gramEnd"/>
      <w:r w:rsidR="00711F64">
        <w:rPr>
          <w:rFonts w:asciiTheme="minorHAnsi" w:eastAsiaTheme="minorHAnsi" w:hAnsiTheme="minorHAnsi" w:cstheme="minorBidi"/>
          <w:color w:val="auto"/>
          <w:sz w:val="22"/>
          <w:szCs w:val="22"/>
          <w:lang w:val="en-US" w:eastAsia="en-US"/>
        </w:rPr>
        <w:t xml:space="preserve"> as victim’s seldom provide these statements </w:t>
      </w:r>
      <w:r w:rsidR="00D47F3C">
        <w:rPr>
          <w:rFonts w:asciiTheme="minorHAnsi" w:eastAsiaTheme="minorHAnsi" w:hAnsiTheme="minorHAnsi" w:cstheme="minorBidi"/>
          <w:color w:val="auto"/>
          <w:sz w:val="22"/>
          <w:szCs w:val="22"/>
          <w:lang w:val="en-US" w:eastAsia="en-US"/>
        </w:rPr>
        <w:t>(</w:t>
      </w:r>
      <w:proofErr w:type="spellStart"/>
      <w:r w:rsidR="00D47F3C">
        <w:rPr>
          <w:rFonts w:asciiTheme="minorHAnsi" w:eastAsiaTheme="minorHAnsi" w:hAnsiTheme="minorHAnsi" w:cstheme="minorBidi"/>
          <w:color w:val="auto"/>
          <w:sz w:val="22"/>
          <w:szCs w:val="22"/>
          <w:lang w:val="en-US" w:eastAsia="en-US"/>
        </w:rPr>
        <w:t>Mastrocinque</w:t>
      </w:r>
      <w:proofErr w:type="spellEnd"/>
      <w:r w:rsidR="00D47F3C">
        <w:rPr>
          <w:rFonts w:asciiTheme="minorHAnsi" w:eastAsiaTheme="minorHAnsi" w:hAnsiTheme="minorHAnsi" w:cstheme="minorBidi"/>
          <w:color w:val="auto"/>
          <w:sz w:val="22"/>
          <w:szCs w:val="22"/>
          <w:lang w:val="en-US" w:eastAsia="en-US"/>
        </w:rPr>
        <w:t>, 2014)</w:t>
      </w:r>
      <w:r w:rsidRPr="00196FF0">
        <w:rPr>
          <w:rFonts w:asciiTheme="minorHAnsi" w:eastAsiaTheme="minorHAnsi" w:hAnsiTheme="minorHAnsi" w:cstheme="minorBidi"/>
          <w:color w:val="auto"/>
          <w:sz w:val="22"/>
          <w:szCs w:val="22"/>
          <w:lang w:val="en-US" w:eastAsia="en-US"/>
        </w:rPr>
        <w:t xml:space="preserve">. Officers informed her that she could change her mind and provide a victim personal statement later if she felt she needed to or if the incident had </w:t>
      </w:r>
      <w:proofErr w:type="spellStart"/>
      <w:r w:rsidRPr="00196FF0">
        <w:rPr>
          <w:rFonts w:asciiTheme="minorHAnsi" w:eastAsiaTheme="minorHAnsi" w:hAnsiTheme="minorHAnsi" w:cstheme="minorBidi"/>
          <w:color w:val="auto"/>
          <w:sz w:val="22"/>
          <w:szCs w:val="22"/>
          <w:lang w:val="en-US" w:eastAsia="en-US"/>
        </w:rPr>
        <w:t>effected her</w:t>
      </w:r>
      <w:proofErr w:type="spellEnd"/>
      <w:r w:rsidRPr="00196FF0">
        <w:rPr>
          <w:rFonts w:asciiTheme="minorHAnsi" w:eastAsiaTheme="minorHAnsi" w:hAnsiTheme="minorHAnsi" w:cstheme="minorBidi"/>
          <w:color w:val="auto"/>
          <w:sz w:val="22"/>
          <w:szCs w:val="22"/>
          <w:lang w:val="en-US" w:eastAsia="en-US"/>
        </w:rPr>
        <w:t xml:space="preserve"> in any other ways which she had not realized at the time immediately after reporting the incident.</w:t>
      </w:r>
    </w:p>
    <w:p w14:paraId="6DBB93E2"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50252FE0" w14:textId="417F1111"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 xml:space="preserve">It is important that at this time officers provide victims with information in relation to what support they can receive. In all cases where a victim is identified the victim should be offered a victim support referral. This is a form officers fill in for victims which gets emailed to victim support so they can </w:t>
      </w:r>
      <w:proofErr w:type="gramStart"/>
      <w:r w:rsidRPr="00196FF0">
        <w:rPr>
          <w:rFonts w:asciiTheme="minorHAnsi" w:eastAsiaTheme="minorHAnsi" w:hAnsiTheme="minorHAnsi" w:cstheme="minorBidi"/>
          <w:color w:val="auto"/>
          <w:sz w:val="22"/>
          <w:szCs w:val="22"/>
          <w:lang w:val="en-US" w:eastAsia="en-US"/>
        </w:rPr>
        <w:t>make contact with</w:t>
      </w:r>
      <w:proofErr w:type="gramEnd"/>
      <w:r w:rsidRPr="00196FF0">
        <w:rPr>
          <w:rFonts w:asciiTheme="minorHAnsi" w:eastAsiaTheme="minorHAnsi" w:hAnsiTheme="minorHAnsi" w:cstheme="minorBidi"/>
          <w:color w:val="auto"/>
          <w:sz w:val="22"/>
          <w:szCs w:val="22"/>
          <w:lang w:val="en-US" w:eastAsia="en-US"/>
        </w:rPr>
        <w:t xml:space="preserve"> the victim to help them in offering the support they need or directing them to where support is available.</w:t>
      </w:r>
      <w:r w:rsidR="0039740C">
        <w:rPr>
          <w:rFonts w:asciiTheme="minorHAnsi" w:eastAsiaTheme="minorHAnsi" w:hAnsiTheme="minorHAnsi" w:cstheme="minorBidi"/>
          <w:color w:val="auto"/>
          <w:sz w:val="22"/>
          <w:szCs w:val="22"/>
          <w:lang w:val="en-US" w:eastAsia="en-US"/>
        </w:rPr>
        <w:t xml:space="preserve"> This is an essential part of the jus</w:t>
      </w:r>
      <w:r w:rsidR="00D00ACB">
        <w:rPr>
          <w:rFonts w:asciiTheme="minorHAnsi" w:eastAsiaTheme="minorHAnsi" w:hAnsiTheme="minorHAnsi" w:cstheme="minorBidi"/>
          <w:color w:val="auto"/>
          <w:sz w:val="22"/>
          <w:szCs w:val="22"/>
          <w:lang w:val="en-US" w:eastAsia="en-US"/>
        </w:rPr>
        <w:t xml:space="preserve">tice system which helps victims feel listened to and can improve their </w:t>
      </w:r>
      <w:r w:rsidR="0097654A">
        <w:rPr>
          <w:rFonts w:asciiTheme="minorHAnsi" w:eastAsiaTheme="minorHAnsi" w:hAnsiTheme="minorHAnsi" w:cstheme="minorBidi"/>
          <w:color w:val="auto"/>
          <w:sz w:val="22"/>
          <w:szCs w:val="22"/>
          <w:lang w:val="en-US" w:eastAsia="en-US"/>
        </w:rPr>
        <w:t xml:space="preserve">trust </w:t>
      </w:r>
      <w:r w:rsidR="00520008">
        <w:rPr>
          <w:rFonts w:asciiTheme="minorHAnsi" w:eastAsiaTheme="minorHAnsi" w:hAnsiTheme="minorHAnsi" w:cstheme="minorBidi"/>
          <w:color w:val="auto"/>
          <w:sz w:val="22"/>
          <w:szCs w:val="22"/>
          <w:lang w:val="en-US" w:eastAsia="en-US"/>
        </w:rPr>
        <w:t xml:space="preserve">and confidence </w:t>
      </w:r>
      <w:r w:rsidR="0097654A">
        <w:rPr>
          <w:rFonts w:asciiTheme="minorHAnsi" w:eastAsiaTheme="minorHAnsi" w:hAnsiTheme="minorHAnsi" w:cstheme="minorBidi"/>
          <w:color w:val="auto"/>
          <w:sz w:val="22"/>
          <w:szCs w:val="22"/>
          <w:lang w:val="en-US" w:eastAsia="en-US"/>
        </w:rPr>
        <w:t>in the justice system. This in turn makes it more likely they will engage in the future</w:t>
      </w:r>
      <w:r w:rsidR="00B56F4E">
        <w:rPr>
          <w:rFonts w:asciiTheme="minorHAnsi" w:eastAsiaTheme="minorHAnsi" w:hAnsiTheme="minorHAnsi" w:cstheme="minorBidi"/>
          <w:color w:val="auto"/>
          <w:sz w:val="22"/>
          <w:szCs w:val="22"/>
          <w:lang w:val="en-US" w:eastAsia="en-US"/>
        </w:rPr>
        <w:t xml:space="preserve"> </w:t>
      </w:r>
      <w:r w:rsidR="00520008">
        <w:rPr>
          <w:rFonts w:asciiTheme="minorHAnsi" w:eastAsiaTheme="minorHAnsi" w:hAnsiTheme="minorHAnsi" w:cstheme="minorBidi"/>
          <w:color w:val="auto"/>
          <w:sz w:val="22"/>
          <w:szCs w:val="22"/>
          <w:lang w:val="en-US" w:eastAsia="en-US"/>
        </w:rPr>
        <w:t>(Bradford, 2011).</w:t>
      </w:r>
      <w:r w:rsidRPr="00196FF0">
        <w:rPr>
          <w:rFonts w:asciiTheme="minorHAnsi" w:eastAsiaTheme="minorHAnsi" w:hAnsiTheme="minorHAnsi" w:cstheme="minorBidi"/>
          <w:color w:val="auto"/>
          <w:sz w:val="22"/>
          <w:szCs w:val="22"/>
          <w:lang w:val="en-US" w:eastAsia="en-US"/>
        </w:rPr>
        <w:t xml:space="preserve"> Victims must consent to this form being sent, which in this case they did. Victims also have the right to be informed of measures they can take regarding compensation for any loss suffered or injury caused as a result of a crime. The victim in this case did not wish to claim any compensation and stated that she just wanted things to be over.</w:t>
      </w:r>
    </w:p>
    <w:p w14:paraId="3DAA7812"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4FCD2042"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lastRenderedPageBreak/>
        <w:t xml:space="preserve">Dependent on the victim, if they are vulnerable officers should also consider providing a public protection notification. In this case, as the victim of domestic abuse this was provided. The victim should be asked for their consent in relation to the submission of this, however this can be shared against the wishes of the victim if it is deemed necessary. A public protection notification is a document which can be shared across multiple agencies, such as </w:t>
      </w:r>
      <w:r w:rsidRPr="00196FF0">
        <w:rPr>
          <w:rFonts w:asciiTheme="minorHAnsi" w:eastAsiaTheme="minorHAnsi" w:hAnsiTheme="minorHAnsi" w:cstheme="minorBidi"/>
          <w:i/>
          <w:iCs/>
          <w:color w:val="auto"/>
          <w:sz w:val="22"/>
          <w:szCs w:val="22"/>
          <w:lang w:val="en-US" w:eastAsia="en-US"/>
        </w:rPr>
        <w:t>citizens advice; social services; mental health, bereavement and relationship counsellors; and medical practitioners (Bryant and Bryant, 2021)</w:t>
      </w:r>
      <w:r w:rsidRPr="00196FF0">
        <w:rPr>
          <w:rFonts w:asciiTheme="minorHAnsi" w:eastAsiaTheme="minorHAnsi" w:hAnsiTheme="minorHAnsi" w:cstheme="minorBidi"/>
          <w:color w:val="auto"/>
          <w:sz w:val="22"/>
          <w:szCs w:val="22"/>
          <w:lang w:val="en-US" w:eastAsia="en-US"/>
        </w:rPr>
        <w:t xml:space="preserve"> to ensure a victim receives any support they require and that agencies are aware of any dangers present to give the best chance of preventing any further suffering by the victim. In this case a public protection notification was provided detailing the experiences of the victim and her responses to the 29 questions asked of domestic abuse victims to establish the severity and risk level they face in relation to the abuse suffered. In this case officers also provided the victim with a card detailing contact information for Live Fear Free, an independent service providing advice to </w:t>
      </w:r>
      <w:proofErr w:type="spellStart"/>
      <w:r w:rsidRPr="00196FF0">
        <w:rPr>
          <w:rFonts w:asciiTheme="minorHAnsi" w:eastAsiaTheme="minorHAnsi" w:hAnsiTheme="minorHAnsi" w:cstheme="minorBidi"/>
          <w:color w:val="auto"/>
          <w:sz w:val="22"/>
          <w:szCs w:val="22"/>
          <w:lang w:val="en-US" w:eastAsia="en-US"/>
        </w:rPr>
        <w:t>victim’s</w:t>
      </w:r>
      <w:proofErr w:type="spellEnd"/>
      <w:r w:rsidRPr="00196FF0">
        <w:rPr>
          <w:rFonts w:asciiTheme="minorHAnsi" w:eastAsiaTheme="minorHAnsi" w:hAnsiTheme="minorHAnsi" w:cstheme="minorBidi"/>
          <w:color w:val="auto"/>
          <w:sz w:val="22"/>
          <w:szCs w:val="22"/>
          <w:lang w:val="en-US" w:eastAsia="en-US"/>
        </w:rPr>
        <w:t xml:space="preserve"> of domestic abuse, and encouraged to make contact with them.</w:t>
      </w:r>
    </w:p>
    <w:p w14:paraId="0B5B5607"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49FFFA0C" w14:textId="1758A631"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Unfortunately officers are not always made aware of what support a victim is receiving and due to heavy workloads are often unable to check up on victims until they are informing them of developments. This could result in some victims not receiving adequate support between these developments and officers not being aware that this is the case.</w:t>
      </w:r>
      <w:r w:rsidR="009A37EF">
        <w:rPr>
          <w:rFonts w:asciiTheme="minorHAnsi" w:eastAsiaTheme="minorHAnsi" w:hAnsiTheme="minorHAnsi" w:cstheme="minorBidi"/>
          <w:color w:val="auto"/>
          <w:sz w:val="22"/>
          <w:szCs w:val="22"/>
          <w:lang w:val="en-US" w:eastAsia="en-US"/>
        </w:rPr>
        <w:t xml:space="preserve"> This is a result of a diminishing level of communication between police </w:t>
      </w:r>
      <w:r w:rsidR="00935624">
        <w:rPr>
          <w:rFonts w:asciiTheme="minorHAnsi" w:eastAsiaTheme="minorHAnsi" w:hAnsiTheme="minorHAnsi" w:cstheme="minorBidi"/>
          <w:color w:val="auto"/>
          <w:sz w:val="22"/>
          <w:szCs w:val="22"/>
          <w:lang w:val="en-US" w:eastAsia="en-US"/>
        </w:rPr>
        <w:t>and victims from the time of arrest (</w:t>
      </w:r>
      <w:r w:rsidR="009E35A6">
        <w:rPr>
          <w:rFonts w:asciiTheme="minorHAnsi" w:eastAsiaTheme="minorHAnsi" w:hAnsiTheme="minorHAnsi" w:cstheme="minorBidi"/>
          <w:color w:val="auto"/>
          <w:sz w:val="22"/>
          <w:szCs w:val="22"/>
          <w:lang w:val="en-US" w:eastAsia="en-US"/>
        </w:rPr>
        <w:t>Newburn, 1990)</w:t>
      </w:r>
    </w:p>
    <w:p w14:paraId="7C287E57"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3883C398" w14:textId="06E40BFD"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 xml:space="preserve">As part of the </w:t>
      </w:r>
      <w:proofErr w:type="spellStart"/>
      <w:r w:rsidRPr="00196FF0">
        <w:rPr>
          <w:rFonts w:asciiTheme="minorHAnsi" w:eastAsiaTheme="minorHAnsi" w:hAnsiTheme="minorHAnsi" w:cstheme="minorBidi"/>
          <w:color w:val="auto"/>
          <w:sz w:val="22"/>
          <w:szCs w:val="22"/>
          <w:lang w:val="en-US" w:eastAsia="en-US"/>
        </w:rPr>
        <w:t>victims</w:t>
      </w:r>
      <w:proofErr w:type="spellEnd"/>
      <w:r w:rsidRPr="00196FF0">
        <w:rPr>
          <w:rFonts w:asciiTheme="minorHAnsi" w:eastAsiaTheme="minorHAnsi" w:hAnsiTheme="minorHAnsi" w:cstheme="minorBidi"/>
          <w:color w:val="auto"/>
          <w:sz w:val="22"/>
          <w:szCs w:val="22"/>
          <w:lang w:val="en-US" w:eastAsia="en-US"/>
        </w:rPr>
        <w:t xml:space="preserve"> rights they are to be informed of any developments in the investigation. This tends to be at milestone moments such as the perpetrator being arrested, bail conditions placed upon the perpetrator or if the decision is made not to take action against the perpetrator as well as other major developments. This contact also provides officers to check the ongoing welfare of the victim and to ensure they are getting the support they need.</w:t>
      </w:r>
      <w:r w:rsidR="00F239B3">
        <w:rPr>
          <w:rFonts w:asciiTheme="minorHAnsi" w:eastAsiaTheme="minorHAnsi" w:hAnsiTheme="minorHAnsi" w:cstheme="minorBidi"/>
          <w:color w:val="auto"/>
          <w:sz w:val="22"/>
          <w:szCs w:val="22"/>
          <w:lang w:val="en-US" w:eastAsia="en-US"/>
        </w:rPr>
        <w:t xml:space="preserve"> The </w:t>
      </w:r>
      <w:r w:rsidR="007E093C">
        <w:rPr>
          <w:rFonts w:asciiTheme="minorHAnsi" w:eastAsiaTheme="minorHAnsi" w:hAnsiTheme="minorHAnsi" w:cstheme="minorBidi"/>
          <w:color w:val="auto"/>
          <w:sz w:val="22"/>
          <w:szCs w:val="22"/>
          <w:lang w:val="en-US" w:eastAsia="en-US"/>
        </w:rPr>
        <w:t>use of Independent Domestic Violence advisors has helped in ensuring victims of domestic related crimes are provided with regular updates which can help them to remain enga</w:t>
      </w:r>
      <w:r w:rsidR="0072028F">
        <w:rPr>
          <w:rFonts w:asciiTheme="minorHAnsi" w:eastAsiaTheme="minorHAnsi" w:hAnsiTheme="minorHAnsi" w:cstheme="minorBidi"/>
          <w:color w:val="auto"/>
          <w:sz w:val="22"/>
          <w:szCs w:val="22"/>
          <w:lang w:val="en-US" w:eastAsia="en-US"/>
        </w:rPr>
        <w:t>ged and feel support through the process (</w:t>
      </w:r>
      <w:r w:rsidR="00C65427">
        <w:rPr>
          <w:rFonts w:asciiTheme="minorHAnsi" w:eastAsiaTheme="minorHAnsi" w:hAnsiTheme="minorHAnsi" w:cstheme="minorBidi"/>
          <w:color w:val="auto"/>
          <w:sz w:val="22"/>
          <w:szCs w:val="22"/>
          <w:lang w:val="en-US" w:eastAsia="en-US"/>
        </w:rPr>
        <w:t>Taylor-Dunn, 2022).</w:t>
      </w:r>
      <w:r w:rsidRPr="00196FF0">
        <w:rPr>
          <w:rFonts w:asciiTheme="minorHAnsi" w:eastAsiaTheme="minorHAnsi" w:hAnsiTheme="minorHAnsi" w:cstheme="minorBidi"/>
          <w:color w:val="auto"/>
          <w:sz w:val="22"/>
          <w:szCs w:val="22"/>
          <w:lang w:val="en-US" w:eastAsia="en-US"/>
        </w:rPr>
        <w:t xml:space="preserve"> In the case we are considering officers confirmed with the victim that she had been contacted by </w:t>
      </w:r>
      <w:proofErr w:type="spellStart"/>
      <w:r w:rsidRPr="00196FF0">
        <w:rPr>
          <w:rFonts w:asciiTheme="minorHAnsi" w:eastAsiaTheme="minorHAnsi" w:hAnsiTheme="minorHAnsi" w:cstheme="minorBidi"/>
          <w:color w:val="auto"/>
          <w:sz w:val="22"/>
          <w:szCs w:val="22"/>
          <w:lang w:val="en-US" w:eastAsia="en-US"/>
        </w:rPr>
        <w:t>a</w:t>
      </w:r>
      <w:proofErr w:type="spellEnd"/>
      <w:r w:rsidRPr="00196FF0">
        <w:rPr>
          <w:rFonts w:asciiTheme="minorHAnsi" w:eastAsiaTheme="minorHAnsi" w:hAnsiTheme="minorHAnsi" w:cstheme="minorBidi"/>
          <w:color w:val="auto"/>
          <w:sz w:val="22"/>
          <w:szCs w:val="22"/>
          <w:lang w:val="en-US" w:eastAsia="en-US"/>
        </w:rPr>
        <w:t xml:space="preserve"> Independent Domestic Violence Advisor who was supporting her and had also made contact with women’s aid and contacted the live fear free phoneline. She stated that she had been offered a place in a women’s refuge however she opted not to take this and to stay at her home address.</w:t>
      </w:r>
    </w:p>
    <w:p w14:paraId="31F37EF4"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655A1D39"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This victim was also entitled to an enhanced service which means they are to be updated of developments within 1 day as opposed to the usual 5 days. The eligibility for this is because they are considered vulnerable or intimidated, they are persistently targeted or they are a victim of the most serious crime. These are:</w:t>
      </w:r>
    </w:p>
    <w:p w14:paraId="55DF2A48" w14:textId="34D5B09E" w:rsid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i/>
          <w:iCs/>
          <w:color w:val="auto"/>
          <w:sz w:val="22"/>
          <w:szCs w:val="22"/>
          <w:lang w:val="en-US" w:eastAsia="en-US"/>
        </w:rPr>
      </w:pPr>
      <w:r w:rsidRPr="00196FF0">
        <w:rPr>
          <w:rFonts w:asciiTheme="minorHAnsi" w:eastAsiaTheme="minorHAnsi" w:hAnsiTheme="minorHAnsi" w:cstheme="minorBidi"/>
          <w:i/>
          <w:iCs/>
          <w:color w:val="auto"/>
          <w:sz w:val="22"/>
          <w:szCs w:val="22"/>
          <w:lang w:eastAsia="en-US"/>
        </w:rPr>
        <w:t>If you are a close relative bereaved by a criminal offence, a victim of domestic abuse, hate crime, terrorism, sexual offences, human trafficking, modern slavery, attempted murder, kidnap, false imprisonment, arson with intent to endanger life and wounding or causing grievous bodily harm with intent. (Victim’s Code, November 2020)</w:t>
      </w:r>
    </w:p>
    <w:p w14:paraId="6BDB0BC5" w14:textId="77777777" w:rsidR="00FF482F" w:rsidRPr="00196FF0" w:rsidRDefault="00FF482F" w:rsidP="00B73F15">
      <w:pPr>
        <w:overflowPunct/>
        <w:autoSpaceDE/>
        <w:autoSpaceDN/>
        <w:adjustRightInd/>
        <w:spacing w:after="160" w:line="259" w:lineRule="auto"/>
        <w:jc w:val="both"/>
        <w:textAlignment w:val="auto"/>
        <w:rPr>
          <w:rFonts w:asciiTheme="minorHAnsi" w:eastAsiaTheme="minorHAnsi" w:hAnsiTheme="minorHAnsi" w:cstheme="minorBidi"/>
          <w:i/>
          <w:iCs/>
          <w:color w:val="auto"/>
          <w:sz w:val="22"/>
          <w:szCs w:val="22"/>
          <w:lang w:val="en-US" w:eastAsia="en-US"/>
        </w:rPr>
      </w:pPr>
    </w:p>
    <w:p w14:paraId="6D65FFEB"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lastRenderedPageBreak/>
        <w:t>Victims also have the right to ask that decisions are reviewed during an investigation if they are unhappy with the decisions made. For police this is most likely to happen if a decision is made to not pursue further action against a perpetrator.</w:t>
      </w:r>
    </w:p>
    <w:p w14:paraId="7D17CC8F"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p>
    <w:p w14:paraId="150F8343" w14:textId="77777777" w:rsidR="00196FF0" w:rsidRPr="00196FF0" w:rsidRDefault="00196FF0" w:rsidP="00B73F15">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val="en-US" w:eastAsia="en-US"/>
        </w:rPr>
      </w:pPr>
      <w:r w:rsidRPr="00196FF0">
        <w:rPr>
          <w:rFonts w:asciiTheme="minorHAnsi" w:eastAsiaTheme="minorHAnsi" w:hAnsiTheme="minorHAnsi" w:cstheme="minorBidi"/>
          <w:color w:val="auto"/>
          <w:sz w:val="22"/>
          <w:szCs w:val="22"/>
          <w:lang w:val="en-US" w:eastAsia="en-US"/>
        </w:rPr>
        <w:t xml:space="preserve">It is also important to consider a victim when gathering evidence to support a prosecution. Where evidence can be seized from a suspect in relation to a crime, a victim must willingly provide evidence. In some </w:t>
      </w:r>
      <w:proofErr w:type="gramStart"/>
      <w:r w:rsidRPr="00196FF0">
        <w:rPr>
          <w:rFonts w:asciiTheme="minorHAnsi" w:eastAsiaTheme="minorHAnsi" w:hAnsiTheme="minorHAnsi" w:cstheme="minorBidi"/>
          <w:color w:val="auto"/>
          <w:sz w:val="22"/>
          <w:szCs w:val="22"/>
          <w:lang w:val="en-US" w:eastAsia="en-US"/>
        </w:rPr>
        <w:t>cases</w:t>
      </w:r>
      <w:proofErr w:type="gramEnd"/>
      <w:r w:rsidRPr="00196FF0">
        <w:rPr>
          <w:rFonts w:asciiTheme="minorHAnsi" w:eastAsiaTheme="minorHAnsi" w:hAnsiTheme="minorHAnsi" w:cstheme="minorBidi"/>
          <w:color w:val="auto"/>
          <w:sz w:val="22"/>
          <w:szCs w:val="22"/>
          <w:lang w:val="en-US" w:eastAsia="en-US"/>
        </w:rPr>
        <w:t xml:space="preserve"> this can cause issues. For example, in this case evidence was required in relation to coercive control which was on the victim’s phone. Had the victim provided her phone at this time she would have had no means of contacting police had the perpetrator returned to her property. The perpetrator was not at the address when officers arrived and so could not be arrested straight away which posed a risk to the victim. It was then arranged for the victim to attend at the station at a time pre-arranged for her phone to be downloaded quickly so that she could then keep it with her when she left the station and thus reduce the level of risk to the victim.</w:t>
      </w:r>
    </w:p>
    <w:p w14:paraId="681AC1AB" w14:textId="2401104A" w:rsidR="69F7424F" w:rsidRDefault="69F7424F" w:rsidP="00B73F15">
      <w:pPr>
        <w:overflowPunct/>
        <w:autoSpaceDE/>
        <w:autoSpaceDN/>
        <w:adjustRightInd/>
        <w:jc w:val="both"/>
        <w:textAlignment w:val="auto"/>
        <w:rPr>
          <w:b/>
          <w:bCs/>
          <w:sz w:val="24"/>
          <w:szCs w:val="24"/>
        </w:rPr>
      </w:pPr>
    </w:p>
    <w:p w14:paraId="57DAA3A6" w14:textId="79C4FD0E" w:rsidR="00691C09" w:rsidRDefault="00691C09" w:rsidP="00196FF0">
      <w:pPr>
        <w:overflowPunct/>
        <w:autoSpaceDE/>
        <w:autoSpaceDN/>
        <w:adjustRightInd/>
        <w:textAlignment w:val="auto"/>
        <w:rPr>
          <w:b/>
          <w:bCs/>
          <w:sz w:val="24"/>
          <w:szCs w:val="24"/>
        </w:rPr>
      </w:pPr>
    </w:p>
    <w:p w14:paraId="152CF58E" w14:textId="00BC3E97" w:rsidR="00691C09" w:rsidRPr="00196FF0" w:rsidRDefault="00691C09" w:rsidP="00196FF0">
      <w:pPr>
        <w:overflowPunct/>
        <w:autoSpaceDE/>
        <w:autoSpaceDN/>
        <w:adjustRightInd/>
        <w:textAlignment w:val="auto"/>
        <w:rPr>
          <w:b/>
          <w:bCs/>
          <w:sz w:val="24"/>
          <w:szCs w:val="24"/>
        </w:rPr>
      </w:pPr>
      <w:r>
        <w:rPr>
          <w:b/>
          <w:bCs/>
          <w:sz w:val="24"/>
          <w:szCs w:val="24"/>
        </w:rPr>
        <w:t>2105</w:t>
      </w: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9DDDEA1"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 xml:space="preserve">All crimes dealt with by police officer need to be considered on an individual basis and have their own challenges however domestic abuse cases require further consideration than most and often are more complex in nature. In this essay we will discuss the challenges faced by officers when dealing with an incident involving domestic abuse. </w:t>
      </w:r>
      <w:proofErr w:type="gramStart"/>
      <w:r w:rsidRPr="00E413B3">
        <w:rPr>
          <w:rFonts w:asciiTheme="minorHAnsi" w:eastAsiaTheme="minorHAnsi" w:hAnsiTheme="minorHAnsi" w:cstheme="minorBidi"/>
          <w:color w:val="auto"/>
          <w:sz w:val="22"/>
          <w:szCs w:val="22"/>
          <w:lang w:val="en-US" w:eastAsia="en-US"/>
        </w:rPr>
        <w:t>In particular we</w:t>
      </w:r>
      <w:proofErr w:type="gramEnd"/>
      <w:r w:rsidRPr="00E413B3">
        <w:rPr>
          <w:rFonts w:asciiTheme="minorHAnsi" w:eastAsiaTheme="minorHAnsi" w:hAnsiTheme="minorHAnsi" w:cstheme="minorBidi"/>
          <w:color w:val="auto"/>
          <w:sz w:val="22"/>
          <w:szCs w:val="22"/>
          <w:lang w:val="en-US" w:eastAsia="en-US"/>
        </w:rPr>
        <w:t xml:space="preserve"> will consider an incident of domestic assault which occurred between a victim and a perpetrator following a verbal argument.</w:t>
      </w:r>
    </w:p>
    <w:p w14:paraId="4FB2AE7D"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14DCCFBF"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In this incident the victim called police in fear after going through a verbal argument with the perpetrator, who was her partner. During this argument, the perpetrator threatened the victim and caused her to fear for her safety. As a result of this, she contacted police in the hope that this would calm the situation down and the perpetrator would leave her alone. Instead, once the phone call was ended the perpetrator grabbed the victim by the wrist and threw her to the floor. Police arrived shortly after this.</w:t>
      </w:r>
    </w:p>
    <w:p w14:paraId="761AA029"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767F3390" w14:textId="455E8D6D"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One of the most common challenges which is common upon officers’ arrival to a domestic incident which is not so common elsewhere is that, despite the victim calling for police attendance, they do not wish for officers to be there when they arrive. This explains the reasoning behind the victim in this case calling for police in the hope that it would calm the situation down. It is a regular occurrence for domestic abuse victims to do this to use police to stop situations from escalating</w:t>
      </w:r>
      <w:r w:rsidR="00A33E59">
        <w:rPr>
          <w:rFonts w:asciiTheme="minorHAnsi" w:eastAsiaTheme="minorHAnsi" w:hAnsiTheme="minorHAnsi" w:cstheme="minorBidi"/>
          <w:color w:val="auto"/>
          <w:sz w:val="22"/>
          <w:szCs w:val="22"/>
          <w:lang w:val="en-US" w:eastAsia="en-US"/>
        </w:rPr>
        <w:t xml:space="preserve"> and it is common for offenders to leave the</w:t>
      </w:r>
      <w:r w:rsidR="003060AA">
        <w:rPr>
          <w:rFonts w:asciiTheme="minorHAnsi" w:eastAsiaTheme="minorHAnsi" w:hAnsiTheme="minorHAnsi" w:cstheme="minorBidi"/>
          <w:color w:val="auto"/>
          <w:sz w:val="22"/>
          <w:szCs w:val="22"/>
          <w:lang w:val="en-US" w:eastAsia="en-US"/>
        </w:rPr>
        <w:t xml:space="preserve"> victim’s location as soon as the police are called (Boxall, 2018</w:t>
      </w:r>
      <w:r w:rsidR="00F97228">
        <w:rPr>
          <w:rFonts w:asciiTheme="minorHAnsi" w:eastAsiaTheme="minorHAnsi" w:hAnsiTheme="minorHAnsi" w:cstheme="minorBidi"/>
          <w:color w:val="auto"/>
          <w:sz w:val="22"/>
          <w:szCs w:val="22"/>
          <w:lang w:val="en-US" w:eastAsia="en-US"/>
        </w:rPr>
        <w:t>).</w:t>
      </w:r>
      <w:r w:rsidRPr="00E413B3">
        <w:rPr>
          <w:rFonts w:asciiTheme="minorHAnsi" w:eastAsiaTheme="minorHAnsi" w:hAnsiTheme="minorHAnsi" w:cstheme="minorBidi"/>
          <w:color w:val="auto"/>
          <w:sz w:val="22"/>
          <w:szCs w:val="22"/>
          <w:lang w:val="en-US" w:eastAsia="en-US"/>
        </w:rPr>
        <w:t xml:space="preserve"> In the incident we are considering this was not an issue as the victim was happy to see police as the situation escalated after she made the call.</w:t>
      </w:r>
    </w:p>
    <w:p w14:paraId="08EA0018"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14125809" w14:textId="5645644E"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 xml:space="preserve">It is normal practice in most incidents to separate the perpetrator from the victim to take each party’s account separately to ascertain what has </w:t>
      </w:r>
      <w:proofErr w:type="gramStart"/>
      <w:r w:rsidRPr="00E413B3">
        <w:rPr>
          <w:rFonts w:asciiTheme="minorHAnsi" w:eastAsiaTheme="minorHAnsi" w:hAnsiTheme="minorHAnsi" w:cstheme="minorBidi"/>
          <w:color w:val="auto"/>
          <w:sz w:val="22"/>
          <w:szCs w:val="22"/>
          <w:lang w:val="en-US" w:eastAsia="en-US"/>
        </w:rPr>
        <w:t>actually happened</w:t>
      </w:r>
      <w:proofErr w:type="gramEnd"/>
      <w:r w:rsidRPr="00E413B3">
        <w:rPr>
          <w:rFonts w:asciiTheme="minorHAnsi" w:eastAsiaTheme="minorHAnsi" w:hAnsiTheme="minorHAnsi" w:cstheme="minorBidi"/>
          <w:color w:val="auto"/>
          <w:sz w:val="22"/>
          <w:szCs w:val="22"/>
          <w:lang w:val="en-US" w:eastAsia="en-US"/>
        </w:rPr>
        <w:t>. It is not always clear on officers’ arrival who is the victim and who is the perpetrator. In a domestic incident this is essential as not only is it important to get an idea of what each party is stating happened it is also less likely that without separation the victim will be less likely to tell the police what has happened. This i</w:t>
      </w:r>
      <w:r w:rsidR="00F156F8">
        <w:rPr>
          <w:rFonts w:asciiTheme="minorHAnsi" w:eastAsiaTheme="minorHAnsi" w:hAnsiTheme="minorHAnsi" w:cstheme="minorBidi"/>
          <w:color w:val="auto"/>
          <w:sz w:val="22"/>
          <w:szCs w:val="22"/>
          <w:lang w:val="en-US" w:eastAsia="en-US"/>
        </w:rPr>
        <w:t>s</w:t>
      </w:r>
      <w:r w:rsidRPr="00E413B3">
        <w:rPr>
          <w:rFonts w:asciiTheme="minorHAnsi" w:eastAsiaTheme="minorHAnsi" w:hAnsiTheme="minorHAnsi" w:cstheme="minorBidi"/>
          <w:color w:val="auto"/>
          <w:sz w:val="22"/>
          <w:szCs w:val="22"/>
          <w:lang w:val="en-US" w:eastAsia="en-US"/>
        </w:rPr>
        <w:t xml:space="preserve"> a result of fear of the consequences they will face from the perpetrator for reporting what has happened</w:t>
      </w:r>
      <w:r w:rsidR="00F156F8">
        <w:rPr>
          <w:rFonts w:asciiTheme="minorHAnsi" w:eastAsiaTheme="minorHAnsi" w:hAnsiTheme="minorHAnsi" w:cstheme="minorBidi"/>
          <w:color w:val="auto"/>
          <w:sz w:val="22"/>
          <w:szCs w:val="22"/>
          <w:lang w:val="en-US" w:eastAsia="en-US"/>
        </w:rPr>
        <w:t>,</w:t>
      </w:r>
      <w:r w:rsidRPr="00E413B3">
        <w:rPr>
          <w:rFonts w:asciiTheme="minorHAnsi" w:eastAsiaTheme="minorHAnsi" w:hAnsiTheme="minorHAnsi" w:cstheme="minorBidi"/>
          <w:color w:val="auto"/>
          <w:sz w:val="22"/>
          <w:szCs w:val="22"/>
          <w:lang w:val="en-US" w:eastAsia="en-US"/>
        </w:rPr>
        <w:t xml:space="preserve"> feeling that they have no way of escaping the abuse</w:t>
      </w:r>
      <w:r w:rsidR="00F156F8">
        <w:rPr>
          <w:rFonts w:asciiTheme="minorHAnsi" w:eastAsiaTheme="minorHAnsi" w:hAnsiTheme="minorHAnsi" w:cstheme="minorBidi"/>
          <w:color w:val="auto"/>
          <w:sz w:val="22"/>
          <w:szCs w:val="22"/>
          <w:lang w:val="en-US" w:eastAsia="en-US"/>
        </w:rPr>
        <w:t xml:space="preserve">, loyalty to the offender and feeling that they love them </w:t>
      </w:r>
      <w:r w:rsidR="00167F45">
        <w:rPr>
          <w:rFonts w:asciiTheme="minorHAnsi" w:eastAsiaTheme="minorHAnsi" w:hAnsiTheme="minorHAnsi" w:cstheme="minorBidi"/>
          <w:color w:val="auto"/>
          <w:sz w:val="22"/>
          <w:szCs w:val="22"/>
          <w:lang w:val="en-US" w:eastAsia="en-US"/>
        </w:rPr>
        <w:t>and don’t wish to get them in trouble</w:t>
      </w:r>
      <w:r w:rsidR="00DC31A0">
        <w:rPr>
          <w:rFonts w:asciiTheme="minorHAnsi" w:eastAsiaTheme="minorHAnsi" w:hAnsiTheme="minorHAnsi" w:cstheme="minorBidi"/>
          <w:color w:val="auto"/>
          <w:sz w:val="22"/>
          <w:szCs w:val="22"/>
          <w:lang w:val="en-US" w:eastAsia="en-US"/>
        </w:rPr>
        <w:t xml:space="preserve"> and a desire for privacy in their personal lives (</w:t>
      </w:r>
      <w:r w:rsidR="00011059">
        <w:rPr>
          <w:rFonts w:asciiTheme="minorHAnsi" w:eastAsiaTheme="minorHAnsi" w:hAnsiTheme="minorHAnsi" w:cstheme="minorBidi"/>
          <w:color w:val="auto"/>
          <w:sz w:val="22"/>
          <w:szCs w:val="22"/>
          <w:lang w:val="en-US" w:eastAsia="en-US"/>
        </w:rPr>
        <w:t>Felson, 2002)</w:t>
      </w:r>
    </w:p>
    <w:p w14:paraId="1EC81768"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7D36A4DA" w14:textId="17F9B342"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It is also police policy to always use body worn video when attending a domestic abuse call.</w:t>
      </w:r>
      <w:r w:rsidR="004C6917">
        <w:rPr>
          <w:rFonts w:asciiTheme="minorHAnsi" w:eastAsiaTheme="minorHAnsi" w:hAnsiTheme="minorHAnsi" w:cstheme="minorBidi"/>
          <w:color w:val="auto"/>
          <w:sz w:val="22"/>
          <w:szCs w:val="22"/>
          <w:lang w:val="en-US" w:eastAsia="en-US"/>
        </w:rPr>
        <w:t xml:space="preserve"> The use of body worn cameras has been shown to increase the rates of c</w:t>
      </w:r>
      <w:r w:rsidR="00C904AD">
        <w:rPr>
          <w:rFonts w:asciiTheme="minorHAnsi" w:eastAsiaTheme="minorHAnsi" w:hAnsiTheme="minorHAnsi" w:cstheme="minorBidi"/>
          <w:color w:val="auto"/>
          <w:sz w:val="22"/>
          <w:szCs w:val="22"/>
          <w:lang w:val="en-US" w:eastAsia="en-US"/>
        </w:rPr>
        <w:t>riminal charges in domestic incidents</w:t>
      </w:r>
      <w:r w:rsidR="005E2CAD">
        <w:rPr>
          <w:rFonts w:asciiTheme="minorHAnsi" w:eastAsiaTheme="minorHAnsi" w:hAnsiTheme="minorHAnsi" w:cstheme="minorBidi"/>
          <w:color w:val="auto"/>
          <w:sz w:val="22"/>
          <w:szCs w:val="22"/>
          <w:lang w:val="en-US" w:eastAsia="en-US"/>
        </w:rPr>
        <w:t xml:space="preserve"> (</w:t>
      </w:r>
      <w:proofErr w:type="spellStart"/>
      <w:r w:rsidR="005E2CAD">
        <w:rPr>
          <w:rFonts w:asciiTheme="minorHAnsi" w:eastAsiaTheme="minorHAnsi" w:hAnsiTheme="minorHAnsi" w:cstheme="minorBidi"/>
          <w:color w:val="auto"/>
          <w:sz w:val="22"/>
          <w:szCs w:val="22"/>
          <w:lang w:val="en-US" w:eastAsia="en-US"/>
        </w:rPr>
        <w:t>Smykla</w:t>
      </w:r>
      <w:proofErr w:type="spellEnd"/>
      <w:r w:rsidR="005E2CAD">
        <w:rPr>
          <w:rFonts w:asciiTheme="minorHAnsi" w:eastAsiaTheme="minorHAnsi" w:hAnsiTheme="minorHAnsi" w:cstheme="minorBidi"/>
          <w:color w:val="auto"/>
          <w:sz w:val="22"/>
          <w:szCs w:val="22"/>
          <w:lang w:val="en-US" w:eastAsia="en-US"/>
        </w:rPr>
        <w:t>, 2016).</w:t>
      </w:r>
      <w:r w:rsidRPr="00E413B3">
        <w:rPr>
          <w:rFonts w:asciiTheme="minorHAnsi" w:eastAsiaTheme="minorHAnsi" w:hAnsiTheme="minorHAnsi" w:cstheme="minorBidi"/>
          <w:color w:val="auto"/>
          <w:sz w:val="22"/>
          <w:szCs w:val="22"/>
          <w:lang w:val="en-US" w:eastAsia="en-US"/>
        </w:rPr>
        <w:t xml:space="preserve"> It is quite common for victims of domestic abuse to refuse to support police action even if they are willing to tell police what they have experienced. This is often reflected in the statements they provide following an incident where they will either refuse to give a statement of complaint or state that they are not willing to attend court and will not engage with officers further. For this </w:t>
      </w:r>
      <w:proofErr w:type="gramStart"/>
      <w:r w:rsidRPr="00E413B3">
        <w:rPr>
          <w:rFonts w:asciiTheme="minorHAnsi" w:eastAsiaTheme="minorHAnsi" w:hAnsiTheme="minorHAnsi" w:cstheme="minorBidi"/>
          <w:color w:val="auto"/>
          <w:sz w:val="22"/>
          <w:szCs w:val="22"/>
          <w:lang w:val="en-US" w:eastAsia="en-US"/>
        </w:rPr>
        <w:t>reason</w:t>
      </w:r>
      <w:proofErr w:type="gramEnd"/>
      <w:r w:rsidRPr="00E413B3">
        <w:rPr>
          <w:rFonts w:asciiTheme="minorHAnsi" w:eastAsiaTheme="minorHAnsi" w:hAnsiTheme="minorHAnsi" w:cstheme="minorBidi"/>
          <w:color w:val="auto"/>
          <w:sz w:val="22"/>
          <w:szCs w:val="22"/>
          <w:lang w:val="en-US" w:eastAsia="en-US"/>
        </w:rPr>
        <w:t xml:space="preserve"> it is useful for officers to have a record of what they have initially seen upon attending the call and any disclosure that the victim may have given before refusing to help officers with their investigation. Domestic abuse cases can be prosecuted without the support of victims as a result of the unique circumstances surrounding them</w:t>
      </w:r>
      <w:r w:rsidR="00170607">
        <w:rPr>
          <w:rFonts w:asciiTheme="minorHAnsi" w:eastAsiaTheme="minorHAnsi" w:hAnsiTheme="minorHAnsi" w:cstheme="minorBidi"/>
          <w:color w:val="auto"/>
          <w:sz w:val="22"/>
          <w:szCs w:val="22"/>
          <w:lang w:val="en-US" w:eastAsia="en-US"/>
        </w:rPr>
        <w:t xml:space="preserve"> and this is being considered and used more regularly</w:t>
      </w:r>
      <w:r w:rsidR="002D607F">
        <w:rPr>
          <w:rFonts w:asciiTheme="minorHAnsi" w:eastAsiaTheme="minorHAnsi" w:hAnsiTheme="minorHAnsi" w:cstheme="minorBidi"/>
          <w:color w:val="auto"/>
          <w:sz w:val="22"/>
          <w:szCs w:val="22"/>
          <w:lang w:val="en-US" w:eastAsia="en-US"/>
        </w:rPr>
        <w:t xml:space="preserve"> and habitually for prosecutions with courts being less willing to </w:t>
      </w:r>
      <w:r w:rsidR="00A661DD">
        <w:rPr>
          <w:rFonts w:asciiTheme="minorHAnsi" w:eastAsiaTheme="minorHAnsi" w:hAnsiTheme="minorHAnsi" w:cstheme="minorBidi"/>
          <w:color w:val="auto"/>
          <w:sz w:val="22"/>
          <w:szCs w:val="22"/>
          <w:lang w:val="en-US" w:eastAsia="en-US"/>
        </w:rPr>
        <w:t>terminate</w:t>
      </w:r>
      <w:r w:rsidR="002D607F">
        <w:rPr>
          <w:rFonts w:asciiTheme="minorHAnsi" w:eastAsiaTheme="minorHAnsi" w:hAnsiTheme="minorHAnsi" w:cstheme="minorBidi"/>
          <w:color w:val="auto"/>
          <w:sz w:val="22"/>
          <w:szCs w:val="22"/>
          <w:lang w:val="en-US" w:eastAsia="en-US"/>
        </w:rPr>
        <w:t xml:space="preserve"> domestic cases based upon the desires of the victim (</w:t>
      </w:r>
      <w:r w:rsidR="00A661DD">
        <w:rPr>
          <w:rFonts w:asciiTheme="minorHAnsi" w:eastAsiaTheme="minorHAnsi" w:hAnsiTheme="minorHAnsi" w:cstheme="minorBidi"/>
          <w:color w:val="auto"/>
          <w:sz w:val="22"/>
          <w:szCs w:val="22"/>
          <w:lang w:val="en-US" w:eastAsia="en-US"/>
        </w:rPr>
        <w:t>Porter, 2019)</w:t>
      </w:r>
      <w:r w:rsidRPr="00E413B3">
        <w:rPr>
          <w:rFonts w:asciiTheme="minorHAnsi" w:eastAsiaTheme="minorHAnsi" w:hAnsiTheme="minorHAnsi" w:cstheme="minorBidi"/>
          <w:color w:val="auto"/>
          <w:sz w:val="22"/>
          <w:szCs w:val="22"/>
          <w:lang w:val="en-US" w:eastAsia="en-US"/>
        </w:rPr>
        <w:t>. This is so that the victim can be protected where they may not recognize the abuse they are suffering or feel trapped in the abusive relationship and fearful. In many cases they simply do not wish for action to be taken as they state they are in love with the person and believe the abuse to be a flaw in their partner which they can move past or live with.</w:t>
      </w:r>
      <w:r w:rsidR="00556A77">
        <w:rPr>
          <w:rFonts w:asciiTheme="minorHAnsi" w:eastAsiaTheme="minorHAnsi" w:hAnsiTheme="minorHAnsi" w:cstheme="minorBidi"/>
          <w:color w:val="auto"/>
          <w:sz w:val="22"/>
          <w:szCs w:val="22"/>
          <w:lang w:val="en-US" w:eastAsia="en-US"/>
        </w:rPr>
        <w:t xml:space="preserve"> </w:t>
      </w:r>
    </w:p>
    <w:p w14:paraId="345F489D"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46718DF8" w14:textId="0BA0F24D"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 xml:space="preserve">It is because of these issues with victims engaging with officers that it is essential that even in the event of nothing being reported, a public protection notification should be submitted to inform partner agencies who may be better placed to assist the victim in managing their relationship and coming to </w:t>
      </w:r>
      <w:proofErr w:type="spellStart"/>
      <w:r w:rsidRPr="00E413B3">
        <w:rPr>
          <w:rFonts w:asciiTheme="minorHAnsi" w:eastAsiaTheme="minorHAnsi" w:hAnsiTheme="minorHAnsi" w:cstheme="minorBidi"/>
          <w:color w:val="auto"/>
          <w:sz w:val="22"/>
          <w:szCs w:val="22"/>
          <w:lang w:val="en-US" w:eastAsia="en-US"/>
        </w:rPr>
        <w:t>realise</w:t>
      </w:r>
      <w:proofErr w:type="spellEnd"/>
      <w:r w:rsidRPr="00E413B3">
        <w:rPr>
          <w:rFonts w:asciiTheme="minorHAnsi" w:eastAsiaTheme="minorHAnsi" w:hAnsiTheme="minorHAnsi" w:cstheme="minorBidi"/>
          <w:color w:val="auto"/>
          <w:sz w:val="22"/>
          <w:szCs w:val="22"/>
          <w:lang w:val="en-US" w:eastAsia="en-US"/>
        </w:rPr>
        <w:t xml:space="preserve"> the issues they are facing.</w:t>
      </w:r>
      <w:r w:rsidR="00097579">
        <w:rPr>
          <w:rFonts w:asciiTheme="minorHAnsi" w:eastAsiaTheme="minorHAnsi" w:hAnsiTheme="minorHAnsi" w:cstheme="minorBidi"/>
          <w:color w:val="auto"/>
          <w:sz w:val="22"/>
          <w:szCs w:val="22"/>
          <w:lang w:val="en-US" w:eastAsia="en-US"/>
        </w:rPr>
        <w:t xml:space="preserve"> This </w:t>
      </w:r>
      <w:r w:rsidR="00356B11">
        <w:rPr>
          <w:rFonts w:asciiTheme="minorHAnsi" w:eastAsiaTheme="minorHAnsi" w:hAnsiTheme="minorHAnsi" w:cstheme="minorBidi"/>
          <w:color w:val="auto"/>
          <w:sz w:val="22"/>
          <w:szCs w:val="22"/>
          <w:lang w:val="en-US" w:eastAsia="en-US"/>
        </w:rPr>
        <w:t xml:space="preserve">will usually result in </w:t>
      </w:r>
      <w:proofErr w:type="spellStart"/>
      <w:r w:rsidR="00356B11">
        <w:rPr>
          <w:rFonts w:asciiTheme="minorHAnsi" w:eastAsiaTheme="minorHAnsi" w:hAnsiTheme="minorHAnsi" w:cstheme="minorBidi"/>
          <w:color w:val="auto"/>
          <w:sz w:val="22"/>
          <w:szCs w:val="22"/>
          <w:lang w:val="en-US" w:eastAsia="en-US"/>
        </w:rPr>
        <w:t>a</w:t>
      </w:r>
      <w:proofErr w:type="spellEnd"/>
      <w:r w:rsidR="00356B11">
        <w:rPr>
          <w:rFonts w:asciiTheme="minorHAnsi" w:eastAsiaTheme="minorHAnsi" w:hAnsiTheme="minorHAnsi" w:cstheme="minorBidi"/>
          <w:color w:val="auto"/>
          <w:sz w:val="22"/>
          <w:szCs w:val="22"/>
          <w:lang w:val="en-US" w:eastAsia="en-US"/>
        </w:rPr>
        <w:t xml:space="preserve"> </w:t>
      </w:r>
      <w:proofErr w:type="spellStart"/>
      <w:r w:rsidR="00356B11">
        <w:rPr>
          <w:rFonts w:asciiTheme="minorHAnsi" w:eastAsiaTheme="minorHAnsi" w:hAnsiTheme="minorHAnsi" w:cstheme="minorBidi"/>
          <w:color w:val="auto"/>
          <w:sz w:val="22"/>
          <w:szCs w:val="22"/>
          <w:lang w:val="en-US" w:eastAsia="en-US"/>
        </w:rPr>
        <w:t>Multi Agency</w:t>
      </w:r>
      <w:proofErr w:type="spellEnd"/>
      <w:r w:rsidR="00356B11">
        <w:rPr>
          <w:rFonts w:asciiTheme="minorHAnsi" w:eastAsiaTheme="minorHAnsi" w:hAnsiTheme="minorHAnsi" w:cstheme="minorBidi"/>
          <w:color w:val="auto"/>
          <w:sz w:val="22"/>
          <w:szCs w:val="22"/>
          <w:lang w:val="en-US" w:eastAsia="en-US"/>
        </w:rPr>
        <w:t xml:space="preserve"> Risk Assessment Conference</w:t>
      </w:r>
      <w:r w:rsidR="001B16CB">
        <w:rPr>
          <w:rFonts w:asciiTheme="minorHAnsi" w:eastAsiaTheme="minorHAnsi" w:hAnsiTheme="minorHAnsi" w:cstheme="minorBidi"/>
          <w:color w:val="auto"/>
          <w:sz w:val="22"/>
          <w:szCs w:val="22"/>
          <w:lang w:val="en-US" w:eastAsia="en-US"/>
        </w:rPr>
        <w:t xml:space="preserve"> (MARAC)</w:t>
      </w:r>
      <w:r w:rsidR="00356B11">
        <w:rPr>
          <w:rFonts w:asciiTheme="minorHAnsi" w:eastAsiaTheme="minorHAnsi" w:hAnsiTheme="minorHAnsi" w:cstheme="minorBidi"/>
          <w:color w:val="auto"/>
          <w:sz w:val="22"/>
          <w:szCs w:val="22"/>
          <w:lang w:val="en-US" w:eastAsia="en-US"/>
        </w:rPr>
        <w:t xml:space="preserve"> ref</w:t>
      </w:r>
      <w:r w:rsidR="001B16CB">
        <w:rPr>
          <w:rFonts w:asciiTheme="minorHAnsi" w:eastAsiaTheme="minorHAnsi" w:hAnsiTheme="minorHAnsi" w:cstheme="minorBidi"/>
          <w:color w:val="auto"/>
          <w:sz w:val="22"/>
          <w:szCs w:val="22"/>
          <w:lang w:val="en-US" w:eastAsia="en-US"/>
        </w:rPr>
        <w:t>erral</w:t>
      </w:r>
      <w:r w:rsidR="00356B11">
        <w:rPr>
          <w:rFonts w:asciiTheme="minorHAnsi" w:eastAsiaTheme="minorHAnsi" w:hAnsiTheme="minorHAnsi" w:cstheme="minorBidi"/>
          <w:color w:val="auto"/>
          <w:sz w:val="22"/>
          <w:szCs w:val="22"/>
          <w:lang w:val="en-US" w:eastAsia="en-US"/>
        </w:rPr>
        <w:t xml:space="preserve"> in domestic cases.</w:t>
      </w:r>
      <w:r w:rsidRPr="00E413B3">
        <w:rPr>
          <w:rFonts w:asciiTheme="minorHAnsi" w:eastAsiaTheme="minorHAnsi" w:hAnsiTheme="minorHAnsi" w:cstheme="minorBidi"/>
          <w:color w:val="auto"/>
          <w:sz w:val="22"/>
          <w:szCs w:val="22"/>
          <w:lang w:val="en-US" w:eastAsia="en-US"/>
        </w:rPr>
        <w:t xml:space="preserve"> Often victims will report things to other agencies that they would not tell police officers. The domestic abuse and sexual harassment section of the public protection notification is an important tool used to assess the risk posed to victims to aid in determining the necessary support to provide the victim. </w:t>
      </w:r>
      <w:r w:rsidR="00356B11">
        <w:rPr>
          <w:rFonts w:asciiTheme="minorHAnsi" w:eastAsiaTheme="minorHAnsi" w:hAnsiTheme="minorHAnsi" w:cstheme="minorBidi"/>
          <w:color w:val="auto"/>
          <w:sz w:val="22"/>
          <w:szCs w:val="22"/>
          <w:lang w:val="en-US" w:eastAsia="en-US"/>
        </w:rPr>
        <w:t>The effects of MARAC referral</w:t>
      </w:r>
      <w:r w:rsidR="001B16CB">
        <w:rPr>
          <w:rFonts w:asciiTheme="minorHAnsi" w:eastAsiaTheme="minorHAnsi" w:hAnsiTheme="minorHAnsi" w:cstheme="minorBidi"/>
          <w:color w:val="auto"/>
          <w:sz w:val="22"/>
          <w:szCs w:val="22"/>
          <w:lang w:val="en-US" w:eastAsia="en-US"/>
        </w:rPr>
        <w:t xml:space="preserve"> are significant and have shown results in reducing re-victimization of victims of domestic abuse through a community wide support structure (</w:t>
      </w:r>
      <w:r w:rsidR="002042D3">
        <w:rPr>
          <w:rFonts w:asciiTheme="minorHAnsi" w:eastAsiaTheme="minorHAnsi" w:hAnsiTheme="minorHAnsi" w:cstheme="minorBidi"/>
          <w:color w:val="auto"/>
          <w:sz w:val="22"/>
          <w:szCs w:val="22"/>
          <w:lang w:val="en-US" w:eastAsia="en-US"/>
        </w:rPr>
        <w:t xml:space="preserve">Robinson, 2006). </w:t>
      </w:r>
      <w:r w:rsidRPr="00E413B3">
        <w:rPr>
          <w:rFonts w:asciiTheme="minorHAnsi" w:eastAsiaTheme="minorHAnsi" w:hAnsiTheme="minorHAnsi" w:cstheme="minorBidi"/>
          <w:color w:val="auto"/>
          <w:sz w:val="22"/>
          <w:szCs w:val="22"/>
          <w:lang w:val="en-US" w:eastAsia="en-US"/>
        </w:rPr>
        <w:t xml:space="preserve">One of the biggest issues with this is that the </w:t>
      </w:r>
      <w:proofErr w:type="gramStart"/>
      <w:r w:rsidRPr="00E413B3">
        <w:rPr>
          <w:rFonts w:asciiTheme="minorHAnsi" w:eastAsiaTheme="minorHAnsi" w:hAnsiTheme="minorHAnsi" w:cstheme="minorBidi"/>
          <w:color w:val="auto"/>
          <w:sz w:val="22"/>
          <w:szCs w:val="22"/>
          <w:lang w:val="en-US" w:eastAsia="en-US"/>
        </w:rPr>
        <w:t>twenty nine</w:t>
      </w:r>
      <w:proofErr w:type="gramEnd"/>
      <w:r w:rsidRPr="00E413B3">
        <w:rPr>
          <w:rFonts w:asciiTheme="minorHAnsi" w:eastAsiaTheme="minorHAnsi" w:hAnsiTheme="minorHAnsi" w:cstheme="minorBidi"/>
          <w:color w:val="auto"/>
          <w:sz w:val="22"/>
          <w:szCs w:val="22"/>
          <w:lang w:val="en-US" w:eastAsia="en-US"/>
        </w:rPr>
        <w:t xml:space="preserve"> questions require that the victim engages to answer them and a victim who is already unwilling to engage to report the details of an incident to officers is highly unlikely to engage in answering these questions. Regardless, the report should be submitted with as much information as the officer is able to gather.</w:t>
      </w:r>
    </w:p>
    <w:p w14:paraId="0D604242"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40DA8550"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lastRenderedPageBreak/>
        <w:t xml:space="preserve">In the incident we are considering the victim initially engaged with officers and gave them a disclosure of what had happened resulting in the arrest of the perpetrator. </w:t>
      </w:r>
      <w:proofErr w:type="gramStart"/>
      <w:r w:rsidRPr="00E413B3">
        <w:rPr>
          <w:rFonts w:asciiTheme="minorHAnsi" w:eastAsiaTheme="minorHAnsi" w:hAnsiTheme="minorHAnsi" w:cstheme="minorBidi"/>
          <w:color w:val="auto"/>
          <w:sz w:val="22"/>
          <w:szCs w:val="22"/>
          <w:lang w:val="en-US" w:eastAsia="en-US"/>
        </w:rPr>
        <w:t>However</w:t>
      </w:r>
      <w:proofErr w:type="gramEnd"/>
      <w:r w:rsidRPr="00E413B3">
        <w:rPr>
          <w:rFonts w:asciiTheme="minorHAnsi" w:eastAsiaTheme="minorHAnsi" w:hAnsiTheme="minorHAnsi" w:cstheme="minorBidi"/>
          <w:color w:val="auto"/>
          <w:sz w:val="22"/>
          <w:szCs w:val="22"/>
          <w:lang w:val="en-US" w:eastAsia="en-US"/>
        </w:rPr>
        <w:t xml:space="preserve"> when officers attempted to take a statement, the victim declared that she was in fear of what the perpetrator would do and refused to provide a full statement of complaint and stated that she was not willing to attend court. She also declined when officers asked to refer her to victim support and refused to answer the </w:t>
      </w:r>
      <w:proofErr w:type="gramStart"/>
      <w:r w:rsidRPr="00E413B3">
        <w:rPr>
          <w:rFonts w:asciiTheme="minorHAnsi" w:eastAsiaTheme="minorHAnsi" w:hAnsiTheme="minorHAnsi" w:cstheme="minorBidi"/>
          <w:color w:val="auto"/>
          <w:sz w:val="22"/>
          <w:szCs w:val="22"/>
          <w:lang w:val="en-US" w:eastAsia="en-US"/>
        </w:rPr>
        <w:t>twenty nine</w:t>
      </w:r>
      <w:proofErr w:type="gramEnd"/>
      <w:r w:rsidRPr="00E413B3">
        <w:rPr>
          <w:rFonts w:asciiTheme="minorHAnsi" w:eastAsiaTheme="minorHAnsi" w:hAnsiTheme="minorHAnsi" w:cstheme="minorBidi"/>
          <w:color w:val="auto"/>
          <w:sz w:val="22"/>
          <w:szCs w:val="22"/>
          <w:lang w:val="en-US" w:eastAsia="en-US"/>
        </w:rPr>
        <w:t xml:space="preserve"> questions for the public protection notification. Due to the earlier disclosure, officers were still able to update the public protection report with a large amount of detail which would provide a lot of information for partner agencies to agree on an appropriate program of support for the victim.</w:t>
      </w:r>
    </w:p>
    <w:p w14:paraId="1A3935C4"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1FD062AB" w14:textId="2F3C0AE0"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Another issue which becomes a problem with domestic abuse cases is that even after a perpetrator has been arrested, such as in this case, once they are released from custody the victim will take them back. Sometimes this is even in direct violation of bail conditions. This is a very big problem as bail conditions can often be a great help in protecting victims as it can make it an offence for perpetrators to contact victims. In a lot of domestic cases however, the victims will often be apologetic towards the perpetrator and make contact themselves. This will often result in further incidents and in some cases withdrawal of complaints.</w:t>
      </w:r>
      <w:r w:rsidR="00893EC3">
        <w:rPr>
          <w:rFonts w:asciiTheme="minorHAnsi" w:eastAsiaTheme="minorHAnsi" w:hAnsiTheme="minorHAnsi" w:cstheme="minorBidi"/>
          <w:color w:val="auto"/>
          <w:sz w:val="22"/>
          <w:szCs w:val="22"/>
          <w:lang w:val="en-US" w:eastAsia="en-US"/>
        </w:rPr>
        <w:t xml:space="preserve"> This is often due to victims concerns that even a prosecution will not change their situation and there is no guarantee for their safety (</w:t>
      </w:r>
      <w:r w:rsidR="00835E3F">
        <w:rPr>
          <w:rFonts w:asciiTheme="minorHAnsi" w:eastAsiaTheme="minorHAnsi" w:hAnsiTheme="minorHAnsi" w:cstheme="minorBidi"/>
          <w:color w:val="auto"/>
          <w:sz w:val="22"/>
          <w:szCs w:val="22"/>
          <w:lang w:val="en-US" w:eastAsia="en-US"/>
        </w:rPr>
        <w:t>Payne 2009).</w:t>
      </w:r>
    </w:p>
    <w:p w14:paraId="1865F205"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1A0270A0" w14:textId="38B47CE1"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 xml:space="preserve">A unique approach which can be used in many domestic abuse cases is a domestic abuse protection order. Initially police can impose a domestic abuse protection notice which will prohibit the offender from attending the victim’s home or contacting the victim for </w:t>
      </w:r>
      <w:proofErr w:type="gramStart"/>
      <w:r w:rsidRPr="00E413B3">
        <w:rPr>
          <w:rFonts w:asciiTheme="minorHAnsi" w:eastAsiaTheme="minorHAnsi" w:hAnsiTheme="minorHAnsi" w:cstheme="minorBidi"/>
          <w:color w:val="auto"/>
          <w:sz w:val="22"/>
          <w:szCs w:val="22"/>
          <w:lang w:val="en-US" w:eastAsia="en-US"/>
        </w:rPr>
        <w:t>forty eight</w:t>
      </w:r>
      <w:proofErr w:type="gramEnd"/>
      <w:r w:rsidRPr="00E413B3">
        <w:rPr>
          <w:rFonts w:asciiTheme="minorHAnsi" w:eastAsiaTheme="minorHAnsi" w:hAnsiTheme="minorHAnsi" w:cstheme="minorBidi"/>
          <w:color w:val="auto"/>
          <w:sz w:val="22"/>
          <w:szCs w:val="22"/>
          <w:lang w:val="en-US" w:eastAsia="en-US"/>
        </w:rPr>
        <w:t xml:space="preserve"> hours. During this </w:t>
      </w:r>
      <w:proofErr w:type="gramStart"/>
      <w:r w:rsidRPr="00E413B3">
        <w:rPr>
          <w:rFonts w:asciiTheme="minorHAnsi" w:eastAsiaTheme="minorHAnsi" w:hAnsiTheme="minorHAnsi" w:cstheme="minorBidi"/>
          <w:color w:val="auto"/>
          <w:sz w:val="22"/>
          <w:szCs w:val="22"/>
          <w:lang w:val="en-US" w:eastAsia="en-US"/>
        </w:rPr>
        <w:t>forty eight</w:t>
      </w:r>
      <w:proofErr w:type="gramEnd"/>
      <w:r w:rsidRPr="00E413B3">
        <w:rPr>
          <w:rFonts w:asciiTheme="minorHAnsi" w:eastAsiaTheme="minorHAnsi" w:hAnsiTheme="minorHAnsi" w:cstheme="minorBidi"/>
          <w:color w:val="auto"/>
          <w:sz w:val="22"/>
          <w:szCs w:val="22"/>
          <w:lang w:val="en-US" w:eastAsia="en-US"/>
        </w:rPr>
        <w:t xml:space="preserve"> hours an application will be made to the magistrates court for a domestic abuse protection order to be imposed this can prevent contact for up to 28 days. This can be important as it can allow the victim time to think about whether they may be better off without the perpetrator and to reassess their abusive relationship</w:t>
      </w:r>
      <w:r w:rsidR="004E2E68">
        <w:rPr>
          <w:rFonts w:asciiTheme="minorHAnsi" w:eastAsiaTheme="minorHAnsi" w:hAnsiTheme="minorHAnsi" w:cstheme="minorBidi"/>
          <w:color w:val="auto"/>
          <w:sz w:val="22"/>
          <w:szCs w:val="22"/>
          <w:lang w:val="en-US" w:eastAsia="en-US"/>
        </w:rPr>
        <w:t xml:space="preserve"> (</w:t>
      </w:r>
      <w:proofErr w:type="spellStart"/>
      <w:r w:rsidR="00175DAD">
        <w:rPr>
          <w:rFonts w:asciiTheme="minorHAnsi" w:eastAsiaTheme="minorHAnsi" w:hAnsiTheme="minorHAnsi" w:cstheme="minorBidi"/>
          <w:color w:val="auto"/>
          <w:sz w:val="22"/>
          <w:szCs w:val="22"/>
          <w:lang w:val="en-US" w:eastAsia="en-US"/>
        </w:rPr>
        <w:t>Matczak</w:t>
      </w:r>
      <w:proofErr w:type="spellEnd"/>
      <w:r w:rsidR="00175DAD">
        <w:rPr>
          <w:rFonts w:asciiTheme="minorHAnsi" w:eastAsiaTheme="minorHAnsi" w:hAnsiTheme="minorHAnsi" w:cstheme="minorBidi"/>
          <w:color w:val="auto"/>
          <w:sz w:val="22"/>
          <w:szCs w:val="22"/>
          <w:lang w:val="en-US" w:eastAsia="en-US"/>
        </w:rPr>
        <w:t>, 2011).</w:t>
      </w:r>
    </w:p>
    <w:p w14:paraId="6AA7768D"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357BE38D" w14:textId="748B55AA"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One of the biggest issues with dealing with domestic cases is that often police intervention can exacerbate issues in an abusive relationship</w:t>
      </w:r>
      <w:r w:rsidR="006626B9">
        <w:rPr>
          <w:rFonts w:asciiTheme="minorHAnsi" w:eastAsiaTheme="minorHAnsi" w:hAnsiTheme="minorHAnsi" w:cstheme="minorBidi"/>
          <w:color w:val="auto"/>
          <w:sz w:val="22"/>
          <w:szCs w:val="22"/>
          <w:lang w:val="en-US" w:eastAsia="en-US"/>
        </w:rPr>
        <w:t xml:space="preserve"> (Hoyle, 2000)</w:t>
      </w:r>
      <w:r w:rsidRPr="00E413B3">
        <w:rPr>
          <w:rFonts w:asciiTheme="minorHAnsi" w:eastAsiaTheme="minorHAnsi" w:hAnsiTheme="minorHAnsi" w:cstheme="minorBidi"/>
          <w:color w:val="auto"/>
          <w:sz w:val="22"/>
          <w:szCs w:val="22"/>
          <w:lang w:val="en-US" w:eastAsia="en-US"/>
        </w:rPr>
        <w:t xml:space="preserve">. Although there are many measures officers and other agencies can </w:t>
      </w:r>
      <w:proofErr w:type="gramStart"/>
      <w:r w:rsidRPr="00E413B3">
        <w:rPr>
          <w:rFonts w:asciiTheme="minorHAnsi" w:eastAsiaTheme="minorHAnsi" w:hAnsiTheme="minorHAnsi" w:cstheme="minorBidi"/>
          <w:color w:val="auto"/>
          <w:sz w:val="22"/>
          <w:szCs w:val="22"/>
          <w:lang w:val="en-US" w:eastAsia="en-US"/>
        </w:rPr>
        <w:t>take  to</w:t>
      </w:r>
      <w:proofErr w:type="gramEnd"/>
      <w:r w:rsidRPr="00E413B3">
        <w:rPr>
          <w:rFonts w:asciiTheme="minorHAnsi" w:eastAsiaTheme="minorHAnsi" w:hAnsiTheme="minorHAnsi" w:cstheme="minorBidi"/>
          <w:color w:val="auto"/>
          <w:sz w:val="22"/>
          <w:szCs w:val="22"/>
          <w:lang w:val="en-US" w:eastAsia="en-US"/>
        </w:rPr>
        <w:t xml:space="preserve"> support victims, the common issue of victims returning to their abusers can often lead to further abuse after a report has been made. This may often lead to reports not being made when abuse occurs. This is another reason why </w:t>
      </w:r>
      <w:proofErr w:type="spellStart"/>
      <w:r w:rsidRPr="00E413B3">
        <w:rPr>
          <w:rFonts w:asciiTheme="minorHAnsi" w:eastAsiaTheme="minorHAnsi" w:hAnsiTheme="minorHAnsi" w:cstheme="minorBidi"/>
          <w:color w:val="auto"/>
          <w:sz w:val="22"/>
          <w:szCs w:val="22"/>
          <w:lang w:val="en-US" w:eastAsia="en-US"/>
        </w:rPr>
        <w:t>organisations</w:t>
      </w:r>
      <w:proofErr w:type="spellEnd"/>
      <w:r w:rsidRPr="00E413B3">
        <w:rPr>
          <w:rFonts w:asciiTheme="minorHAnsi" w:eastAsiaTheme="minorHAnsi" w:hAnsiTheme="minorHAnsi" w:cstheme="minorBidi"/>
          <w:color w:val="auto"/>
          <w:sz w:val="22"/>
          <w:szCs w:val="22"/>
          <w:lang w:val="en-US" w:eastAsia="en-US"/>
        </w:rPr>
        <w:t xml:space="preserve"> such as Live Fear Free are essential to give victims an avenue to speak to somebody </w:t>
      </w:r>
      <w:proofErr w:type="gramStart"/>
      <w:r w:rsidRPr="00E413B3">
        <w:rPr>
          <w:rFonts w:asciiTheme="minorHAnsi" w:eastAsiaTheme="minorHAnsi" w:hAnsiTheme="minorHAnsi" w:cstheme="minorBidi"/>
          <w:color w:val="auto"/>
          <w:sz w:val="22"/>
          <w:szCs w:val="22"/>
          <w:lang w:val="en-US" w:eastAsia="en-US"/>
        </w:rPr>
        <w:t>in regards to</w:t>
      </w:r>
      <w:proofErr w:type="gramEnd"/>
      <w:r w:rsidRPr="00E413B3">
        <w:rPr>
          <w:rFonts w:asciiTheme="minorHAnsi" w:eastAsiaTheme="minorHAnsi" w:hAnsiTheme="minorHAnsi" w:cstheme="minorBidi"/>
          <w:color w:val="auto"/>
          <w:sz w:val="22"/>
          <w:szCs w:val="22"/>
          <w:lang w:val="en-US" w:eastAsia="en-US"/>
        </w:rPr>
        <w:t xml:space="preserve"> the abuse they are suffering to offer as much support as possible.</w:t>
      </w:r>
    </w:p>
    <w:p w14:paraId="6CD57A60"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54C4B321" w14:textId="11FD60BE"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 xml:space="preserve">In relation to the </w:t>
      </w:r>
      <w:proofErr w:type="gramStart"/>
      <w:r w:rsidRPr="00E413B3">
        <w:rPr>
          <w:rFonts w:asciiTheme="minorHAnsi" w:eastAsiaTheme="minorHAnsi" w:hAnsiTheme="minorHAnsi" w:cstheme="minorBidi"/>
          <w:color w:val="auto"/>
          <w:sz w:val="22"/>
          <w:szCs w:val="22"/>
          <w:lang w:val="en-US" w:eastAsia="en-US"/>
        </w:rPr>
        <w:t>incident</w:t>
      </w:r>
      <w:proofErr w:type="gramEnd"/>
      <w:r w:rsidRPr="00E413B3">
        <w:rPr>
          <w:rFonts w:asciiTheme="minorHAnsi" w:eastAsiaTheme="minorHAnsi" w:hAnsiTheme="minorHAnsi" w:cstheme="minorBidi"/>
          <w:color w:val="auto"/>
          <w:sz w:val="22"/>
          <w:szCs w:val="22"/>
          <w:lang w:val="en-US" w:eastAsia="en-US"/>
        </w:rPr>
        <w:t xml:space="preserve"> we are considering in this essay, the victim stated that she has spoken to multiple agencies and been offered support through women’s aid and victim support in the past. She had an extensive domestic abuse history both with her current partner and her </w:t>
      </w:r>
      <w:proofErr w:type="spellStart"/>
      <w:proofErr w:type="gramStart"/>
      <w:r w:rsidRPr="00E413B3">
        <w:rPr>
          <w:rFonts w:asciiTheme="minorHAnsi" w:eastAsiaTheme="minorHAnsi" w:hAnsiTheme="minorHAnsi" w:cstheme="minorBidi"/>
          <w:color w:val="auto"/>
          <w:sz w:val="22"/>
          <w:szCs w:val="22"/>
          <w:lang w:val="en-US" w:eastAsia="en-US"/>
        </w:rPr>
        <w:t>ex partner</w:t>
      </w:r>
      <w:proofErr w:type="spellEnd"/>
      <w:proofErr w:type="gramEnd"/>
      <w:r w:rsidRPr="00E413B3">
        <w:rPr>
          <w:rFonts w:asciiTheme="minorHAnsi" w:eastAsiaTheme="minorHAnsi" w:hAnsiTheme="minorHAnsi" w:cstheme="minorBidi"/>
          <w:color w:val="auto"/>
          <w:sz w:val="22"/>
          <w:szCs w:val="22"/>
          <w:lang w:val="en-US" w:eastAsia="en-US"/>
        </w:rPr>
        <w:t xml:space="preserve"> as both aggressor and victim. After each previous occurrence with her current partner the victim had continued her relationship with him and not assisted in any investigations resulting in no action due to a lack of evidence. The victim stated that she was intending to leave the perpetrator after this incident but repeated multiple times that she loved him. Officers attempted to encourage the victim </w:t>
      </w:r>
      <w:r w:rsidRPr="00E413B3">
        <w:rPr>
          <w:rFonts w:asciiTheme="minorHAnsi" w:eastAsiaTheme="minorHAnsi" w:hAnsiTheme="minorHAnsi" w:cstheme="minorBidi"/>
          <w:color w:val="auto"/>
          <w:sz w:val="22"/>
          <w:szCs w:val="22"/>
          <w:lang w:val="en-US" w:eastAsia="en-US"/>
        </w:rPr>
        <w:lastRenderedPageBreak/>
        <w:t>to seek support, allow them to refer her to agencies and complete the public protection notification to help her ensure the abuse was stopped</w:t>
      </w:r>
      <w:r w:rsidR="008D05BB">
        <w:rPr>
          <w:rFonts w:asciiTheme="minorHAnsi" w:eastAsiaTheme="minorHAnsi" w:hAnsiTheme="minorHAnsi" w:cstheme="minorBidi"/>
          <w:color w:val="auto"/>
          <w:sz w:val="22"/>
          <w:szCs w:val="22"/>
          <w:lang w:val="en-US" w:eastAsia="en-US"/>
        </w:rPr>
        <w:t>,</w:t>
      </w:r>
      <w:r w:rsidRPr="00E413B3">
        <w:rPr>
          <w:rFonts w:asciiTheme="minorHAnsi" w:eastAsiaTheme="minorHAnsi" w:hAnsiTheme="minorHAnsi" w:cstheme="minorBidi"/>
          <w:color w:val="auto"/>
          <w:sz w:val="22"/>
          <w:szCs w:val="22"/>
          <w:lang w:val="en-US" w:eastAsia="en-US"/>
        </w:rPr>
        <w:t xml:space="preserve"> however she was adamant that she would not accept any help. </w:t>
      </w:r>
      <w:proofErr w:type="gramStart"/>
      <w:r w:rsidRPr="00E413B3">
        <w:rPr>
          <w:rFonts w:asciiTheme="minorHAnsi" w:eastAsiaTheme="minorHAnsi" w:hAnsiTheme="minorHAnsi" w:cstheme="minorBidi"/>
          <w:color w:val="auto"/>
          <w:sz w:val="22"/>
          <w:szCs w:val="22"/>
          <w:lang w:val="en-US" w:eastAsia="en-US"/>
        </w:rPr>
        <w:t>Unfortunately</w:t>
      </w:r>
      <w:proofErr w:type="gramEnd"/>
      <w:r w:rsidRPr="00E413B3">
        <w:rPr>
          <w:rFonts w:asciiTheme="minorHAnsi" w:eastAsiaTheme="minorHAnsi" w:hAnsiTheme="minorHAnsi" w:cstheme="minorBidi"/>
          <w:color w:val="auto"/>
          <w:sz w:val="22"/>
          <w:szCs w:val="22"/>
          <w:lang w:val="en-US" w:eastAsia="en-US"/>
        </w:rPr>
        <w:t xml:space="preserve"> it is highly likely that the victim and the perpetrator in this case will re-form their relationship and the abuse will continue. </w:t>
      </w:r>
    </w:p>
    <w:p w14:paraId="1918D561"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68BE9C4A"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413B3">
        <w:rPr>
          <w:rFonts w:asciiTheme="minorHAnsi" w:eastAsiaTheme="minorHAnsi" w:hAnsiTheme="minorHAnsi" w:cstheme="minorBidi"/>
          <w:color w:val="auto"/>
          <w:sz w:val="22"/>
          <w:szCs w:val="22"/>
          <w:lang w:val="en-US" w:eastAsia="en-US"/>
        </w:rPr>
        <w:t>Domestic abuse is a growing issue and a significant problem in England and Wales and has a significant impact on policing. Considering that it is also likely under reported it is essential that domestic abuse is dealt with appropriately and we continue to make progress on how we support victims.</w:t>
      </w:r>
    </w:p>
    <w:p w14:paraId="737EA99B"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p>
    <w:p w14:paraId="5D3DA0A2" w14:textId="77777777" w:rsidR="00E413B3" w:rsidRPr="00E413B3" w:rsidRDefault="00E413B3" w:rsidP="00E413B3">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val="en-US" w:eastAsia="en-US"/>
        </w:rPr>
      </w:pPr>
      <w:r w:rsidRPr="00E413B3">
        <w:rPr>
          <w:rFonts w:asciiTheme="minorHAnsi" w:eastAsiaTheme="minorHAnsi" w:hAnsiTheme="minorHAnsi" w:cstheme="minorBidi"/>
          <w:i/>
          <w:iCs/>
          <w:color w:val="auto"/>
          <w:sz w:val="22"/>
          <w:szCs w:val="22"/>
          <w:lang w:val="en-US" w:eastAsia="en-US"/>
        </w:rPr>
        <w:t>The most recent data available from the CSEW for year ending March 2020 shows 20.8 percent of adults aged 16 to 74 years reported having experienced domestic abuse since the age of 16. This equates to 8.8 million adults aged 16 to 74 who had experienced domestic abuse in their adult life. (Tackling domestic abuse plan, 2022)</w:t>
      </w: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2DEC11DC" w:rsidR="00025650" w:rsidRPr="00E676F7" w:rsidRDefault="00454ADE" w:rsidP="0FF883D4">
      <w:pPr>
        <w:ind w:right="237"/>
        <w:jc w:val="both"/>
        <w:rPr>
          <w:color w:val="000000" w:themeColor="text1"/>
          <w:sz w:val="24"/>
          <w:szCs w:val="24"/>
        </w:rPr>
      </w:pPr>
      <w:r>
        <w:rPr>
          <w:color w:val="000000" w:themeColor="text1"/>
          <w:sz w:val="24"/>
          <w:szCs w:val="24"/>
        </w:rPr>
        <w:t>1695</w:t>
      </w: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4C96E831" w:rsidR="00025650" w:rsidRDefault="00025650" w:rsidP="0FF883D4">
      <w:pPr>
        <w:ind w:right="237"/>
        <w:jc w:val="both"/>
        <w:rPr>
          <w:color w:val="000000" w:themeColor="text1"/>
          <w:sz w:val="24"/>
          <w:szCs w:val="24"/>
        </w:rPr>
      </w:pPr>
    </w:p>
    <w:p w14:paraId="54568B79" w14:textId="17317B79" w:rsidR="00E413B3" w:rsidRDefault="00E413B3" w:rsidP="0FF883D4">
      <w:pPr>
        <w:ind w:right="237"/>
        <w:jc w:val="both"/>
        <w:rPr>
          <w:color w:val="000000" w:themeColor="text1"/>
          <w:sz w:val="24"/>
          <w:szCs w:val="24"/>
        </w:rPr>
      </w:pPr>
    </w:p>
    <w:p w14:paraId="605A949E" w14:textId="0E044C11" w:rsidR="00E413B3" w:rsidRDefault="00E413B3" w:rsidP="0FF883D4">
      <w:pPr>
        <w:ind w:right="237"/>
        <w:jc w:val="both"/>
        <w:rPr>
          <w:color w:val="000000" w:themeColor="text1"/>
          <w:sz w:val="24"/>
          <w:szCs w:val="24"/>
        </w:rPr>
      </w:pPr>
    </w:p>
    <w:p w14:paraId="55E6D369" w14:textId="13493592" w:rsidR="00E413B3" w:rsidRDefault="00E413B3" w:rsidP="0FF883D4">
      <w:pPr>
        <w:ind w:right="237"/>
        <w:jc w:val="both"/>
        <w:rPr>
          <w:color w:val="000000" w:themeColor="text1"/>
          <w:sz w:val="24"/>
          <w:szCs w:val="24"/>
        </w:rPr>
      </w:pPr>
    </w:p>
    <w:p w14:paraId="7A98CE05" w14:textId="77777777" w:rsidR="00E413B3" w:rsidRPr="00E676F7" w:rsidRDefault="00E413B3"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C0A8896" w:rsidR="0FF883D4" w:rsidRDefault="5CE196A1" w:rsidP="5CE196A1">
      <w:r w:rsidRPr="5CE196A1">
        <w:rPr>
          <w:rFonts w:eastAsia="Arial"/>
          <w:b/>
          <w:bCs/>
          <w:color w:val="000000" w:themeColor="text1"/>
          <w:sz w:val="24"/>
          <w:szCs w:val="24"/>
        </w:rPr>
        <w:t xml:space="preserve">Signed: </w:t>
      </w:r>
      <w:r w:rsidR="00A30867">
        <w:rPr>
          <w:rFonts w:eastAsia="Arial"/>
          <w:b/>
          <w:bCs/>
          <w:color w:val="000000" w:themeColor="text1"/>
          <w:sz w:val="24"/>
          <w:szCs w:val="24"/>
        </w:rPr>
        <w:t>Billy Deasy</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3A78F542" w:rsidR="0FF883D4" w:rsidRDefault="009E35A6"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Pr>
          <w:b/>
          <w:bCs/>
          <w:sz w:val="24"/>
          <w:szCs w:val="24"/>
          <w:lang w:eastAsia="zh-TW"/>
        </w:rPr>
        <w:t>13</w:t>
      </w:r>
      <w:r w:rsidR="00A30867">
        <w:rPr>
          <w:b/>
          <w:bCs/>
          <w:sz w:val="24"/>
          <w:szCs w:val="24"/>
          <w:lang w:eastAsia="zh-TW"/>
        </w:rPr>
        <w:t>/0</w:t>
      </w:r>
      <w:r>
        <w:rPr>
          <w:b/>
          <w:bCs/>
          <w:sz w:val="24"/>
          <w:szCs w:val="24"/>
          <w:lang w:eastAsia="zh-TW"/>
        </w:rPr>
        <w:t>3</w:t>
      </w:r>
      <w:r w:rsidR="00A30867">
        <w:rPr>
          <w:b/>
          <w:bCs/>
          <w:sz w:val="24"/>
          <w:szCs w:val="24"/>
          <w:lang w:eastAsia="zh-TW"/>
        </w:rPr>
        <w:t>/2023</w:t>
      </w:r>
    </w:p>
    <w:p w14:paraId="2B4DA333" w14:textId="04EA80E1" w:rsidR="004923DA" w:rsidRPr="00E676F7" w:rsidRDefault="004923DA" w:rsidP="0023292A">
      <w:pPr>
        <w:keepNext/>
        <w:spacing w:before="240" w:after="60"/>
        <w:ind w:right="237"/>
        <w:jc w:val="both"/>
        <w:rPr>
          <w:b/>
          <w:sz w:val="24"/>
          <w:szCs w:val="24"/>
        </w:rPr>
      </w:pPr>
      <w:r w:rsidRPr="00E676F7">
        <w:rPr>
          <w:b/>
          <w:sz w:val="24"/>
          <w:szCs w:val="24"/>
        </w:rPr>
        <w:lastRenderedPageBreak/>
        <w:t>Bibliography</w:t>
      </w:r>
    </w:p>
    <w:p w14:paraId="0AB807FE" w14:textId="6001FA55" w:rsidR="1E8636EB" w:rsidRDefault="000F7ECD" w:rsidP="00B45655">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w:t>
      </w:r>
    </w:p>
    <w:p w14:paraId="309BBFE1" w14:textId="621CE032" w:rsidR="00A30867" w:rsidRDefault="00A30867" w:rsidP="00EA28F1">
      <w:pPr>
        <w:keepNext/>
        <w:spacing w:before="240" w:after="60"/>
        <w:ind w:right="237"/>
        <w:jc w:val="both"/>
        <w:rPr>
          <w:sz w:val="24"/>
          <w:szCs w:val="24"/>
        </w:rPr>
      </w:pPr>
    </w:p>
    <w:p w14:paraId="08D1C69E" w14:textId="19004E00" w:rsidR="00A30867" w:rsidRDefault="00DA5531" w:rsidP="00EA28F1">
      <w:pPr>
        <w:keepNext/>
        <w:spacing w:before="240" w:after="60"/>
        <w:ind w:right="237"/>
        <w:jc w:val="both"/>
        <w:rPr>
          <w:sz w:val="24"/>
          <w:szCs w:val="24"/>
        </w:rPr>
      </w:pPr>
      <w:r>
        <w:rPr>
          <w:sz w:val="24"/>
          <w:szCs w:val="24"/>
        </w:rPr>
        <w:t>Bryant</w:t>
      </w:r>
      <w:r w:rsidR="00C633D2">
        <w:rPr>
          <w:sz w:val="24"/>
          <w:szCs w:val="24"/>
        </w:rPr>
        <w:t>, R. and Bryant, S. (2020) Blackstone</w:t>
      </w:r>
      <w:r w:rsidR="00246734">
        <w:rPr>
          <w:sz w:val="24"/>
          <w:szCs w:val="24"/>
        </w:rPr>
        <w:t>’</w:t>
      </w:r>
      <w:r w:rsidR="00C633D2">
        <w:rPr>
          <w:sz w:val="24"/>
          <w:szCs w:val="24"/>
        </w:rPr>
        <w:t>s handbook for policing students</w:t>
      </w:r>
      <w:r w:rsidR="00246734">
        <w:rPr>
          <w:sz w:val="24"/>
          <w:szCs w:val="24"/>
        </w:rPr>
        <w:t xml:space="preserve"> 2021. Oxford: Oxford University Press</w:t>
      </w:r>
    </w:p>
    <w:p w14:paraId="668102D6" w14:textId="33DF094D" w:rsidR="0056567F" w:rsidRDefault="00841B4F" w:rsidP="00EA28F1">
      <w:pPr>
        <w:keepNext/>
        <w:spacing w:before="240" w:after="60"/>
        <w:ind w:right="237"/>
        <w:jc w:val="both"/>
      </w:pPr>
      <w:hyperlink r:id="rId16" w:history="1">
        <w:r w:rsidR="008F43CE" w:rsidRPr="00B20AB0">
          <w:rPr>
            <w:rStyle w:val="Hyperlink"/>
          </w:rPr>
          <w:t>https://assets.publishing.service.gov.uk/government/uploads/system/uploads/attachment_data/file/974376/victims-code-2020.pdf</w:t>
        </w:r>
      </w:hyperlink>
    </w:p>
    <w:p w14:paraId="750C8512" w14:textId="4BC6F4B8" w:rsidR="008F43CE" w:rsidRDefault="00EB7B11" w:rsidP="00EA28F1">
      <w:pPr>
        <w:keepNext/>
        <w:spacing w:before="240" w:after="60"/>
        <w:ind w:right="237"/>
        <w:jc w:val="both"/>
      </w:pPr>
      <w:hyperlink r:id="rId17" w:history="1">
        <w:r w:rsidRPr="00B05C56">
          <w:rPr>
            <w:rStyle w:val="Hyperlink"/>
          </w:rPr>
          <w:t>https://www.gov.uk/government/publications/tackling-domestic-abuse-plan/tackling-domestic-abuse-plan-command-paper-639-accessible-version</w:t>
        </w:r>
      </w:hyperlink>
    </w:p>
    <w:p w14:paraId="3F159CC6" w14:textId="4C418FB2" w:rsidR="00EB7B11" w:rsidRDefault="00EB7B11" w:rsidP="00EA28F1">
      <w:pPr>
        <w:keepNext/>
        <w:spacing w:before="240" w:after="60"/>
        <w:ind w:right="237"/>
        <w:jc w:val="both"/>
        <w:rPr>
          <w:color w:val="222222"/>
          <w:shd w:val="clear" w:color="auto" w:fill="FFFFFF"/>
        </w:rPr>
      </w:pPr>
      <w:r>
        <w:rPr>
          <w:color w:val="222222"/>
          <w:shd w:val="clear" w:color="auto" w:fill="FFFFFF"/>
        </w:rPr>
        <w:t>Reeves, H. and Mulley, K., 2019. The new status of victims in the UK: Opportunities and threats. In </w:t>
      </w:r>
      <w:r>
        <w:rPr>
          <w:i/>
          <w:iCs/>
          <w:color w:val="222222"/>
          <w:shd w:val="clear" w:color="auto" w:fill="FFFFFF"/>
        </w:rPr>
        <w:t>Integrating a victim perspective within criminal justice</w:t>
      </w:r>
      <w:r>
        <w:rPr>
          <w:color w:val="222222"/>
          <w:shd w:val="clear" w:color="auto" w:fill="FFFFFF"/>
        </w:rPr>
        <w:t> (pp. 125-146). Routledge.</w:t>
      </w:r>
    </w:p>
    <w:p w14:paraId="36C425F8" w14:textId="52408306" w:rsidR="00465CFF" w:rsidRDefault="00465CFF" w:rsidP="00EA28F1">
      <w:pPr>
        <w:keepNext/>
        <w:spacing w:before="240" w:after="60"/>
        <w:ind w:right="237"/>
        <w:jc w:val="both"/>
        <w:rPr>
          <w:color w:val="222222"/>
          <w:shd w:val="clear" w:color="auto" w:fill="FFFFFF"/>
        </w:rPr>
      </w:pPr>
      <w:r>
        <w:rPr>
          <w:color w:val="222222"/>
          <w:shd w:val="clear" w:color="auto" w:fill="FFFFFF"/>
        </w:rPr>
        <w:t>Birdsall, N., Kirby, S. and McManus, M., 2017. Police–victim engagement in building a victim empowerment approach to intimate partner violence cases. </w:t>
      </w:r>
      <w:r>
        <w:rPr>
          <w:i/>
          <w:iCs/>
          <w:color w:val="222222"/>
          <w:shd w:val="clear" w:color="auto" w:fill="FFFFFF"/>
        </w:rPr>
        <w:t>Police Practice and Research</w:t>
      </w:r>
      <w:r>
        <w:rPr>
          <w:color w:val="222222"/>
          <w:shd w:val="clear" w:color="auto" w:fill="FFFFFF"/>
        </w:rPr>
        <w:t>, </w:t>
      </w:r>
      <w:r>
        <w:rPr>
          <w:i/>
          <w:iCs/>
          <w:color w:val="222222"/>
          <w:shd w:val="clear" w:color="auto" w:fill="FFFFFF"/>
        </w:rPr>
        <w:t>18</w:t>
      </w:r>
      <w:r>
        <w:rPr>
          <w:color w:val="222222"/>
          <w:shd w:val="clear" w:color="auto" w:fill="FFFFFF"/>
        </w:rPr>
        <w:t>(1), pp.75-86.</w:t>
      </w:r>
    </w:p>
    <w:p w14:paraId="641B62A7" w14:textId="3A368A8B" w:rsidR="00323A8E" w:rsidRDefault="00323A8E" w:rsidP="00EA28F1">
      <w:pPr>
        <w:keepNext/>
        <w:spacing w:before="240" w:after="60"/>
        <w:ind w:right="237"/>
        <w:jc w:val="both"/>
        <w:rPr>
          <w:color w:val="222222"/>
          <w:shd w:val="clear" w:color="auto" w:fill="FFFFFF"/>
        </w:rPr>
      </w:pPr>
      <w:proofErr w:type="spellStart"/>
      <w:r>
        <w:rPr>
          <w:color w:val="222222"/>
          <w:shd w:val="clear" w:color="auto" w:fill="FFFFFF"/>
        </w:rPr>
        <w:t>Pierpoint</w:t>
      </w:r>
      <w:proofErr w:type="spellEnd"/>
      <w:r>
        <w:rPr>
          <w:color w:val="222222"/>
          <w:shd w:val="clear" w:color="auto" w:fill="FFFFFF"/>
        </w:rPr>
        <w:t>, H., 2011. Extending and professionalising the role of the appropriate adult. </w:t>
      </w:r>
      <w:r>
        <w:rPr>
          <w:i/>
          <w:iCs/>
          <w:color w:val="222222"/>
          <w:shd w:val="clear" w:color="auto" w:fill="FFFFFF"/>
        </w:rPr>
        <w:t>Journal of Social Welfare and Family Law</w:t>
      </w:r>
      <w:r>
        <w:rPr>
          <w:color w:val="222222"/>
          <w:shd w:val="clear" w:color="auto" w:fill="FFFFFF"/>
        </w:rPr>
        <w:t>, </w:t>
      </w:r>
      <w:r>
        <w:rPr>
          <w:i/>
          <w:iCs/>
          <w:color w:val="222222"/>
          <w:shd w:val="clear" w:color="auto" w:fill="FFFFFF"/>
        </w:rPr>
        <w:t>33</w:t>
      </w:r>
      <w:r>
        <w:rPr>
          <w:color w:val="222222"/>
          <w:shd w:val="clear" w:color="auto" w:fill="FFFFFF"/>
        </w:rPr>
        <w:t>(2), pp.139-155.</w:t>
      </w:r>
    </w:p>
    <w:p w14:paraId="7C334DF5" w14:textId="358BD087" w:rsidR="005A2171" w:rsidRDefault="005A2171" w:rsidP="00EA28F1">
      <w:pPr>
        <w:keepNext/>
        <w:spacing w:before="240" w:after="60"/>
        <w:ind w:right="237"/>
        <w:jc w:val="both"/>
        <w:rPr>
          <w:color w:val="222222"/>
          <w:shd w:val="clear" w:color="auto" w:fill="FFFFFF"/>
        </w:rPr>
      </w:pPr>
      <w:r>
        <w:rPr>
          <w:color w:val="222222"/>
          <w:shd w:val="clear" w:color="auto" w:fill="FFFFFF"/>
        </w:rPr>
        <w:t>Drakeford, M., 1994. The Appropriate Adult. </w:t>
      </w:r>
      <w:r>
        <w:rPr>
          <w:i/>
          <w:iCs/>
          <w:color w:val="222222"/>
          <w:shd w:val="clear" w:color="auto" w:fill="FFFFFF"/>
        </w:rPr>
        <w:t>Prob. J.</w:t>
      </w:r>
      <w:r>
        <w:rPr>
          <w:color w:val="222222"/>
          <w:shd w:val="clear" w:color="auto" w:fill="FFFFFF"/>
        </w:rPr>
        <w:t>, </w:t>
      </w:r>
      <w:r>
        <w:rPr>
          <w:i/>
          <w:iCs/>
          <w:color w:val="222222"/>
          <w:shd w:val="clear" w:color="auto" w:fill="FFFFFF"/>
        </w:rPr>
        <w:t>41</w:t>
      </w:r>
      <w:r>
        <w:rPr>
          <w:color w:val="222222"/>
          <w:shd w:val="clear" w:color="auto" w:fill="FFFFFF"/>
        </w:rPr>
        <w:t>, p.135.</w:t>
      </w:r>
    </w:p>
    <w:p w14:paraId="62E55FD9" w14:textId="2B5007DF" w:rsidR="00981F42" w:rsidRDefault="002333F8" w:rsidP="00EA28F1">
      <w:pPr>
        <w:keepNext/>
        <w:spacing w:before="240" w:after="60"/>
        <w:ind w:right="237"/>
        <w:jc w:val="both"/>
        <w:rPr>
          <w:color w:val="222222"/>
          <w:shd w:val="clear" w:color="auto" w:fill="FFFFFF"/>
        </w:rPr>
      </w:pPr>
      <w:r>
        <w:rPr>
          <w:color w:val="222222"/>
          <w:shd w:val="clear" w:color="auto" w:fill="FFFFFF"/>
        </w:rPr>
        <w:t>Sanders, A. and Jones, I., 2012. The victim in court. In </w:t>
      </w:r>
      <w:r>
        <w:rPr>
          <w:i/>
          <w:iCs/>
          <w:color w:val="222222"/>
          <w:shd w:val="clear" w:color="auto" w:fill="FFFFFF"/>
        </w:rPr>
        <w:t>Handbook of victims and victimology</w:t>
      </w:r>
      <w:r>
        <w:rPr>
          <w:color w:val="222222"/>
          <w:shd w:val="clear" w:color="auto" w:fill="FFFFFF"/>
        </w:rPr>
        <w:t> (pp. 298-324). Willan.</w:t>
      </w:r>
    </w:p>
    <w:p w14:paraId="384AB002" w14:textId="1C7F9892" w:rsidR="003B6A36" w:rsidRDefault="003B6A36" w:rsidP="00EA28F1">
      <w:pPr>
        <w:keepNext/>
        <w:spacing w:before="240" w:after="60"/>
        <w:ind w:right="237"/>
        <w:jc w:val="both"/>
        <w:rPr>
          <w:color w:val="222222"/>
          <w:shd w:val="clear" w:color="auto" w:fill="FFFFFF"/>
        </w:rPr>
      </w:pPr>
      <w:r>
        <w:rPr>
          <w:color w:val="222222"/>
          <w:shd w:val="clear" w:color="auto" w:fill="FFFFFF"/>
        </w:rPr>
        <w:t xml:space="preserve">Roberts, J.V. and </w:t>
      </w:r>
      <w:proofErr w:type="spellStart"/>
      <w:r>
        <w:rPr>
          <w:color w:val="222222"/>
          <w:shd w:val="clear" w:color="auto" w:fill="FFFFFF"/>
        </w:rPr>
        <w:t>Manikis</w:t>
      </w:r>
      <w:proofErr w:type="spellEnd"/>
      <w:r>
        <w:rPr>
          <w:color w:val="222222"/>
          <w:shd w:val="clear" w:color="auto" w:fill="FFFFFF"/>
        </w:rPr>
        <w:t>, M., 2011. Victim personal statements: A review of empirical research. </w:t>
      </w:r>
      <w:r>
        <w:rPr>
          <w:i/>
          <w:iCs/>
          <w:color w:val="222222"/>
          <w:shd w:val="clear" w:color="auto" w:fill="FFFFFF"/>
        </w:rPr>
        <w:t>Victim Personal Statements at Sentencing: A Review of the Empirical Research (London: Office of the Commissioner for Victims and Witnesses of England and Wales, 2011)</w:t>
      </w:r>
      <w:r>
        <w:rPr>
          <w:color w:val="222222"/>
          <w:shd w:val="clear" w:color="auto" w:fill="FFFFFF"/>
        </w:rPr>
        <w:t>.</w:t>
      </w:r>
    </w:p>
    <w:p w14:paraId="26B7066C" w14:textId="0D490187" w:rsidR="009E35A6" w:rsidRDefault="000614BE" w:rsidP="00EA28F1">
      <w:pPr>
        <w:keepNext/>
        <w:spacing w:before="240" w:after="60"/>
        <w:ind w:right="237"/>
        <w:jc w:val="both"/>
        <w:rPr>
          <w:color w:val="222222"/>
          <w:shd w:val="clear" w:color="auto" w:fill="FFFFFF"/>
        </w:rPr>
      </w:pPr>
      <w:r>
        <w:rPr>
          <w:color w:val="222222"/>
          <w:shd w:val="clear" w:color="auto" w:fill="FFFFFF"/>
        </w:rPr>
        <w:t>Cryer, R., 2003. Witness Evidence before the International Criminal Tribunals. </w:t>
      </w:r>
      <w:r>
        <w:rPr>
          <w:i/>
          <w:iCs/>
          <w:color w:val="222222"/>
          <w:shd w:val="clear" w:color="auto" w:fill="FFFFFF"/>
        </w:rPr>
        <w:t xml:space="preserve">Law &amp; </w:t>
      </w:r>
      <w:proofErr w:type="spellStart"/>
      <w:r>
        <w:rPr>
          <w:i/>
          <w:iCs/>
          <w:color w:val="222222"/>
          <w:shd w:val="clear" w:color="auto" w:fill="FFFFFF"/>
        </w:rPr>
        <w:t>Prac</w:t>
      </w:r>
      <w:proofErr w:type="spellEnd"/>
      <w:r>
        <w:rPr>
          <w:i/>
          <w:iCs/>
          <w:color w:val="222222"/>
          <w:shd w:val="clear" w:color="auto" w:fill="FFFFFF"/>
        </w:rPr>
        <w:t xml:space="preserve">. Int'l </w:t>
      </w:r>
      <w:proofErr w:type="spellStart"/>
      <w:r>
        <w:rPr>
          <w:i/>
          <w:iCs/>
          <w:color w:val="222222"/>
          <w:shd w:val="clear" w:color="auto" w:fill="FFFFFF"/>
        </w:rPr>
        <w:t>Cts</w:t>
      </w:r>
      <w:proofErr w:type="spellEnd"/>
      <w:r>
        <w:rPr>
          <w:i/>
          <w:iCs/>
          <w:color w:val="222222"/>
          <w:shd w:val="clear" w:color="auto" w:fill="FFFFFF"/>
        </w:rPr>
        <w:t>. &amp; Tribunals</w:t>
      </w:r>
      <w:r>
        <w:rPr>
          <w:color w:val="222222"/>
          <w:shd w:val="clear" w:color="auto" w:fill="FFFFFF"/>
        </w:rPr>
        <w:t>, </w:t>
      </w:r>
      <w:r>
        <w:rPr>
          <w:i/>
          <w:iCs/>
          <w:color w:val="222222"/>
          <w:shd w:val="clear" w:color="auto" w:fill="FFFFFF"/>
        </w:rPr>
        <w:t>2</w:t>
      </w:r>
      <w:r>
        <w:rPr>
          <w:color w:val="222222"/>
          <w:shd w:val="clear" w:color="auto" w:fill="FFFFFF"/>
        </w:rPr>
        <w:t>, p.411.</w:t>
      </w:r>
    </w:p>
    <w:p w14:paraId="4BC3CEA8" w14:textId="4B98772D" w:rsidR="005F3060" w:rsidRDefault="005F3060" w:rsidP="00EA28F1">
      <w:pPr>
        <w:keepNext/>
        <w:spacing w:before="240" w:after="60"/>
        <w:ind w:right="237"/>
        <w:jc w:val="both"/>
        <w:rPr>
          <w:color w:val="222222"/>
          <w:shd w:val="clear" w:color="auto" w:fill="FFFFFF"/>
        </w:rPr>
      </w:pPr>
      <w:r>
        <w:rPr>
          <w:color w:val="222222"/>
          <w:shd w:val="clear" w:color="auto" w:fill="FFFFFF"/>
        </w:rPr>
        <w:t>Evans, J.R. and Schreiber Compo, N., 2010. Mock jurors' perceptions of identifications made by intoxicated eyewitnesses. </w:t>
      </w:r>
      <w:r>
        <w:rPr>
          <w:i/>
          <w:iCs/>
          <w:color w:val="222222"/>
          <w:shd w:val="clear" w:color="auto" w:fill="FFFFFF"/>
        </w:rPr>
        <w:t>Psychology, Crime &amp; Law</w:t>
      </w:r>
      <w:r>
        <w:rPr>
          <w:color w:val="222222"/>
          <w:shd w:val="clear" w:color="auto" w:fill="FFFFFF"/>
        </w:rPr>
        <w:t>, </w:t>
      </w:r>
      <w:r>
        <w:rPr>
          <w:i/>
          <w:iCs/>
          <w:color w:val="222222"/>
          <w:shd w:val="clear" w:color="auto" w:fill="FFFFFF"/>
        </w:rPr>
        <w:t>16</w:t>
      </w:r>
      <w:r>
        <w:rPr>
          <w:color w:val="222222"/>
          <w:shd w:val="clear" w:color="auto" w:fill="FFFFFF"/>
        </w:rPr>
        <w:t>(3), pp.191-210.</w:t>
      </w:r>
    </w:p>
    <w:p w14:paraId="3320C8D9" w14:textId="42BEA081" w:rsidR="00D47F3C" w:rsidRDefault="00D47F3C" w:rsidP="00EA28F1">
      <w:pPr>
        <w:keepNext/>
        <w:spacing w:before="240" w:after="60"/>
        <w:ind w:right="237"/>
        <w:jc w:val="both"/>
        <w:rPr>
          <w:color w:val="222222"/>
          <w:shd w:val="clear" w:color="auto" w:fill="FFFFFF"/>
        </w:rPr>
      </w:pPr>
      <w:proofErr w:type="spellStart"/>
      <w:r>
        <w:rPr>
          <w:color w:val="222222"/>
          <w:shd w:val="clear" w:color="auto" w:fill="FFFFFF"/>
        </w:rPr>
        <w:t>Mastrocinque</w:t>
      </w:r>
      <w:proofErr w:type="spellEnd"/>
      <w:r>
        <w:rPr>
          <w:color w:val="222222"/>
          <w:shd w:val="clear" w:color="auto" w:fill="FFFFFF"/>
        </w:rPr>
        <w:t>, J.M., 2014. Victim Personal Statements: An analysis of notification and utilization. </w:t>
      </w:r>
      <w:r>
        <w:rPr>
          <w:i/>
          <w:iCs/>
          <w:color w:val="222222"/>
          <w:shd w:val="clear" w:color="auto" w:fill="FFFFFF"/>
        </w:rPr>
        <w:t>Criminology &amp; Criminal Justice</w:t>
      </w:r>
      <w:r>
        <w:rPr>
          <w:color w:val="222222"/>
          <w:shd w:val="clear" w:color="auto" w:fill="FFFFFF"/>
        </w:rPr>
        <w:t>, </w:t>
      </w:r>
      <w:r>
        <w:rPr>
          <w:i/>
          <w:iCs/>
          <w:color w:val="222222"/>
          <w:shd w:val="clear" w:color="auto" w:fill="FFFFFF"/>
        </w:rPr>
        <w:t>14</w:t>
      </w:r>
      <w:r>
        <w:rPr>
          <w:color w:val="222222"/>
          <w:shd w:val="clear" w:color="auto" w:fill="FFFFFF"/>
        </w:rPr>
        <w:t>(2), pp.216-234.</w:t>
      </w:r>
    </w:p>
    <w:p w14:paraId="34B59F2D" w14:textId="722DF5F4" w:rsidR="00B56F4E" w:rsidRDefault="00B56F4E" w:rsidP="00EA28F1">
      <w:pPr>
        <w:keepNext/>
        <w:spacing w:before="240" w:after="60"/>
        <w:ind w:right="237"/>
        <w:jc w:val="both"/>
        <w:rPr>
          <w:color w:val="222222"/>
          <w:shd w:val="clear" w:color="auto" w:fill="FFFFFF"/>
        </w:rPr>
      </w:pPr>
      <w:r>
        <w:rPr>
          <w:color w:val="222222"/>
          <w:shd w:val="clear" w:color="auto" w:fill="FFFFFF"/>
        </w:rPr>
        <w:t>Bradford, B., 2011. Voice, neutrality and respect: Use of victim support services, procedural fairness and confidence in the criminal justice system. </w:t>
      </w:r>
      <w:r>
        <w:rPr>
          <w:i/>
          <w:iCs/>
          <w:color w:val="222222"/>
          <w:shd w:val="clear" w:color="auto" w:fill="FFFFFF"/>
        </w:rPr>
        <w:t>Criminology &amp; Criminal Justice</w:t>
      </w:r>
      <w:r>
        <w:rPr>
          <w:color w:val="222222"/>
          <w:shd w:val="clear" w:color="auto" w:fill="FFFFFF"/>
        </w:rPr>
        <w:t>, </w:t>
      </w:r>
      <w:r>
        <w:rPr>
          <w:i/>
          <w:iCs/>
          <w:color w:val="222222"/>
          <w:shd w:val="clear" w:color="auto" w:fill="FFFFFF"/>
        </w:rPr>
        <w:t>11</w:t>
      </w:r>
      <w:r>
        <w:rPr>
          <w:color w:val="222222"/>
          <w:shd w:val="clear" w:color="auto" w:fill="FFFFFF"/>
        </w:rPr>
        <w:t>(4), pp.345-366.</w:t>
      </w:r>
    </w:p>
    <w:p w14:paraId="41F60C2C" w14:textId="79E71469" w:rsidR="009E35A6" w:rsidRDefault="009E35A6" w:rsidP="00EA28F1">
      <w:pPr>
        <w:keepNext/>
        <w:spacing w:before="240" w:after="60"/>
        <w:ind w:right="237"/>
        <w:jc w:val="both"/>
        <w:rPr>
          <w:color w:val="222222"/>
          <w:shd w:val="clear" w:color="auto" w:fill="FFFFFF"/>
        </w:rPr>
      </w:pPr>
      <w:r>
        <w:rPr>
          <w:color w:val="222222"/>
          <w:shd w:val="clear" w:color="auto" w:fill="FFFFFF"/>
        </w:rPr>
        <w:t>Newburn, T. and Merry, S., 1990. </w:t>
      </w:r>
      <w:r>
        <w:rPr>
          <w:i/>
          <w:iCs/>
          <w:color w:val="222222"/>
          <w:shd w:val="clear" w:color="auto" w:fill="FFFFFF"/>
        </w:rPr>
        <w:t>Keeping in touch: police-victim communication in two areas</w:t>
      </w:r>
      <w:r>
        <w:rPr>
          <w:color w:val="222222"/>
          <w:shd w:val="clear" w:color="auto" w:fill="FFFFFF"/>
        </w:rPr>
        <w:t>. HM Stationery Office.</w:t>
      </w:r>
      <w:r w:rsidR="00C65427">
        <w:rPr>
          <w:color w:val="222222"/>
          <w:shd w:val="clear" w:color="auto" w:fill="FFFFFF"/>
        </w:rPr>
        <w:t xml:space="preserve"> </w:t>
      </w:r>
    </w:p>
    <w:p w14:paraId="3106F243" w14:textId="5BC87A74" w:rsidR="00C65427" w:rsidRDefault="00C65427" w:rsidP="00EA28F1">
      <w:pPr>
        <w:keepNext/>
        <w:spacing w:before="240" w:after="60"/>
        <w:ind w:right="237"/>
        <w:jc w:val="both"/>
        <w:rPr>
          <w:color w:val="222222"/>
          <w:shd w:val="clear" w:color="auto" w:fill="FFFFFF"/>
        </w:rPr>
      </w:pPr>
      <w:r>
        <w:rPr>
          <w:color w:val="222222"/>
          <w:shd w:val="clear" w:color="auto" w:fill="FFFFFF"/>
        </w:rPr>
        <w:t xml:space="preserve">Taylor-Dunn, H. and Erol, R., 2022. Improving the ‘victim </w:t>
      </w:r>
      <w:proofErr w:type="spellStart"/>
      <w:r>
        <w:rPr>
          <w:color w:val="222222"/>
          <w:shd w:val="clear" w:color="auto" w:fill="FFFFFF"/>
        </w:rPr>
        <w:t>journey’when</w:t>
      </w:r>
      <w:proofErr w:type="spellEnd"/>
      <w:r>
        <w:rPr>
          <w:color w:val="222222"/>
          <w:shd w:val="clear" w:color="auto" w:fill="FFFFFF"/>
        </w:rPr>
        <w:t xml:space="preserve"> reporting domestic abuse cyberstalking to the police–A pilot project evaluation. </w:t>
      </w:r>
      <w:r>
        <w:rPr>
          <w:i/>
          <w:iCs/>
          <w:color w:val="222222"/>
          <w:shd w:val="clear" w:color="auto" w:fill="FFFFFF"/>
        </w:rPr>
        <w:t>Criminology &amp; Criminal Justice</w:t>
      </w:r>
      <w:r>
        <w:rPr>
          <w:color w:val="222222"/>
          <w:shd w:val="clear" w:color="auto" w:fill="FFFFFF"/>
        </w:rPr>
        <w:t>.</w:t>
      </w:r>
    </w:p>
    <w:p w14:paraId="241B0624" w14:textId="340E9EF0" w:rsidR="00C65427" w:rsidRDefault="005A3AEE" w:rsidP="00EA28F1">
      <w:pPr>
        <w:keepNext/>
        <w:spacing w:before="240" w:after="60"/>
        <w:ind w:right="237"/>
        <w:jc w:val="both"/>
        <w:rPr>
          <w:color w:val="222222"/>
          <w:shd w:val="clear" w:color="auto" w:fill="FFFFFF"/>
        </w:rPr>
      </w:pPr>
      <w:r>
        <w:rPr>
          <w:color w:val="222222"/>
          <w:shd w:val="clear" w:color="auto" w:fill="FFFFFF"/>
        </w:rPr>
        <w:lastRenderedPageBreak/>
        <w:t>Boxall, H., 2018. Understanding domestic violence incidents using crime script analysis. </w:t>
      </w:r>
      <w:r>
        <w:rPr>
          <w:i/>
          <w:iCs/>
          <w:color w:val="222222"/>
          <w:shd w:val="clear" w:color="auto" w:fill="FFFFFF"/>
        </w:rPr>
        <w:t>Trends and Issues in Crime and Criminal Justice</w:t>
      </w:r>
      <w:r>
        <w:rPr>
          <w:color w:val="222222"/>
          <w:shd w:val="clear" w:color="auto" w:fill="FFFFFF"/>
        </w:rPr>
        <w:t>, (558), pp.1-21.</w:t>
      </w:r>
    </w:p>
    <w:p w14:paraId="2FF42AD1" w14:textId="7630BB85" w:rsidR="007260F7" w:rsidRDefault="007260F7" w:rsidP="00EA28F1">
      <w:pPr>
        <w:keepNext/>
        <w:spacing w:before="240" w:after="60"/>
        <w:ind w:right="237"/>
        <w:jc w:val="both"/>
        <w:rPr>
          <w:color w:val="222222"/>
          <w:shd w:val="clear" w:color="auto" w:fill="FFFFFF"/>
        </w:rPr>
      </w:pPr>
      <w:r>
        <w:rPr>
          <w:color w:val="222222"/>
          <w:shd w:val="clear" w:color="auto" w:fill="FFFFFF"/>
        </w:rPr>
        <w:t>Felson, R.B., Messner, S.F., Hoskin, A.W. and Deane, G., 2002. Reasons for reporting and not reporting domestic violence to the police. </w:t>
      </w:r>
      <w:r>
        <w:rPr>
          <w:i/>
          <w:iCs/>
          <w:color w:val="222222"/>
          <w:shd w:val="clear" w:color="auto" w:fill="FFFFFF"/>
        </w:rPr>
        <w:t>Criminology</w:t>
      </w:r>
      <w:r>
        <w:rPr>
          <w:color w:val="222222"/>
          <w:shd w:val="clear" w:color="auto" w:fill="FFFFFF"/>
        </w:rPr>
        <w:t>, </w:t>
      </w:r>
      <w:r>
        <w:rPr>
          <w:i/>
          <w:iCs/>
          <w:color w:val="222222"/>
          <w:shd w:val="clear" w:color="auto" w:fill="FFFFFF"/>
        </w:rPr>
        <w:t>40</w:t>
      </w:r>
      <w:r>
        <w:rPr>
          <w:color w:val="222222"/>
          <w:shd w:val="clear" w:color="auto" w:fill="FFFFFF"/>
        </w:rPr>
        <w:t>(3), pp.617-648.</w:t>
      </w:r>
    </w:p>
    <w:p w14:paraId="4696C7F0" w14:textId="0A71CA9E" w:rsidR="007260F7" w:rsidRDefault="00CB2AED" w:rsidP="00EA28F1">
      <w:pPr>
        <w:keepNext/>
        <w:spacing w:before="240" w:after="60"/>
        <w:ind w:right="237"/>
        <w:jc w:val="both"/>
        <w:rPr>
          <w:color w:val="222222"/>
          <w:shd w:val="clear" w:color="auto" w:fill="FFFFFF"/>
        </w:rPr>
      </w:pPr>
      <w:proofErr w:type="spellStart"/>
      <w:r>
        <w:rPr>
          <w:color w:val="222222"/>
          <w:shd w:val="clear" w:color="auto" w:fill="FFFFFF"/>
        </w:rPr>
        <w:t>Smykla</w:t>
      </w:r>
      <w:proofErr w:type="spellEnd"/>
      <w:r>
        <w:rPr>
          <w:color w:val="222222"/>
          <w:shd w:val="clear" w:color="auto" w:fill="FFFFFF"/>
        </w:rPr>
        <w:t>, J.O., Crow, M.S., Crichlow, V.J. and Snyder, J.A., 2016. Police body-worn cameras: Perceptions of law enforcement leadership. </w:t>
      </w:r>
      <w:r>
        <w:rPr>
          <w:i/>
          <w:iCs/>
          <w:color w:val="222222"/>
          <w:shd w:val="clear" w:color="auto" w:fill="FFFFFF"/>
        </w:rPr>
        <w:t>American journal of criminal justice</w:t>
      </w:r>
      <w:r>
        <w:rPr>
          <w:color w:val="222222"/>
          <w:shd w:val="clear" w:color="auto" w:fill="FFFFFF"/>
        </w:rPr>
        <w:t>, </w:t>
      </w:r>
      <w:r>
        <w:rPr>
          <w:i/>
          <w:iCs/>
          <w:color w:val="222222"/>
          <w:shd w:val="clear" w:color="auto" w:fill="FFFFFF"/>
        </w:rPr>
        <w:t>41</w:t>
      </w:r>
      <w:r>
        <w:rPr>
          <w:color w:val="222222"/>
          <w:shd w:val="clear" w:color="auto" w:fill="FFFFFF"/>
        </w:rPr>
        <w:t>, pp.424-443.</w:t>
      </w:r>
    </w:p>
    <w:p w14:paraId="4A76C57F" w14:textId="387C1B89" w:rsidR="00265712" w:rsidRDefault="00A661DD" w:rsidP="00EA28F1">
      <w:pPr>
        <w:keepNext/>
        <w:spacing w:before="240" w:after="60"/>
        <w:ind w:right="237"/>
        <w:jc w:val="both"/>
        <w:rPr>
          <w:color w:val="222222"/>
          <w:shd w:val="clear" w:color="auto" w:fill="FFFFFF"/>
        </w:rPr>
      </w:pPr>
      <w:r>
        <w:rPr>
          <w:color w:val="222222"/>
          <w:shd w:val="clear" w:color="auto" w:fill="FFFFFF"/>
        </w:rPr>
        <w:t xml:space="preserve">Porter, A., 2019. Prosecuting domestic abuse in England and Wales: Crown Prosecution Service ‘working </w:t>
      </w:r>
      <w:proofErr w:type="spellStart"/>
      <w:r>
        <w:rPr>
          <w:color w:val="222222"/>
          <w:shd w:val="clear" w:color="auto" w:fill="FFFFFF"/>
        </w:rPr>
        <w:t>practice’and</w:t>
      </w:r>
      <w:proofErr w:type="spellEnd"/>
      <w:r>
        <w:rPr>
          <w:color w:val="222222"/>
          <w:shd w:val="clear" w:color="auto" w:fill="FFFFFF"/>
        </w:rPr>
        <w:t xml:space="preserve"> new public managerialism. </w:t>
      </w:r>
      <w:r>
        <w:rPr>
          <w:i/>
          <w:iCs/>
          <w:color w:val="222222"/>
          <w:shd w:val="clear" w:color="auto" w:fill="FFFFFF"/>
        </w:rPr>
        <w:t>Social &amp; Legal Studies</w:t>
      </w:r>
      <w:r>
        <w:rPr>
          <w:color w:val="222222"/>
          <w:shd w:val="clear" w:color="auto" w:fill="FFFFFF"/>
        </w:rPr>
        <w:t>, </w:t>
      </w:r>
      <w:r>
        <w:rPr>
          <w:i/>
          <w:iCs/>
          <w:color w:val="222222"/>
          <w:shd w:val="clear" w:color="auto" w:fill="FFFFFF"/>
        </w:rPr>
        <w:t>28</w:t>
      </w:r>
      <w:r>
        <w:rPr>
          <w:color w:val="222222"/>
          <w:shd w:val="clear" w:color="auto" w:fill="FFFFFF"/>
        </w:rPr>
        <w:t>(4), pp.493-516.</w:t>
      </w:r>
    </w:p>
    <w:p w14:paraId="0C392D04" w14:textId="2D7A1289" w:rsidR="00412455" w:rsidRDefault="00412455" w:rsidP="00EA28F1">
      <w:pPr>
        <w:keepNext/>
        <w:spacing w:before="240" w:after="60"/>
        <w:ind w:right="237"/>
        <w:jc w:val="both"/>
        <w:rPr>
          <w:color w:val="222222"/>
          <w:shd w:val="clear" w:color="auto" w:fill="FFFFFF"/>
        </w:rPr>
      </w:pPr>
      <w:r>
        <w:rPr>
          <w:color w:val="222222"/>
          <w:shd w:val="clear" w:color="auto" w:fill="FFFFFF"/>
        </w:rPr>
        <w:t>Robinson, A.L., 2006. Reducing repeat victimization among high-risk victims of domestic violence: The benefits of a coordinated community response in Cardiff, Wales. </w:t>
      </w:r>
      <w:r>
        <w:rPr>
          <w:i/>
          <w:iCs/>
          <w:color w:val="222222"/>
          <w:shd w:val="clear" w:color="auto" w:fill="FFFFFF"/>
        </w:rPr>
        <w:t>Violence against women</w:t>
      </w:r>
      <w:r>
        <w:rPr>
          <w:color w:val="222222"/>
          <w:shd w:val="clear" w:color="auto" w:fill="FFFFFF"/>
        </w:rPr>
        <w:t>, </w:t>
      </w:r>
      <w:r>
        <w:rPr>
          <w:i/>
          <w:iCs/>
          <w:color w:val="222222"/>
          <w:shd w:val="clear" w:color="auto" w:fill="FFFFFF"/>
        </w:rPr>
        <w:t>12</w:t>
      </w:r>
      <w:r>
        <w:rPr>
          <w:color w:val="222222"/>
          <w:shd w:val="clear" w:color="auto" w:fill="FFFFFF"/>
        </w:rPr>
        <w:t>(8), pp.761-788.</w:t>
      </w:r>
    </w:p>
    <w:p w14:paraId="3F25DF78" w14:textId="7F27A43E" w:rsidR="00835E3F" w:rsidRDefault="00835E3F" w:rsidP="00EA28F1">
      <w:pPr>
        <w:keepNext/>
        <w:spacing w:before="240" w:after="60"/>
        <w:ind w:right="237"/>
        <w:jc w:val="both"/>
        <w:rPr>
          <w:color w:val="222222"/>
          <w:shd w:val="clear" w:color="auto" w:fill="FFFFFF"/>
        </w:rPr>
      </w:pPr>
      <w:r>
        <w:rPr>
          <w:color w:val="222222"/>
          <w:shd w:val="clear" w:color="auto" w:fill="FFFFFF"/>
        </w:rPr>
        <w:t xml:space="preserve">Payne, D. and </w:t>
      </w:r>
      <w:proofErr w:type="spellStart"/>
      <w:r>
        <w:rPr>
          <w:color w:val="222222"/>
          <w:shd w:val="clear" w:color="auto" w:fill="FFFFFF"/>
        </w:rPr>
        <w:t>Wermeling</w:t>
      </w:r>
      <w:proofErr w:type="spellEnd"/>
      <w:r>
        <w:rPr>
          <w:color w:val="222222"/>
          <w:shd w:val="clear" w:color="auto" w:fill="FFFFFF"/>
        </w:rPr>
        <w:t>, L., 2009. Domestic violence and the female victim: The real reason women stay. </w:t>
      </w:r>
      <w:r>
        <w:rPr>
          <w:i/>
          <w:iCs/>
          <w:color w:val="222222"/>
          <w:shd w:val="clear" w:color="auto" w:fill="FFFFFF"/>
        </w:rPr>
        <w:t>Journal of multicultural, gender and Minority studies</w:t>
      </w:r>
      <w:r>
        <w:rPr>
          <w:color w:val="222222"/>
          <w:shd w:val="clear" w:color="auto" w:fill="FFFFFF"/>
        </w:rPr>
        <w:t>, </w:t>
      </w:r>
      <w:r>
        <w:rPr>
          <w:i/>
          <w:iCs/>
          <w:color w:val="222222"/>
          <w:shd w:val="clear" w:color="auto" w:fill="FFFFFF"/>
        </w:rPr>
        <w:t>3</w:t>
      </w:r>
      <w:r>
        <w:rPr>
          <w:color w:val="222222"/>
          <w:shd w:val="clear" w:color="auto" w:fill="FFFFFF"/>
        </w:rPr>
        <w:t>(1), pp.1-6.</w:t>
      </w:r>
    </w:p>
    <w:p w14:paraId="2ED4DCEE" w14:textId="20624E99" w:rsidR="00175DAD" w:rsidRDefault="00175DAD" w:rsidP="00EA28F1">
      <w:pPr>
        <w:keepNext/>
        <w:spacing w:before="240" w:after="60"/>
        <w:ind w:right="237"/>
        <w:jc w:val="both"/>
        <w:rPr>
          <w:color w:val="222222"/>
          <w:shd w:val="clear" w:color="auto" w:fill="FFFFFF"/>
        </w:rPr>
      </w:pPr>
      <w:proofErr w:type="spellStart"/>
      <w:r>
        <w:rPr>
          <w:color w:val="222222"/>
          <w:shd w:val="clear" w:color="auto" w:fill="FFFFFF"/>
        </w:rPr>
        <w:t>Matczak</w:t>
      </w:r>
      <w:proofErr w:type="spellEnd"/>
      <w:r>
        <w:rPr>
          <w:color w:val="222222"/>
          <w:shd w:val="clear" w:color="auto" w:fill="FFFFFF"/>
        </w:rPr>
        <w:t xml:space="preserve">, A., </w:t>
      </w:r>
      <w:proofErr w:type="spellStart"/>
      <w:r>
        <w:rPr>
          <w:color w:val="222222"/>
          <w:shd w:val="clear" w:color="auto" w:fill="FFFFFF"/>
        </w:rPr>
        <w:t>Hatzidimitriadou</w:t>
      </w:r>
      <w:proofErr w:type="spellEnd"/>
      <w:r>
        <w:rPr>
          <w:color w:val="222222"/>
          <w:shd w:val="clear" w:color="auto" w:fill="FFFFFF"/>
        </w:rPr>
        <w:t>, E. and Lindsay, J., 2011. </w:t>
      </w:r>
      <w:r>
        <w:rPr>
          <w:i/>
          <w:iCs/>
          <w:color w:val="222222"/>
          <w:shd w:val="clear" w:color="auto" w:fill="FFFFFF"/>
        </w:rPr>
        <w:t>Review of domestic violence policies in England &amp; Wales</w:t>
      </w:r>
      <w:r>
        <w:rPr>
          <w:color w:val="222222"/>
          <w:shd w:val="clear" w:color="auto" w:fill="FFFFFF"/>
        </w:rPr>
        <w:t>. Kingston University and St George's, University of London.</w:t>
      </w:r>
    </w:p>
    <w:p w14:paraId="766E1686" w14:textId="64D12F1C" w:rsidR="006626B9" w:rsidRPr="009E35A6" w:rsidRDefault="006626B9" w:rsidP="00EA28F1">
      <w:pPr>
        <w:keepNext/>
        <w:spacing w:before="240" w:after="60"/>
        <w:ind w:right="237"/>
        <w:jc w:val="both"/>
        <w:rPr>
          <w:color w:val="222222"/>
          <w:shd w:val="clear" w:color="auto" w:fill="FFFFFF"/>
        </w:rPr>
      </w:pPr>
      <w:r>
        <w:rPr>
          <w:color w:val="222222"/>
          <w:shd w:val="clear" w:color="auto" w:fill="FFFFFF"/>
        </w:rPr>
        <w:t>Hoyle, C. and Sanders, A., 2000. Police response to domestic violence. </w:t>
      </w:r>
      <w:r>
        <w:rPr>
          <w:i/>
          <w:iCs/>
          <w:color w:val="222222"/>
          <w:shd w:val="clear" w:color="auto" w:fill="FFFFFF"/>
        </w:rPr>
        <w:t>British journal of criminology</w:t>
      </w:r>
      <w:r>
        <w:rPr>
          <w:color w:val="222222"/>
          <w:shd w:val="clear" w:color="auto" w:fill="FFFFFF"/>
        </w:rPr>
        <w:t>, </w:t>
      </w:r>
      <w:r>
        <w:rPr>
          <w:i/>
          <w:iCs/>
          <w:color w:val="222222"/>
          <w:shd w:val="clear" w:color="auto" w:fill="FFFFFF"/>
        </w:rPr>
        <w:t>40</w:t>
      </w:r>
      <w:r>
        <w:rPr>
          <w:color w:val="222222"/>
          <w:shd w:val="clear" w:color="auto" w:fill="FFFFFF"/>
        </w:rPr>
        <w:t>(1), pp.14-36.</w:t>
      </w:r>
    </w:p>
    <w:sectPr w:rsidR="006626B9" w:rsidRPr="009E35A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AAC273DC"/>
    <w:lvl w:ilvl="0" w:tplc="21C87606">
      <w:start w:val="1"/>
      <w:numFmt w:val="decimal"/>
      <w:lvlText w:val="%1."/>
      <w:lvlJc w:val="left"/>
      <w:pPr>
        <w:ind w:left="720" w:hanging="360"/>
      </w:pPr>
    </w:lvl>
    <w:lvl w:ilvl="1" w:tplc="31225092">
      <w:start w:val="1"/>
      <w:numFmt w:val="lowerLetter"/>
      <w:lvlText w:val="%2."/>
      <w:lvlJc w:val="left"/>
      <w:pPr>
        <w:ind w:left="1440" w:hanging="360"/>
      </w:pPr>
    </w:lvl>
    <w:lvl w:ilvl="2" w:tplc="7062F946">
      <w:start w:val="1"/>
      <w:numFmt w:val="lowerRoman"/>
      <w:lvlText w:val="%3."/>
      <w:lvlJc w:val="right"/>
      <w:pPr>
        <w:ind w:left="2160" w:hanging="180"/>
      </w:pPr>
    </w:lvl>
    <w:lvl w:ilvl="3" w:tplc="A866D7C8">
      <w:start w:val="1"/>
      <w:numFmt w:val="decimal"/>
      <w:lvlText w:val="%4."/>
      <w:lvlJc w:val="left"/>
      <w:pPr>
        <w:ind w:left="2880" w:hanging="360"/>
      </w:pPr>
    </w:lvl>
    <w:lvl w:ilvl="4" w:tplc="CAF236EC">
      <w:start w:val="1"/>
      <w:numFmt w:val="lowerLetter"/>
      <w:lvlText w:val="%5."/>
      <w:lvlJc w:val="left"/>
      <w:pPr>
        <w:ind w:left="3600" w:hanging="360"/>
      </w:pPr>
    </w:lvl>
    <w:lvl w:ilvl="5" w:tplc="75ACC308">
      <w:start w:val="1"/>
      <w:numFmt w:val="lowerRoman"/>
      <w:lvlText w:val="%6."/>
      <w:lvlJc w:val="right"/>
      <w:pPr>
        <w:ind w:left="4320" w:hanging="180"/>
      </w:pPr>
    </w:lvl>
    <w:lvl w:ilvl="6" w:tplc="A83460F2">
      <w:start w:val="1"/>
      <w:numFmt w:val="decimal"/>
      <w:lvlText w:val="%7."/>
      <w:lvlJc w:val="left"/>
      <w:pPr>
        <w:ind w:left="5040" w:hanging="360"/>
      </w:pPr>
    </w:lvl>
    <w:lvl w:ilvl="7" w:tplc="9FCE145C">
      <w:start w:val="1"/>
      <w:numFmt w:val="lowerLetter"/>
      <w:lvlText w:val="%8."/>
      <w:lvlJc w:val="left"/>
      <w:pPr>
        <w:ind w:left="5760" w:hanging="360"/>
      </w:pPr>
    </w:lvl>
    <w:lvl w:ilvl="8" w:tplc="6EAC1C5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63947FBA"/>
    <w:lvl w:ilvl="0" w:tplc="828234AA">
      <w:start w:val="1"/>
      <w:numFmt w:val="decimal"/>
      <w:lvlText w:val="%1."/>
      <w:lvlJc w:val="left"/>
      <w:pPr>
        <w:ind w:left="720" w:hanging="360"/>
      </w:pPr>
    </w:lvl>
    <w:lvl w:ilvl="1" w:tplc="B6DEDE58">
      <w:start w:val="1"/>
      <w:numFmt w:val="decimal"/>
      <w:lvlText w:val="%2."/>
      <w:lvlJc w:val="left"/>
      <w:pPr>
        <w:ind w:left="1440" w:hanging="360"/>
      </w:pPr>
    </w:lvl>
    <w:lvl w:ilvl="2" w:tplc="7E2A77AE">
      <w:start w:val="1"/>
      <w:numFmt w:val="lowerRoman"/>
      <w:lvlText w:val="%3."/>
      <w:lvlJc w:val="right"/>
      <w:pPr>
        <w:ind w:left="2160" w:hanging="180"/>
      </w:pPr>
    </w:lvl>
    <w:lvl w:ilvl="3" w:tplc="F4B68434">
      <w:start w:val="1"/>
      <w:numFmt w:val="decimal"/>
      <w:lvlText w:val="%4."/>
      <w:lvlJc w:val="left"/>
      <w:pPr>
        <w:ind w:left="2880" w:hanging="360"/>
      </w:pPr>
    </w:lvl>
    <w:lvl w:ilvl="4" w:tplc="22904E9A">
      <w:start w:val="1"/>
      <w:numFmt w:val="lowerLetter"/>
      <w:lvlText w:val="%5."/>
      <w:lvlJc w:val="left"/>
      <w:pPr>
        <w:ind w:left="3600" w:hanging="360"/>
      </w:pPr>
    </w:lvl>
    <w:lvl w:ilvl="5" w:tplc="D472BD8C">
      <w:start w:val="1"/>
      <w:numFmt w:val="lowerRoman"/>
      <w:lvlText w:val="%6."/>
      <w:lvlJc w:val="right"/>
      <w:pPr>
        <w:ind w:left="4320" w:hanging="180"/>
      </w:pPr>
    </w:lvl>
    <w:lvl w:ilvl="6" w:tplc="445E20F0">
      <w:start w:val="1"/>
      <w:numFmt w:val="decimal"/>
      <w:lvlText w:val="%7."/>
      <w:lvlJc w:val="left"/>
      <w:pPr>
        <w:ind w:left="5040" w:hanging="360"/>
      </w:pPr>
    </w:lvl>
    <w:lvl w:ilvl="7" w:tplc="1F78C724">
      <w:start w:val="1"/>
      <w:numFmt w:val="lowerLetter"/>
      <w:lvlText w:val="%8."/>
      <w:lvlJc w:val="left"/>
      <w:pPr>
        <w:ind w:left="5760" w:hanging="360"/>
      </w:pPr>
    </w:lvl>
    <w:lvl w:ilvl="8" w:tplc="33EC6C2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097554">
    <w:abstractNumId w:val="47"/>
  </w:num>
  <w:num w:numId="2" w16cid:durableId="276521639">
    <w:abstractNumId w:val="10"/>
  </w:num>
  <w:num w:numId="3" w16cid:durableId="23405652">
    <w:abstractNumId w:val="1"/>
    <w:lvlOverride w:ilvl="0">
      <w:lvl w:ilvl="0">
        <w:start w:val="1"/>
        <w:numFmt w:val="bullet"/>
        <w:lvlText w:val=""/>
        <w:lvlJc w:val="left"/>
        <w:pPr>
          <w:ind w:left="720" w:hanging="360"/>
        </w:pPr>
        <w:rPr>
          <w:rFonts w:ascii="Symbol" w:hAnsi="Symbol" w:hint="default"/>
        </w:rPr>
      </w:lvl>
    </w:lvlOverride>
  </w:num>
  <w:num w:numId="4" w16cid:durableId="1865246943">
    <w:abstractNumId w:val="22"/>
  </w:num>
  <w:num w:numId="5" w16cid:durableId="1872068217">
    <w:abstractNumId w:val="44"/>
  </w:num>
  <w:num w:numId="6" w16cid:durableId="1319457737">
    <w:abstractNumId w:val="46"/>
  </w:num>
  <w:num w:numId="7" w16cid:durableId="1594317203">
    <w:abstractNumId w:val="34"/>
  </w:num>
  <w:num w:numId="8" w16cid:durableId="2022732880">
    <w:abstractNumId w:val="32"/>
  </w:num>
  <w:num w:numId="9" w16cid:durableId="1453162227">
    <w:abstractNumId w:val="29"/>
  </w:num>
  <w:num w:numId="10" w16cid:durableId="2065329691">
    <w:abstractNumId w:val="30"/>
  </w:num>
  <w:num w:numId="11" w16cid:durableId="1285648034">
    <w:abstractNumId w:val="9"/>
  </w:num>
  <w:num w:numId="12" w16cid:durableId="592930553">
    <w:abstractNumId w:val="33"/>
  </w:num>
  <w:num w:numId="13" w16cid:durableId="233589877">
    <w:abstractNumId w:val="17"/>
  </w:num>
  <w:num w:numId="14" w16cid:durableId="1277249426">
    <w:abstractNumId w:val="16"/>
  </w:num>
  <w:num w:numId="15" w16cid:durableId="1111584424">
    <w:abstractNumId w:val="26"/>
  </w:num>
  <w:num w:numId="16" w16cid:durableId="1881630821">
    <w:abstractNumId w:val="7"/>
  </w:num>
  <w:num w:numId="17" w16cid:durableId="2122869063">
    <w:abstractNumId w:val="25"/>
  </w:num>
  <w:num w:numId="18" w16cid:durableId="1504735358">
    <w:abstractNumId w:val="15"/>
  </w:num>
  <w:num w:numId="19" w16cid:durableId="275841333">
    <w:abstractNumId w:val="13"/>
  </w:num>
  <w:num w:numId="20" w16cid:durableId="207547234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62321972">
    <w:abstractNumId w:val="23"/>
  </w:num>
  <w:num w:numId="22" w16cid:durableId="1556816865">
    <w:abstractNumId w:val="18"/>
  </w:num>
  <w:num w:numId="23" w16cid:durableId="155416118">
    <w:abstractNumId w:val="14"/>
  </w:num>
  <w:num w:numId="24" w16cid:durableId="1058094168">
    <w:abstractNumId w:val="11"/>
  </w:num>
  <w:num w:numId="25" w16cid:durableId="392775661">
    <w:abstractNumId w:val="27"/>
  </w:num>
  <w:num w:numId="26" w16cid:durableId="1985306141">
    <w:abstractNumId w:val="19"/>
  </w:num>
  <w:num w:numId="27" w16cid:durableId="1936203551">
    <w:abstractNumId w:val="40"/>
  </w:num>
  <w:num w:numId="28" w16cid:durableId="1930693449">
    <w:abstractNumId w:val="35"/>
  </w:num>
  <w:num w:numId="29" w16cid:durableId="1675300985">
    <w:abstractNumId w:val="39"/>
  </w:num>
  <w:num w:numId="30" w16cid:durableId="1735543672">
    <w:abstractNumId w:val="20"/>
  </w:num>
  <w:num w:numId="31" w16cid:durableId="328868519">
    <w:abstractNumId w:val="42"/>
  </w:num>
  <w:num w:numId="32" w16cid:durableId="1162508755">
    <w:abstractNumId w:val="31"/>
  </w:num>
  <w:num w:numId="33" w16cid:durableId="227542594">
    <w:abstractNumId w:val="12"/>
  </w:num>
  <w:num w:numId="34" w16cid:durableId="465200531">
    <w:abstractNumId w:val="43"/>
  </w:num>
  <w:num w:numId="35" w16cid:durableId="1573806048">
    <w:abstractNumId w:val="38"/>
  </w:num>
  <w:num w:numId="36" w16cid:durableId="832794232">
    <w:abstractNumId w:val="4"/>
  </w:num>
  <w:num w:numId="37" w16cid:durableId="259262883">
    <w:abstractNumId w:val="45"/>
  </w:num>
  <w:num w:numId="38" w16cid:durableId="806972206">
    <w:abstractNumId w:val="41"/>
  </w:num>
  <w:num w:numId="39" w16cid:durableId="865368843">
    <w:abstractNumId w:val="36"/>
  </w:num>
  <w:num w:numId="40" w16cid:durableId="1026760087">
    <w:abstractNumId w:val="37"/>
  </w:num>
  <w:num w:numId="41" w16cid:durableId="1740908100">
    <w:abstractNumId w:val="3"/>
  </w:num>
  <w:num w:numId="42" w16cid:durableId="533734162">
    <w:abstractNumId w:val="5"/>
  </w:num>
  <w:num w:numId="43" w16cid:durableId="1944410394">
    <w:abstractNumId w:val="24"/>
  </w:num>
  <w:num w:numId="44" w16cid:durableId="1580292611">
    <w:abstractNumId w:val="6"/>
  </w:num>
  <w:num w:numId="45" w16cid:durableId="1955752082">
    <w:abstractNumId w:val="2"/>
  </w:num>
  <w:num w:numId="46" w16cid:durableId="881748629">
    <w:abstractNumId w:val="0"/>
  </w:num>
  <w:num w:numId="47" w16cid:durableId="657151117">
    <w:abstractNumId w:val="21"/>
  </w:num>
  <w:num w:numId="48" w16cid:durableId="950012324">
    <w:abstractNumId w:val="28"/>
  </w:num>
  <w:num w:numId="49" w16cid:durableId="175947704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059"/>
    <w:rsid w:val="00020EEC"/>
    <w:rsid w:val="00025650"/>
    <w:rsid w:val="00026FAB"/>
    <w:rsid w:val="00027B1F"/>
    <w:rsid w:val="0003088B"/>
    <w:rsid w:val="000325D9"/>
    <w:rsid w:val="000372B2"/>
    <w:rsid w:val="0004079F"/>
    <w:rsid w:val="00045B87"/>
    <w:rsid w:val="00045C07"/>
    <w:rsid w:val="00055D43"/>
    <w:rsid w:val="00056FAC"/>
    <w:rsid w:val="00057751"/>
    <w:rsid w:val="000614BE"/>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7F7"/>
    <w:rsid w:val="00096DEA"/>
    <w:rsid w:val="00097579"/>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5776"/>
    <w:rsid w:val="00147DE3"/>
    <w:rsid w:val="00150794"/>
    <w:rsid w:val="001608C4"/>
    <w:rsid w:val="00167F45"/>
    <w:rsid w:val="00170607"/>
    <w:rsid w:val="00171418"/>
    <w:rsid w:val="00175DAD"/>
    <w:rsid w:val="00190913"/>
    <w:rsid w:val="001961CF"/>
    <w:rsid w:val="00196FF0"/>
    <w:rsid w:val="001A59BB"/>
    <w:rsid w:val="001A6A51"/>
    <w:rsid w:val="001A79C4"/>
    <w:rsid w:val="001B16CB"/>
    <w:rsid w:val="001B331A"/>
    <w:rsid w:val="001C0E74"/>
    <w:rsid w:val="001C6CEC"/>
    <w:rsid w:val="001D229F"/>
    <w:rsid w:val="001D6162"/>
    <w:rsid w:val="001E6FAD"/>
    <w:rsid w:val="001E7592"/>
    <w:rsid w:val="001F3878"/>
    <w:rsid w:val="001F4552"/>
    <w:rsid w:val="002019EB"/>
    <w:rsid w:val="002030F2"/>
    <w:rsid w:val="002042D3"/>
    <w:rsid w:val="00205051"/>
    <w:rsid w:val="00211F65"/>
    <w:rsid w:val="00213A97"/>
    <w:rsid w:val="0022001B"/>
    <w:rsid w:val="00220D06"/>
    <w:rsid w:val="002219BA"/>
    <w:rsid w:val="002246A0"/>
    <w:rsid w:val="00224AF9"/>
    <w:rsid w:val="00230439"/>
    <w:rsid w:val="0023292A"/>
    <w:rsid w:val="002333F8"/>
    <w:rsid w:val="00235176"/>
    <w:rsid w:val="00236061"/>
    <w:rsid w:val="0024100E"/>
    <w:rsid w:val="00241C1B"/>
    <w:rsid w:val="002423B2"/>
    <w:rsid w:val="0024288B"/>
    <w:rsid w:val="00246734"/>
    <w:rsid w:val="00255D8E"/>
    <w:rsid w:val="00264447"/>
    <w:rsid w:val="00265712"/>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3E4F"/>
    <w:rsid w:val="002A5604"/>
    <w:rsid w:val="002B1701"/>
    <w:rsid w:val="002B23C3"/>
    <w:rsid w:val="002B443A"/>
    <w:rsid w:val="002B5B35"/>
    <w:rsid w:val="002C256A"/>
    <w:rsid w:val="002C496D"/>
    <w:rsid w:val="002D05EB"/>
    <w:rsid w:val="002D2F29"/>
    <w:rsid w:val="002D2FD3"/>
    <w:rsid w:val="002D607F"/>
    <w:rsid w:val="002E7017"/>
    <w:rsid w:val="002F4F6E"/>
    <w:rsid w:val="0030112D"/>
    <w:rsid w:val="003015C3"/>
    <w:rsid w:val="003060AA"/>
    <w:rsid w:val="0030698D"/>
    <w:rsid w:val="0031350A"/>
    <w:rsid w:val="00316815"/>
    <w:rsid w:val="003168CA"/>
    <w:rsid w:val="00321255"/>
    <w:rsid w:val="0032230D"/>
    <w:rsid w:val="00322A0B"/>
    <w:rsid w:val="00323A8E"/>
    <w:rsid w:val="00332F54"/>
    <w:rsid w:val="00335FC5"/>
    <w:rsid w:val="00340E9A"/>
    <w:rsid w:val="003516C0"/>
    <w:rsid w:val="00352E59"/>
    <w:rsid w:val="00354DBE"/>
    <w:rsid w:val="00355210"/>
    <w:rsid w:val="003555D5"/>
    <w:rsid w:val="00356B11"/>
    <w:rsid w:val="00365DF9"/>
    <w:rsid w:val="0036668D"/>
    <w:rsid w:val="00372DB4"/>
    <w:rsid w:val="0037490C"/>
    <w:rsid w:val="00375AF5"/>
    <w:rsid w:val="003761BD"/>
    <w:rsid w:val="003769F6"/>
    <w:rsid w:val="00385414"/>
    <w:rsid w:val="00390074"/>
    <w:rsid w:val="00394EC2"/>
    <w:rsid w:val="0039740C"/>
    <w:rsid w:val="0039762B"/>
    <w:rsid w:val="003A0C37"/>
    <w:rsid w:val="003A1B6B"/>
    <w:rsid w:val="003A2F82"/>
    <w:rsid w:val="003A46C0"/>
    <w:rsid w:val="003A600E"/>
    <w:rsid w:val="003A6513"/>
    <w:rsid w:val="003B16C7"/>
    <w:rsid w:val="003B6A36"/>
    <w:rsid w:val="003C19F1"/>
    <w:rsid w:val="003C4186"/>
    <w:rsid w:val="003C458C"/>
    <w:rsid w:val="003C6185"/>
    <w:rsid w:val="003D0D2D"/>
    <w:rsid w:val="003D4710"/>
    <w:rsid w:val="003E16D7"/>
    <w:rsid w:val="003E197E"/>
    <w:rsid w:val="004046F0"/>
    <w:rsid w:val="0040668F"/>
    <w:rsid w:val="00412455"/>
    <w:rsid w:val="00412677"/>
    <w:rsid w:val="00417925"/>
    <w:rsid w:val="004348AE"/>
    <w:rsid w:val="00435E9A"/>
    <w:rsid w:val="004376C0"/>
    <w:rsid w:val="0044115F"/>
    <w:rsid w:val="0044223A"/>
    <w:rsid w:val="00446792"/>
    <w:rsid w:val="00446F80"/>
    <w:rsid w:val="00450C83"/>
    <w:rsid w:val="00451851"/>
    <w:rsid w:val="00453343"/>
    <w:rsid w:val="00454ADE"/>
    <w:rsid w:val="004608B9"/>
    <w:rsid w:val="00460ADB"/>
    <w:rsid w:val="00465947"/>
    <w:rsid w:val="00465CFF"/>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C6917"/>
    <w:rsid w:val="004D03C4"/>
    <w:rsid w:val="004D0BF1"/>
    <w:rsid w:val="004D24D2"/>
    <w:rsid w:val="004D35A4"/>
    <w:rsid w:val="004D445F"/>
    <w:rsid w:val="004E087B"/>
    <w:rsid w:val="004E2E68"/>
    <w:rsid w:val="004E44A4"/>
    <w:rsid w:val="004E6F10"/>
    <w:rsid w:val="004E7B8B"/>
    <w:rsid w:val="004E7BDD"/>
    <w:rsid w:val="004F1E21"/>
    <w:rsid w:val="004F740D"/>
    <w:rsid w:val="004F7B8F"/>
    <w:rsid w:val="00500748"/>
    <w:rsid w:val="005011D6"/>
    <w:rsid w:val="0050167A"/>
    <w:rsid w:val="005042F1"/>
    <w:rsid w:val="00510D6A"/>
    <w:rsid w:val="00513C7D"/>
    <w:rsid w:val="005169D1"/>
    <w:rsid w:val="00520008"/>
    <w:rsid w:val="00521123"/>
    <w:rsid w:val="00521221"/>
    <w:rsid w:val="00536FA9"/>
    <w:rsid w:val="005414F4"/>
    <w:rsid w:val="00546187"/>
    <w:rsid w:val="005463F1"/>
    <w:rsid w:val="00556A77"/>
    <w:rsid w:val="00557D77"/>
    <w:rsid w:val="00562EAA"/>
    <w:rsid w:val="00563B58"/>
    <w:rsid w:val="005640C4"/>
    <w:rsid w:val="00564C53"/>
    <w:rsid w:val="0056567F"/>
    <w:rsid w:val="0056684C"/>
    <w:rsid w:val="00574A0C"/>
    <w:rsid w:val="00576E4C"/>
    <w:rsid w:val="0057780F"/>
    <w:rsid w:val="00581E0A"/>
    <w:rsid w:val="00582870"/>
    <w:rsid w:val="00586D89"/>
    <w:rsid w:val="005916B8"/>
    <w:rsid w:val="00593D00"/>
    <w:rsid w:val="005A1B4C"/>
    <w:rsid w:val="005A1BA3"/>
    <w:rsid w:val="005A2171"/>
    <w:rsid w:val="005A3AEE"/>
    <w:rsid w:val="005A545C"/>
    <w:rsid w:val="005C1567"/>
    <w:rsid w:val="005C6CE5"/>
    <w:rsid w:val="005C76DE"/>
    <w:rsid w:val="005D3F07"/>
    <w:rsid w:val="005D583E"/>
    <w:rsid w:val="005E13EA"/>
    <w:rsid w:val="005E2CAD"/>
    <w:rsid w:val="005E53BD"/>
    <w:rsid w:val="005F3060"/>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26B9"/>
    <w:rsid w:val="00670812"/>
    <w:rsid w:val="006712A7"/>
    <w:rsid w:val="006733CC"/>
    <w:rsid w:val="00674FC2"/>
    <w:rsid w:val="00677E42"/>
    <w:rsid w:val="00682334"/>
    <w:rsid w:val="00684B16"/>
    <w:rsid w:val="00691C09"/>
    <w:rsid w:val="00694C00"/>
    <w:rsid w:val="00696F65"/>
    <w:rsid w:val="006A7A6D"/>
    <w:rsid w:val="006B5E67"/>
    <w:rsid w:val="006C2EB5"/>
    <w:rsid w:val="006C70A5"/>
    <w:rsid w:val="006D18A3"/>
    <w:rsid w:val="006D5970"/>
    <w:rsid w:val="006E481E"/>
    <w:rsid w:val="006E795F"/>
    <w:rsid w:val="00700249"/>
    <w:rsid w:val="0070604C"/>
    <w:rsid w:val="007069CD"/>
    <w:rsid w:val="00710D69"/>
    <w:rsid w:val="007110E6"/>
    <w:rsid w:val="00711A70"/>
    <w:rsid w:val="00711F64"/>
    <w:rsid w:val="00712E6F"/>
    <w:rsid w:val="00712E90"/>
    <w:rsid w:val="00713B7E"/>
    <w:rsid w:val="0071499F"/>
    <w:rsid w:val="0072028F"/>
    <w:rsid w:val="007203DA"/>
    <w:rsid w:val="007204AE"/>
    <w:rsid w:val="007260F7"/>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93C"/>
    <w:rsid w:val="007F3F7E"/>
    <w:rsid w:val="007F5497"/>
    <w:rsid w:val="00813CEC"/>
    <w:rsid w:val="0081534C"/>
    <w:rsid w:val="008156C0"/>
    <w:rsid w:val="008171E4"/>
    <w:rsid w:val="008208EA"/>
    <w:rsid w:val="00824E67"/>
    <w:rsid w:val="00825A64"/>
    <w:rsid w:val="00826F48"/>
    <w:rsid w:val="008308AE"/>
    <w:rsid w:val="0083166E"/>
    <w:rsid w:val="00831DC3"/>
    <w:rsid w:val="008322C7"/>
    <w:rsid w:val="00834F1D"/>
    <w:rsid w:val="00835E3F"/>
    <w:rsid w:val="00836FEC"/>
    <w:rsid w:val="00841F9D"/>
    <w:rsid w:val="008420E1"/>
    <w:rsid w:val="00843C6C"/>
    <w:rsid w:val="00843D58"/>
    <w:rsid w:val="00843EBA"/>
    <w:rsid w:val="00844D98"/>
    <w:rsid w:val="00846D84"/>
    <w:rsid w:val="0085230E"/>
    <w:rsid w:val="0085355E"/>
    <w:rsid w:val="008550A1"/>
    <w:rsid w:val="00861035"/>
    <w:rsid w:val="00861038"/>
    <w:rsid w:val="00865008"/>
    <w:rsid w:val="00866B50"/>
    <w:rsid w:val="008708F1"/>
    <w:rsid w:val="008770F4"/>
    <w:rsid w:val="00880539"/>
    <w:rsid w:val="008859E8"/>
    <w:rsid w:val="0088737B"/>
    <w:rsid w:val="00892716"/>
    <w:rsid w:val="00893067"/>
    <w:rsid w:val="008933DE"/>
    <w:rsid w:val="00893EC3"/>
    <w:rsid w:val="00895FCE"/>
    <w:rsid w:val="00897F3E"/>
    <w:rsid w:val="008A1BA8"/>
    <w:rsid w:val="008A21B4"/>
    <w:rsid w:val="008A4576"/>
    <w:rsid w:val="008B07DE"/>
    <w:rsid w:val="008B28E7"/>
    <w:rsid w:val="008C14C7"/>
    <w:rsid w:val="008C2FFB"/>
    <w:rsid w:val="008C6EEA"/>
    <w:rsid w:val="008D05BB"/>
    <w:rsid w:val="008D5813"/>
    <w:rsid w:val="008D634E"/>
    <w:rsid w:val="008D778A"/>
    <w:rsid w:val="008F22BD"/>
    <w:rsid w:val="008F43CE"/>
    <w:rsid w:val="009079BD"/>
    <w:rsid w:val="00912BD9"/>
    <w:rsid w:val="00916CFB"/>
    <w:rsid w:val="00920E5B"/>
    <w:rsid w:val="009249F8"/>
    <w:rsid w:val="00926436"/>
    <w:rsid w:val="0093018C"/>
    <w:rsid w:val="00932CCA"/>
    <w:rsid w:val="00935624"/>
    <w:rsid w:val="009544C0"/>
    <w:rsid w:val="00954FA4"/>
    <w:rsid w:val="00956AE9"/>
    <w:rsid w:val="00964CC6"/>
    <w:rsid w:val="0097654A"/>
    <w:rsid w:val="00981F42"/>
    <w:rsid w:val="00991FDA"/>
    <w:rsid w:val="009927A1"/>
    <w:rsid w:val="009966E1"/>
    <w:rsid w:val="0099748A"/>
    <w:rsid w:val="0099774D"/>
    <w:rsid w:val="009A0C37"/>
    <w:rsid w:val="009A310E"/>
    <w:rsid w:val="009A37EF"/>
    <w:rsid w:val="009A5F3B"/>
    <w:rsid w:val="009A71BE"/>
    <w:rsid w:val="009B0B61"/>
    <w:rsid w:val="009B28C0"/>
    <w:rsid w:val="009B395A"/>
    <w:rsid w:val="009B7136"/>
    <w:rsid w:val="009B7806"/>
    <w:rsid w:val="009C3AC2"/>
    <w:rsid w:val="009D4365"/>
    <w:rsid w:val="009D4E3B"/>
    <w:rsid w:val="009D7BC9"/>
    <w:rsid w:val="009E0C5A"/>
    <w:rsid w:val="009E1982"/>
    <w:rsid w:val="009E35A6"/>
    <w:rsid w:val="009E4D2C"/>
    <w:rsid w:val="009F0978"/>
    <w:rsid w:val="009F3AEC"/>
    <w:rsid w:val="00A00081"/>
    <w:rsid w:val="00A015F7"/>
    <w:rsid w:val="00A10D56"/>
    <w:rsid w:val="00A12AAE"/>
    <w:rsid w:val="00A14684"/>
    <w:rsid w:val="00A16DD1"/>
    <w:rsid w:val="00A221AB"/>
    <w:rsid w:val="00A22441"/>
    <w:rsid w:val="00A23F3B"/>
    <w:rsid w:val="00A24406"/>
    <w:rsid w:val="00A25F64"/>
    <w:rsid w:val="00A27CC2"/>
    <w:rsid w:val="00A30867"/>
    <w:rsid w:val="00A3273B"/>
    <w:rsid w:val="00A33E59"/>
    <w:rsid w:val="00A40ED6"/>
    <w:rsid w:val="00A470EE"/>
    <w:rsid w:val="00A47621"/>
    <w:rsid w:val="00A479CD"/>
    <w:rsid w:val="00A50CFC"/>
    <w:rsid w:val="00A54D67"/>
    <w:rsid w:val="00A55A3F"/>
    <w:rsid w:val="00A56BC4"/>
    <w:rsid w:val="00A652F6"/>
    <w:rsid w:val="00A661DD"/>
    <w:rsid w:val="00A732EA"/>
    <w:rsid w:val="00A7489E"/>
    <w:rsid w:val="00A8015F"/>
    <w:rsid w:val="00A80BD2"/>
    <w:rsid w:val="00A85039"/>
    <w:rsid w:val="00A851F7"/>
    <w:rsid w:val="00A906AA"/>
    <w:rsid w:val="00A939FD"/>
    <w:rsid w:val="00A94C5E"/>
    <w:rsid w:val="00AA241A"/>
    <w:rsid w:val="00AA252C"/>
    <w:rsid w:val="00AA666E"/>
    <w:rsid w:val="00AB5518"/>
    <w:rsid w:val="00AC01D4"/>
    <w:rsid w:val="00AC4A04"/>
    <w:rsid w:val="00AD3193"/>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5655"/>
    <w:rsid w:val="00B47734"/>
    <w:rsid w:val="00B50FBA"/>
    <w:rsid w:val="00B558EB"/>
    <w:rsid w:val="00B56F4E"/>
    <w:rsid w:val="00B577D3"/>
    <w:rsid w:val="00B60466"/>
    <w:rsid w:val="00B6548F"/>
    <w:rsid w:val="00B73F15"/>
    <w:rsid w:val="00B7502A"/>
    <w:rsid w:val="00B772F8"/>
    <w:rsid w:val="00B77305"/>
    <w:rsid w:val="00B82680"/>
    <w:rsid w:val="00B82CC2"/>
    <w:rsid w:val="00B84A89"/>
    <w:rsid w:val="00B92BEF"/>
    <w:rsid w:val="00B9689A"/>
    <w:rsid w:val="00BA074B"/>
    <w:rsid w:val="00BA1FFA"/>
    <w:rsid w:val="00BA2666"/>
    <w:rsid w:val="00BA7FF1"/>
    <w:rsid w:val="00BB06CB"/>
    <w:rsid w:val="00BB1739"/>
    <w:rsid w:val="00BB261F"/>
    <w:rsid w:val="00BB2887"/>
    <w:rsid w:val="00BB426A"/>
    <w:rsid w:val="00BB5EAA"/>
    <w:rsid w:val="00BB5F11"/>
    <w:rsid w:val="00BC0401"/>
    <w:rsid w:val="00BC04FA"/>
    <w:rsid w:val="00BC1C22"/>
    <w:rsid w:val="00BC25EF"/>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3D2"/>
    <w:rsid w:val="00C63D00"/>
    <w:rsid w:val="00C6441B"/>
    <w:rsid w:val="00C65427"/>
    <w:rsid w:val="00C7108B"/>
    <w:rsid w:val="00C720B2"/>
    <w:rsid w:val="00C8089F"/>
    <w:rsid w:val="00C836CC"/>
    <w:rsid w:val="00C87A74"/>
    <w:rsid w:val="00C904AD"/>
    <w:rsid w:val="00C90A71"/>
    <w:rsid w:val="00C91574"/>
    <w:rsid w:val="00C91BC2"/>
    <w:rsid w:val="00C92C71"/>
    <w:rsid w:val="00C93F8F"/>
    <w:rsid w:val="00C94BF2"/>
    <w:rsid w:val="00CA2745"/>
    <w:rsid w:val="00CA3593"/>
    <w:rsid w:val="00CA7F4F"/>
    <w:rsid w:val="00CB258E"/>
    <w:rsid w:val="00CB2AED"/>
    <w:rsid w:val="00CB3C8F"/>
    <w:rsid w:val="00CB75CE"/>
    <w:rsid w:val="00CC02F1"/>
    <w:rsid w:val="00CC11A6"/>
    <w:rsid w:val="00CC135E"/>
    <w:rsid w:val="00CD5D3F"/>
    <w:rsid w:val="00CE340D"/>
    <w:rsid w:val="00CF1E90"/>
    <w:rsid w:val="00CF3DB3"/>
    <w:rsid w:val="00D00ACB"/>
    <w:rsid w:val="00D052BC"/>
    <w:rsid w:val="00D07026"/>
    <w:rsid w:val="00D07BAB"/>
    <w:rsid w:val="00D11C62"/>
    <w:rsid w:val="00D22C8F"/>
    <w:rsid w:val="00D33491"/>
    <w:rsid w:val="00D44F8E"/>
    <w:rsid w:val="00D44FD0"/>
    <w:rsid w:val="00D47F3C"/>
    <w:rsid w:val="00D57199"/>
    <w:rsid w:val="00D5733C"/>
    <w:rsid w:val="00D607EF"/>
    <w:rsid w:val="00D60F88"/>
    <w:rsid w:val="00D625E7"/>
    <w:rsid w:val="00D646BD"/>
    <w:rsid w:val="00D70239"/>
    <w:rsid w:val="00D71201"/>
    <w:rsid w:val="00D720C7"/>
    <w:rsid w:val="00D77A04"/>
    <w:rsid w:val="00D81D06"/>
    <w:rsid w:val="00D8652C"/>
    <w:rsid w:val="00D86964"/>
    <w:rsid w:val="00D876E6"/>
    <w:rsid w:val="00DA1025"/>
    <w:rsid w:val="00DA22EC"/>
    <w:rsid w:val="00DA5531"/>
    <w:rsid w:val="00DA5860"/>
    <w:rsid w:val="00DA7E57"/>
    <w:rsid w:val="00DB2767"/>
    <w:rsid w:val="00DC31A0"/>
    <w:rsid w:val="00DC4729"/>
    <w:rsid w:val="00DE556F"/>
    <w:rsid w:val="00E03B6D"/>
    <w:rsid w:val="00E0649E"/>
    <w:rsid w:val="00E17160"/>
    <w:rsid w:val="00E35BEC"/>
    <w:rsid w:val="00E413B3"/>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7B11"/>
    <w:rsid w:val="00EB7D67"/>
    <w:rsid w:val="00ED1B30"/>
    <w:rsid w:val="00ED250E"/>
    <w:rsid w:val="00ED6535"/>
    <w:rsid w:val="00EE1AC1"/>
    <w:rsid w:val="00EE39D6"/>
    <w:rsid w:val="00EE413C"/>
    <w:rsid w:val="00EE52AD"/>
    <w:rsid w:val="00F01F92"/>
    <w:rsid w:val="00F052CF"/>
    <w:rsid w:val="00F10A08"/>
    <w:rsid w:val="00F139CF"/>
    <w:rsid w:val="00F156F8"/>
    <w:rsid w:val="00F22AC5"/>
    <w:rsid w:val="00F239B3"/>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7228"/>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482F"/>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8F43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publications/tackling-domestic-abuse-plan/tackling-domestic-abuse-plan-command-paper-639-accessible-version"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974376/victims-code-2020.pdf"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6231</Words>
  <Characters>33637</Characters>
  <Application>Microsoft Office Word</Application>
  <DocSecurity>0</DocSecurity>
  <Lines>280</Lines>
  <Paragraphs>79</Paragraphs>
  <ScaleCrop>false</ScaleCrop>
  <Company>Powys County Council</Company>
  <LinksUpToDate>false</LinksUpToDate>
  <CharactersWithSpaces>39789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Billy Deasy (2031219)</cp:lastModifiedBy>
  <cp:revision>2</cp:revision>
  <cp:lastPrinted>2014-08-26T08:55:00Z</cp:lastPrinted>
  <dcterms:created xsi:type="dcterms:W3CDTF">2023-03-13T04:06:00Z</dcterms:created>
  <dcterms:modified xsi:type="dcterms:W3CDTF">2023-03-13T04:06:00Z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