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D10E78" w:rsidR="00B7473A" w:rsidP="00233CC7" w:rsidRDefault="00B7473A" w14:paraId="43A78F96" w14:textId="77777777">
      <w:pPr>
        <w:spacing w:after="2000" w:line="480" w:lineRule="auto"/>
        <w:rPr>
          <w:rFonts w:ascii="Arial" w:hAnsi="Arial"/>
          <w:sz w:val="22"/>
        </w:rPr>
      </w:pPr>
    </w:p>
    <w:p w:rsidRPr="00D10E78" w:rsidR="00B7473A" w:rsidP="00233CC7" w:rsidRDefault="00000000" w14:paraId="78184B5F" w14:textId="17108FE6">
      <w:pPr>
        <w:spacing w:after="300" w:line="480" w:lineRule="auto"/>
      </w:pPr>
      <w:r w:rsidRPr="0D7057A7" w:rsidR="00D10E78">
        <w:rPr>
          <w:rFonts w:ascii="Arial" w:hAnsi="Arial" w:eastAsia="Calibri" w:cs="Calibri"/>
          <w:b w:val="1"/>
          <w:bCs w:val="1"/>
          <w:sz w:val="36"/>
          <w:szCs w:val="36"/>
        </w:rPr>
        <w:t>Socioeconomic determinants of childhood obesity in England</w:t>
      </w:r>
    </w:p>
    <w:p w:rsidRPr="00D10E78" w:rsidR="00B7473A" w:rsidP="00233CC7" w:rsidRDefault="00000000" w14:paraId="70B03A8A" w14:textId="229CBC8F">
      <w:pPr>
        <w:spacing w:after="300" w:line="480" w:lineRule="auto"/>
      </w:pPr>
      <w:r w:rsidRPr="0D7057A7" w:rsidR="00000000">
        <w:rPr>
          <w:rFonts w:ascii="Arial" w:hAnsi="Arial" w:eastAsia="Calibri" w:cs="Calibri"/>
          <w:b w:val="1"/>
          <w:bCs w:val="1"/>
          <w:sz w:val="36"/>
          <w:szCs w:val="36"/>
        </w:rPr>
        <w:t xml:space="preserve">Module name: BMHP5019 - Introduction to </w:t>
      </w:r>
      <w:r w:rsidRPr="0D7057A7" w:rsidR="5705781E">
        <w:rPr>
          <w:rFonts w:ascii="Arial" w:hAnsi="Arial" w:eastAsia="Calibri" w:cs="Calibri"/>
          <w:b w:val="1"/>
          <w:bCs w:val="1"/>
          <w:sz w:val="36"/>
          <w:szCs w:val="36"/>
        </w:rPr>
        <w:t xml:space="preserve">                           </w:t>
      </w:r>
      <w:r w:rsidRPr="0D7057A7" w:rsidR="00000000">
        <w:rPr>
          <w:rFonts w:ascii="Arial" w:hAnsi="Arial" w:eastAsia="Calibri" w:cs="Calibri"/>
          <w:b w:val="1"/>
          <w:bCs w:val="1"/>
          <w:sz w:val="36"/>
          <w:szCs w:val="36"/>
        </w:rPr>
        <w:t>Independent Research Skills</w:t>
      </w:r>
    </w:p>
    <w:p w:rsidRPr="00D10E78" w:rsidR="00B7473A" w:rsidP="0D7057A7" w:rsidRDefault="00000000" w14:paraId="3ACE2AF0" w14:textId="513EF8D0">
      <w:pPr>
        <w:spacing w:after="300" w:line="480" w:lineRule="auto"/>
        <w:rPr>
          <w:rFonts w:ascii="Arial" w:hAnsi="Arial"/>
          <w:sz w:val="36"/>
          <w:szCs w:val="36"/>
        </w:rPr>
      </w:pPr>
      <w:r w:rsidRPr="0D7057A7" w:rsidR="00000000">
        <w:rPr>
          <w:rFonts w:ascii="Arial" w:hAnsi="Arial" w:eastAsia="Calibri" w:cs="Calibri"/>
          <w:b w:val="1"/>
          <w:bCs w:val="1"/>
          <w:sz w:val="36"/>
          <w:szCs w:val="36"/>
        </w:rPr>
        <w:t>Module code: BMHP5019</w:t>
      </w:r>
    </w:p>
    <w:p w:rsidRPr="00D10E78" w:rsidR="00B7473A" w:rsidP="00233CC7" w:rsidRDefault="00B7473A" w14:paraId="12520D43" w14:textId="77777777">
      <w:pPr>
        <w:spacing w:after="300" w:line="480" w:lineRule="auto"/>
        <w:rPr>
          <w:rFonts w:ascii="Arial" w:hAnsi="Arial"/>
          <w:sz w:val="22"/>
        </w:rPr>
      </w:pPr>
    </w:p>
    <w:p w:rsidRPr="00D10E78" w:rsidR="00B7473A" w:rsidP="0D7057A7" w:rsidRDefault="00000000" w14:paraId="00ED6460" w14:textId="1491377E">
      <w:pPr>
        <w:spacing w:after="300" w:line="480" w:lineRule="auto"/>
        <w:rPr>
          <w:rFonts w:ascii="Arial" w:hAnsi="Arial" w:eastAsia="Calibri" w:cs="Calibri"/>
          <w:b w:val="1"/>
          <w:bCs w:val="1"/>
          <w:sz w:val="28"/>
          <w:szCs w:val="28"/>
        </w:rPr>
      </w:pPr>
      <w:r w:rsidRPr="0D7057A7" w:rsidR="00000000">
        <w:rPr>
          <w:rFonts w:ascii="Arial" w:hAnsi="Arial" w:eastAsia="Calibri" w:cs="Calibri"/>
          <w:b w:val="1"/>
          <w:bCs w:val="1"/>
          <w:sz w:val="28"/>
          <w:szCs w:val="28"/>
        </w:rPr>
        <w:t xml:space="preserve">Student name: </w:t>
      </w:r>
      <w:r w:rsidRPr="0D7057A7" w:rsidR="7A042861">
        <w:rPr>
          <w:rFonts w:ascii="Arial" w:hAnsi="Arial" w:eastAsia="Calibri" w:cs="Calibri"/>
          <w:b w:val="1"/>
          <w:bCs w:val="1"/>
          <w:sz w:val="28"/>
          <w:szCs w:val="28"/>
        </w:rPr>
        <w:t xml:space="preserve"> Huma Zafar </w:t>
      </w:r>
    </w:p>
    <w:p w:rsidRPr="00D10E78" w:rsidR="00B7473A" w:rsidP="0D7057A7" w:rsidRDefault="00000000" w14:paraId="7A5CCEC9" w14:textId="26F97893">
      <w:pPr>
        <w:spacing w:after="300" w:line="480" w:lineRule="auto"/>
        <w:rPr>
          <w:rFonts w:ascii="Arial" w:hAnsi="Arial" w:eastAsia="Arial" w:cs="Arial"/>
          <w:b w:val="0"/>
          <w:bCs w:val="0"/>
          <w:i w:val="0"/>
          <w:iCs w:val="0"/>
          <w:caps w:val="0"/>
          <w:smallCaps w:val="0"/>
          <w:noProof w:val="0"/>
          <w:color w:val="242130"/>
          <w:sz w:val="28"/>
          <w:szCs w:val="28"/>
          <w:lang w:val="en-GB"/>
        </w:rPr>
      </w:pPr>
      <w:r w:rsidRPr="0D7057A7" w:rsidR="00000000">
        <w:rPr>
          <w:rFonts w:ascii="Arial" w:hAnsi="Arial" w:eastAsia="Calibri" w:cs="Calibri"/>
          <w:b w:val="1"/>
          <w:bCs w:val="1"/>
          <w:sz w:val="28"/>
          <w:szCs w:val="28"/>
        </w:rPr>
        <w:t xml:space="preserve">Student ID: </w:t>
      </w:r>
      <w:r w:rsidRPr="0D7057A7" w:rsidR="6E55E7A3">
        <w:rPr>
          <w:rFonts w:ascii="Arial" w:hAnsi="Arial" w:eastAsia="Arial" w:cs="Arial"/>
          <w:b w:val="0"/>
          <w:bCs w:val="0"/>
          <w:i w:val="0"/>
          <w:iCs w:val="0"/>
          <w:caps w:val="0"/>
          <w:smallCaps w:val="0"/>
          <w:noProof w:val="0"/>
          <w:color w:val="242130"/>
          <w:sz w:val="28"/>
          <w:szCs w:val="28"/>
          <w:lang w:val="en-GB"/>
        </w:rPr>
        <w:t>2324433</w:t>
      </w:r>
    </w:p>
    <w:p w:rsidRPr="00D10E78" w:rsidR="00B7473A" w:rsidP="0D7057A7" w:rsidRDefault="00000000" w14:paraId="28FCE114" w14:textId="684238FA">
      <w:pPr>
        <w:pStyle w:val="Normal"/>
        <w:spacing w:after="300" w:line="480" w:lineRule="auto"/>
      </w:pPr>
      <w:r w:rsidRPr="0D7057A7" w:rsidR="00000000">
        <w:rPr>
          <w:rFonts w:ascii="Arial" w:hAnsi="Arial" w:eastAsia="Calibri" w:cs="Calibri"/>
          <w:b w:val="1"/>
          <w:bCs w:val="1"/>
          <w:sz w:val="28"/>
          <w:szCs w:val="28"/>
        </w:rPr>
        <w:t xml:space="preserve">Lecturer's name: </w:t>
      </w:r>
      <w:r w:rsidRPr="0D7057A7" w:rsidR="08C001D0">
        <w:rPr>
          <w:rFonts w:ascii="system-ui" w:hAnsi="system-ui" w:eastAsia="system-ui" w:cs="system-ui"/>
          <w:b w:val="1"/>
          <w:bCs w:val="1"/>
          <w:i w:val="0"/>
          <w:iCs w:val="0"/>
          <w:caps w:val="0"/>
          <w:smallCaps w:val="0"/>
          <w:noProof w:val="0"/>
          <w:color w:val="1D2125"/>
          <w:sz w:val="28"/>
          <w:szCs w:val="28"/>
          <w:lang w:val="en-GB"/>
        </w:rPr>
        <w:t xml:space="preserve">Eleni </w:t>
      </w:r>
      <w:r w:rsidRPr="0D7057A7" w:rsidR="08C001D0">
        <w:rPr>
          <w:rFonts w:ascii="system-ui" w:hAnsi="system-ui" w:eastAsia="system-ui" w:cs="system-ui"/>
          <w:b w:val="1"/>
          <w:bCs w:val="1"/>
          <w:i w:val="0"/>
          <w:iCs w:val="0"/>
          <w:caps w:val="0"/>
          <w:smallCaps w:val="0"/>
          <w:noProof w:val="0"/>
          <w:color w:val="1D2125"/>
          <w:sz w:val="28"/>
          <w:szCs w:val="28"/>
          <w:lang w:val="en-GB"/>
        </w:rPr>
        <w:t>Koutsogeorgou</w:t>
      </w:r>
      <w:r w:rsidRPr="0D7057A7" w:rsidR="08C001D0">
        <w:rPr>
          <w:rFonts w:ascii="system-ui" w:hAnsi="system-ui" w:eastAsia="system-ui" w:cs="system-ui"/>
          <w:b w:val="1"/>
          <w:bCs w:val="1"/>
          <w:i w:val="0"/>
          <w:iCs w:val="0"/>
          <w:caps w:val="0"/>
          <w:smallCaps w:val="0"/>
          <w:noProof w:val="0"/>
          <w:color w:val="1D2125"/>
          <w:sz w:val="28"/>
          <w:szCs w:val="28"/>
          <w:lang w:val="en-GB"/>
        </w:rPr>
        <w:t>-Andreou</w:t>
      </w:r>
      <w:r w:rsidRPr="0D7057A7" w:rsidR="08C001D0">
        <w:rPr>
          <w:rFonts w:ascii="system-ui" w:hAnsi="system-ui" w:eastAsia="system-ui" w:cs="system-ui"/>
          <w:b w:val="1"/>
          <w:bCs w:val="1"/>
          <w:i w:val="0"/>
          <w:iCs w:val="0"/>
          <w:caps w:val="0"/>
          <w:smallCaps w:val="0"/>
          <w:noProof w:val="0"/>
          <w:color w:val="1D2125"/>
          <w:sz w:val="24"/>
          <w:szCs w:val="24"/>
          <w:lang w:val="en-GB"/>
        </w:rPr>
        <w:t xml:space="preserve"> </w:t>
      </w:r>
    </w:p>
    <w:p w:rsidRPr="00D10E78" w:rsidR="00B7473A" w:rsidP="00233CC7" w:rsidRDefault="00000000" w14:paraId="08537690" w14:textId="77777777">
      <w:pPr>
        <w:spacing w:line="480" w:lineRule="auto"/>
        <w:rPr>
          <w:rFonts w:ascii="Arial" w:hAnsi="Arial"/>
          <w:sz w:val="22"/>
        </w:rPr>
      </w:pPr>
      <w:r w:rsidRPr="00D10E78">
        <w:rPr>
          <w:rFonts w:ascii="Arial" w:hAnsi="Arial"/>
          <w:sz w:val="22"/>
        </w:rPr>
        <w:br w:type="page"/>
      </w:r>
    </w:p>
    <w:p w:rsidRPr="00D10E78" w:rsidR="00EF1333" w:rsidP="00233CC7" w:rsidRDefault="00D10E78" w14:paraId="46B6C9B8" w14:textId="0B79D891">
      <w:pPr>
        <w:spacing w:line="480" w:lineRule="auto"/>
        <w:rPr>
          <w:rFonts w:ascii="Arial" w:hAnsi="Arial"/>
          <w:sz w:val="22"/>
        </w:rPr>
      </w:pPr>
      <w:r w:rsidRPr="00D10E78">
        <w:rPr>
          <w:rFonts w:ascii="Arial" w:hAnsi="Arial"/>
          <w:sz w:val="22"/>
        </w:rPr>
        <w:t>1</w:t>
      </w:r>
      <w:r w:rsidRPr="00D10E78" w:rsidR="00EF1333">
        <w:rPr>
          <w:rFonts w:ascii="Arial" w:hAnsi="Arial"/>
          <w:sz w:val="22"/>
        </w:rPr>
        <w:t>. Abstract</w:t>
      </w:r>
    </w:p>
    <w:p w:rsidRPr="00D10E78" w:rsidR="00EF1333" w:rsidP="00233CC7" w:rsidRDefault="00EF1333" w14:paraId="6D656431" w14:textId="77777777">
      <w:pPr>
        <w:spacing w:line="480" w:lineRule="auto"/>
        <w:rPr>
          <w:rFonts w:ascii="Arial" w:hAnsi="Arial"/>
          <w:sz w:val="22"/>
        </w:rPr>
      </w:pPr>
      <w:r w:rsidRPr="00D10E78">
        <w:rPr>
          <w:rFonts w:ascii="Arial" w:hAnsi="Arial"/>
          <w:sz w:val="22"/>
        </w:rPr>
        <w:t xml:space="preserve">Childhood obesity is a significant public health issue in England and there is </w:t>
      </w:r>
      <w:proofErr w:type="gramStart"/>
      <w:r w:rsidRPr="00D10E78">
        <w:rPr>
          <w:rFonts w:ascii="Arial" w:hAnsi="Arial"/>
          <w:sz w:val="22"/>
        </w:rPr>
        <w:t>a clear evidence</w:t>
      </w:r>
      <w:proofErr w:type="gramEnd"/>
      <w:r w:rsidRPr="00D10E78">
        <w:rPr>
          <w:rFonts w:ascii="Arial" w:hAnsi="Arial"/>
          <w:sz w:val="22"/>
        </w:rPr>
        <w:t xml:space="preserve"> of inequalities in risk. This is a scoping review which brings together recent literature on the socioeconomic determinants of childhood obesity around the income, education, deprivation, and geography. PubMed, CINAHL and Web of Science databases were searched according to the PRISMA search strategy, after which, articles were screened for pre-defined eligibility criteria to include those that were remaining after the search for them. Six peer-reviewed studies were retained for thematic synthesis. The review concludes that deprivation continues to be the most robust determinant of obesity inequalities in children, inequalities have increased in recent years and ethnicity and local food environments exacerbate </w:t>
      </w:r>
      <w:proofErr w:type="gramStart"/>
      <w:r w:rsidRPr="00D10E78">
        <w:rPr>
          <w:rFonts w:ascii="Arial" w:hAnsi="Arial"/>
          <w:sz w:val="22"/>
        </w:rPr>
        <w:t>this inequalities</w:t>
      </w:r>
      <w:proofErr w:type="gramEnd"/>
      <w:r w:rsidRPr="00D10E78">
        <w:rPr>
          <w:rFonts w:ascii="Arial" w:hAnsi="Arial"/>
          <w:sz w:val="22"/>
        </w:rPr>
        <w:t>. There is some evidence in the form of fiscal measures (the soft drinks industry levy) that inequalities can be reduced, but these measures are insufficient to address the structural causes of inequalities. The review concludes that a multi-dimensional, or intersectional, perspective on childhood obesity in England which links together income, education, ethnicity and place is needed to understand and address the problem and recommends further research, policy and health and social care practice.</w:t>
      </w:r>
    </w:p>
    <w:p w:rsidRPr="00D10E78" w:rsidR="00D10E78" w:rsidP="00233CC7" w:rsidRDefault="00D10E78" w14:paraId="470F0434" w14:textId="77777777">
      <w:pPr>
        <w:spacing w:line="480" w:lineRule="auto"/>
        <w:rPr>
          <w:rFonts w:ascii="Arial" w:hAnsi="Arial"/>
          <w:sz w:val="22"/>
        </w:rPr>
      </w:pPr>
    </w:p>
    <w:p w:rsidRPr="00D10E78" w:rsidR="00D10E78" w:rsidP="00233CC7" w:rsidRDefault="00D10E78" w14:paraId="60AFD93B" w14:textId="77777777">
      <w:pPr>
        <w:spacing w:line="480" w:lineRule="auto"/>
        <w:rPr>
          <w:rFonts w:ascii="Arial" w:hAnsi="Arial"/>
          <w:sz w:val="22"/>
        </w:rPr>
      </w:pPr>
    </w:p>
    <w:p w:rsidRPr="00D10E78" w:rsidR="00D10E78" w:rsidP="00233CC7" w:rsidRDefault="00D10E78" w14:paraId="50D80255" w14:textId="77777777">
      <w:pPr>
        <w:spacing w:line="480" w:lineRule="auto"/>
        <w:rPr>
          <w:rFonts w:ascii="Arial" w:hAnsi="Arial"/>
          <w:sz w:val="22"/>
        </w:rPr>
      </w:pPr>
    </w:p>
    <w:p w:rsidRPr="00D10E78" w:rsidR="00D10E78" w:rsidP="00233CC7" w:rsidRDefault="00D10E78" w14:paraId="2F5E64F1" w14:textId="77777777">
      <w:pPr>
        <w:spacing w:line="480" w:lineRule="auto"/>
        <w:rPr>
          <w:rFonts w:ascii="Arial" w:hAnsi="Arial"/>
          <w:sz w:val="22"/>
        </w:rPr>
      </w:pPr>
    </w:p>
    <w:p w:rsidRPr="00D10E78" w:rsidR="00D10E78" w:rsidP="00233CC7" w:rsidRDefault="00D10E78" w14:paraId="3B60C571" w14:textId="77777777">
      <w:pPr>
        <w:spacing w:line="480" w:lineRule="auto"/>
        <w:rPr>
          <w:rFonts w:ascii="Arial" w:hAnsi="Arial"/>
          <w:sz w:val="22"/>
        </w:rPr>
      </w:pPr>
    </w:p>
    <w:p w:rsidRPr="00D10E78" w:rsidR="00D10E78" w:rsidP="00233CC7" w:rsidRDefault="00D10E78" w14:paraId="6DC89E3A" w14:textId="77777777">
      <w:pPr>
        <w:spacing w:line="480" w:lineRule="auto"/>
        <w:rPr>
          <w:rFonts w:ascii="Arial" w:hAnsi="Arial"/>
          <w:sz w:val="22"/>
        </w:rPr>
      </w:pPr>
    </w:p>
    <w:p w:rsidR="00D10E78" w:rsidP="00233CC7" w:rsidRDefault="00D10E78" w14:paraId="5B4ECB6A" w14:textId="77777777">
      <w:pPr>
        <w:spacing w:line="480" w:lineRule="auto"/>
        <w:rPr>
          <w:rFonts w:ascii="Arial" w:hAnsi="Arial"/>
          <w:sz w:val="22"/>
        </w:rPr>
      </w:pPr>
    </w:p>
    <w:p w:rsidRPr="00D10E78" w:rsidR="00D10E78" w:rsidP="00233CC7" w:rsidRDefault="00D10E78" w14:paraId="1B113471" w14:textId="77777777">
      <w:pPr>
        <w:spacing w:line="480" w:lineRule="auto"/>
        <w:rPr>
          <w:rFonts w:ascii="Arial" w:hAnsi="Arial"/>
          <w:sz w:val="22"/>
        </w:rPr>
      </w:pPr>
    </w:p>
    <w:p w:rsidRPr="00D10E78" w:rsidR="00D10E78" w:rsidP="00233CC7" w:rsidRDefault="00D10E78" w14:paraId="0C0361ED" w14:textId="77777777">
      <w:pPr>
        <w:spacing w:line="480" w:lineRule="auto"/>
        <w:rPr>
          <w:rFonts w:ascii="Arial" w:hAnsi="Arial"/>
          <w:sz w:val="22"/>
        </w:rPr>
      </w:pPr>
    </w:p>
    <w:p w:rsidRPr="00D10E78" w:rsidR="00D10E78" w:rsidP="00233CC7" w:rsidRDefault="00D10E78" w14:paraId="13341CEB" w14:textId="77777777">
      <w:pPr>
        <w:spacing w:line="480" w:lineRule="auto"/>
        <w:rPr>
          <w:rFonts w:ascii="Arial" w:hAnsi="Arial"/>
          <w:sz w:val="22"/>
        </w:rPr>
      </w:pPr>
    </w:p>
    <w:sdt>
      <w:sdtPr>
        <w:rPr>
          <w:rFonts w:ascii="Arial" w:hAnsi="Arial" w:eastAsia="Times New Roman" w:cs="Times New Roman"/>
          <w:color w:val="auto"/>
          <w:sz w:val="22"/>
          <w:szCs w:val="20"/>
          <w:lang w:val="en-GB" w:eastAsia="en-GB"/>
        </w:rPr>
        <w:id w:val="1294716355"/>
        <w:docPartObj>
          <w:docPartGallery w:val="Table of Contents"/>
          <w:docPartUnique/>
        </w:docPartObj>
      </w:sdtPr>
      <w:sdtEndPr>
        <w:rPr>
          <w:rFonts w:ascii="Arial" w:hAnsi="Arial" w:eastAsia="Times New Roman" w:cs="Times New Roman"/>
          <w:b w:val="1"/>
          <w:bCs w:val="1"/>
          <w:noProof/>
          <w:color w:val="auto"/>
          <w:sz w:val="22"/>
          <w:szCs w:val="22"/>
          <w:lang w:val="en-GB" w:eastAsia="en-GB"/>
        </w:rPr>
      </w:sdtEndPr>
      <w:sdtContent>
        <w:p w:rsidRPr="00D10E78" w:rsidR="00D10E78" w:rsidRDefault="00D10E78" w14:paraId="08C76774" w14:textId="224AB1DC">
          <w:pPr>
            <w:pStyle w:val="TOCHeading"/>
            <w:rPr>
              <w:rFonts w:ascii="Arial" w:hAnsi="Arial"/>
              <w:sz w:val="22"/>
            </w:rPr>
          </w:pPr>
          <w:r w:rsidRPr="00D10E78">
            <w:rPr>
              <w:rFonts w:ascii="Arial" w:hAnsi="Arial"/>
              <w:sz w:val="22"/>
            </w:rPr>
            <w:t>Table of Contents</w:t>
          </w:r>
        </w:p>
        <w:p w:rsidRPr="00D10E78" w:rsidR="00D10E78" w:rsidRDefault="00D10E78" w14:paraId="1AE8660F" w14:textId="4A690041">
          <w:pPr>
            <w:pStyle w:val="TOC1"/>
            <w:tabs>
              <w:tab w:val="right" w:leader="dot" w:pos="9016"/>
            </w:tabs>
            <w:rPr>
              <w:rFonts w:ascii="Arial" w:hAnsi="Arial"/>
              <w:noProof/>
              <w:sz w:val="22"/>
            </w:rPr>
          </w:pPr>
          <w:r w:rsidRPr="00D10E78">
            <w:rPr>
              <w:rFonts w:ascii="Arial" w:hAnsi="Arial"/>
              <w:sz w:val="22"/>
            </w:rPr>
            <w:fldChar w:fldCharType="begin"/>
          </w:r>
          <w:r w:rsidRPr="00D10E78">
            <w:rPr>
              <w:rFonts w:ascii="Arial" w:hAnsi="Arial"/>
              <w:sz w:val="22"/>
            </w:rPr>
            <w:instrText xml:space="preserve"> TOC \o "1-3" \h \z \u </w:instrText>
          </w:r>
          <w:r w:rsidRPr="00D10E78">
            <w:rPr>
              <w:rFonts w:ascii="Arial" w:hAnsi="Arial"/>
              <w:sz w:val="22"/>
            </w:rPr>
            <w:fldChar w:fldCharType="separate"/>
          </w:r>
          <w:hyperlink w:history="1" w:anchor="_Toc235003844">
            <w:r w:rsidRPr="00D10E78">
              <w:rPr>
                <w:rStyle w:val="Hyperlink"/>
                <w:rFonts w:ascii="Arial" w:hAnsi="Arial" w:eastAsia="Calibri" w:cs="Calibri"/>
                <w:b/>
                <w:bCs/>
                <w:noProof/>
                <w:sz w:val="22"/>
              </w:rPr>
              <w:t>Table of Contents</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_Toc235003844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2</w:t>
            </w:r>
            <w:r w:rsidRPr="00D10E78">
              <w:rPr>
                <w:rFonts w:ascii="Arial" w:hAnsi="Arial"/>
                <w:noProof/>
                <w:webHidden/>
                <w:sz w:val="22"/>
              </w:rPr>
              <w:fldChar w:fldCharType="end"/>
            </w:r>
          </w:hyperlink>
        </w:p>
        <w:p w:rsidRPr="00D10E78" w:rsidR="00D10E78" w:rsidRDefault="00D10E78" w14:paraId="60A013E1" w14:textId="405BB5B9">
          <w:pPr>
            <w:pStyle w:val="TOC1"/>
            <w:tabs>
              <w:tab w:val="right" w:leader="dot" w:pos="9016"/>
            </w:tabs>
            <w:rPr>
              <w:rFonts w:ascii="Arial" w:hAnsi="Arial"/>
              <w:noProof/>
              <w:sz w:val="22"/>
            </w:rPr>
          </w:pPr>
          <w:hyperlink w:history="1" w:anchor="_Toc235003845">
            <w:r w:rsidRPr="00D10E78">
              <w:rPr>
                <w:rStyle w:val="Hyperlink"/>
                <w:rFonts w:ascii="Arial" w:hAnsi="Arial"/>
                <w:noProof/>
                <w:sz w:val="22"/>
              </w:rPr>
              <w:t>2. Introduction</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_Toc235003845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3</w:t>
            </w:r>
            <w:r w:rsidRPr="00D10E78">
              <w:rPr>
                <w:rFonts w:ascii="Arial" w:hAnsi="Arial"/>
                <w:noProof/>
                <w:webHidden/>
                <w:sz w:val="22"/>
              </w:rPr>
              <w:fldChar w:fldCharType="end"/>
            </w:r>
          </w:hyperlink>
        </w:p>
        <w:p w:rsidRPr="00D10E78" w:rsidR="00D10E78" w:rsidRDefault="00D10E78" w14:paraId="7827950C" w14:textId="471A9834">
          <w:pPr>
            <w:pStyle w:val="TOC1"/>
            <w:tabs>
              <w:tab w:val="right" w:leader="dot" w:pos="9016"/>
            </w:tabs>
            <w:rPr>
              <w:rFonts w:ascii="Arial" w:hAnsi="Arial"/>
              <w:noProof/>
              <w:sz w:val="22"/>
            </w:rPr>
          </w:pPr>
          <w:hyperlink w:history="1" w:anchor="_Toc235003846">
            <w:r w:rsidRPr="00D10E78">
              <w:rPr>
                <w:rStyle w:val="Hyperlink"/>
                <w:rFonts w:ascii="Arial" w:hAnsi="Arial"/>
                <w:noProof/>
                <w:sz w:val="22"/>
              </w:rPr>
              <w:t>Background: UK Policies, Legislation, Services and Organisations Addressing Childhood Obesity</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_Toc235003846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5</w:t>
            </w:r>
            <w:r w:rsidRPr="00D10E78">
              <w:rPr>
                <w:rFonts w:ascii="Arial" w:hAnsi="Arial"/>
                <w:noProof/>
                <w:webHidden/>
                <w:sz w:val="22"/>
              </w:rPr>
              <w:fldChar w:fldCharType="end"/>
            </w:r>
          </w:hyperlink>
        </w:p>
        <w:p w:rsidRPr="00D10E78" w:rsidR="00D10E78" w:rsidRDefault="00D10E78" w14:paraId="218DE64C" w14:textId="5F170F3E">
          <w:pPr>
            <w:pStyle w:val="TOC2"/>
            <w:tabs>
              <w:tab w:val="right" w:leader="dot" w:pos="9016"/>
            </w:tabs>
            <w:rPr>
              <w:rFonts w:ascii="Arial" w:hAnsi="Arial"/>
              <w:noProof/>
              <w:sz w:val="22"/>
            </w:rPr>
          </w:pPr>
          <w:hyperlink w:history="1" w:anchor="_Toc235003847">
            <w:r w:rsidRPr="00D10E78">
              <w:rPr>
                <w:rStyle w:val="Hyperlink"/>
                <w:rFonts w:ascii="Arial" w:hAnsi="Arial"/>
                <w:noProof/>
                <w:sz w:val="22"/>
              </w:rPr>
              <w:t>Fiscal and Regulatory Policy Interventions</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_Toc235003847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5</w:t>
            </w:r>
            <w:r w:rsidRPr="00D10E78">
              <w:rPr>
                <w:rFonts w:ascii="Arial" w:hAnsi="Arial"/>
                <w:noProof/>
                <w:webHidden/>
                <w:sz w:val="22"/>
              </w:rPr>
              <w:fldChar w:fldCharType="end"/>
            </w:r>
          </w:hyperlink>
        </w:p>
        <w:p w:rsidRPr="00D10E78" w:rsidR="00D10E78" w:rsidRDefault="00D10E78" w14:paraId="5BC8ABAD" w14:textId="1F717101">
          <w:pPr>
            <w:pStyle w:val="TOC2"/>
            <w:tabs>
              <w:tab w:val="right" w:leader="dot" w:pos="9016"/>
            </w:tabs>
            <w:rPr>
              <w:rFonts w:ascii="Arial" w:hAnsi="Arial"/>
              <w:noProof/>
              <w:sz w:val="22"/>
            </w:rPr>
          </w:pPr>
          <w:hyperlink w:history="1" w:anchor="_Toc235003848">
            <w:r w:rsidRPr="00D10E78">
              <w:rPr>
                <w:rStyle w:val="Hyperlink"/>
                <w:rFonts w:ascii="Arial" w:hAnsi="Arial"/>
                <w:noProof/>
                <w:sz w:val="22"/>
              </w:rPr>
              <w:t>Local services and fragmented provision</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_Toc235003848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6</w:t>
            </w:r>
            <w:r w:rsidRPr="00D10E78">
              <w:rPr>
                <w:rFonts w:ascii="Arial" w:hAnsi="Arial"/>
                <w:noProof/>
                <w:webHidden/>
                <w:sz w:val="22"/>
              </w:rPr>
              <w:fldChar w:fldCharType="end"/>
            </w:r>
          </w:hyperlink>
        </w:p>
        <w:p w:rsidRPr="00D10E78" w:rsidR="00D10E78" w:rsidRDefault="00D10E78" w14:paraId="3C6F0349" w14:textId="1BB11C8C">
          <w:pPr>
            <w:pStyle w:val="TOC2"/>
            <w:tabs>
              <w:tab w:val="right" w:leader="dot" w:pos="9016"/>
            </w:tabs>
            <w:rPr>
              <w:rFonts w:ascii="Arial" w:hAnsi="Arial"/>
              <w:noProof/>
              <w:sz w:val="22"/>
            </w:rPr>
          </w:pPr>
          <w:hyperlink w:history="1" w:anchor="_Toc235003849">
            <w:r w:rsidRPr="00D10E78">
              <w:rPr>
                <w:rStyle w:val="Hyperlink"/>
                <w:rFonts w:ascii="Arial" w:hAnsi="Arial"/>
                <w:noProof/>
                <w:sz w:val="22"/>
              </w:rPr>
              <w:t>The reshaping of Health and Care Services through legislation.</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_Toc235003849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6</w:t>
            </w:r>
            <w:r w:rsidRPr="00D10E78">
              <w:rPr>
                <w:rFonts w:ascii="Arial" w:hAnsi="Arial"/>
                <w:noProof/>
                <w:webHidden/>
                <w:sz w:val="22"/>
              </w:rPr>
              <w:fldChar w:fldCharType="end"/>
            </w:r>
          </w:hyperlink>
        </w:p>
        <w:p w:rsidRPr="00D10E78" w:rsidR="00D10E78" w:rsidRDefault="00D10E78" w14:paraId="09DDCF87" w14:textId="5E6E32AA">
          <w:pPr>
            <w:pStyle w:val="TOC2"/>
            <w:tabs>
              <w:tab w:val="right" w:leader="dot" w:pos="9016"/>
            </w:tabs>
            <w:rPr>
              <w:rFonts w:ascii="Arial" w:hAnsi="Arial"/>
              <w:noProof/>
              <w:sz w:val="22"/>
            </w:rPr>
          </w:pPr>
          <w:hyperlink w:history="1" w:anchor="_Toc235003850">
            <w:r w:rsidRPr="00D10E78">
              <w:rPr>
                <w:rStyle w:val="Hyperlink"/>
                <w:rFonts w:ascii="Arial" w:hAnsi="Arial"/>
                <w:noProof/>
                <w:sz w:val="22"/>
              </w:rPr>
              <w:t>Ethnicity Monitoring and Health Inequalities</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_Toc235003850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7</w:t>
            </w:r>
            <w:r w:rsidRPr="00D10E78">
              <w:rPr>
                <w:rFonts w:ascii="Arial" w:hAnsi="Arial"/>
                <w:noProof/>
                <w:webHidden/>
                <w:sz w:val="22"/>
              </w:rPr>
              <w:fldChar w:fldCharType="end"/>
            </w:r>
          </w:hyperlink>
        </w:p>
        <w:p w:rsidRPr="00D10E78" w:rsidR="00D10E78" w:rsidRDefault="00D10E78" w14:paraId="1D6F36E0" w14:textId="793B00F0">
          <w:pPr>
            <w:pStyle w:val="TOC2"/>
            <w:tabs>
              <w:tab w:val="right" w:leader="dot" w:pos="9016"/>
            </w:tabs>
            <w:rPr>
              <w:rFonts w:ascii="Arial" w:hAnsi="Arial"/>
              <w:noProof/>
              <w:sz w:val="22"/>
            </w:rPr>
          </w:pPr>
          <w:hyperlink w:history="1" w:anchor="_Toc235003851">
            <w:r w:rsidRPr="00D10E78">
              <w:rPr>
                <w:rStyle w:val="Hyperlink"/>
                <w:rFonts w:ascii="Arial" w:hAnsi="Arial"/>
                <w:noProof/>
                <w:sz w:val="22"/>
              </w:rPr>
              <w:t>Cross</w:t>
            </w:r>
            <w:r w:rsidRPr="00D10E78">
              <w:rPr>
                <w:rStyle w:val="Hyperlink"/>
                <w:rFonts w:ascii="Cambria Math" w:hAnsi="Cambria Math" w:cs="Cambria Math"/>
                <w:noProof/>
                <w:sz w:val="22"/>
              </w:rPr>
              <w:t>‑</w:t>
            </w:r>
            <w:r w:rsidRPr="00D10E78">
              <w:rPr>
                <w:rStyle w:val="Hyperlink"/>
                <w:rFonts w:ascii="Arial" w:hAnsi="Arial"/>
                <w:noProof/>
                <w:sz w:val="22"/>
              </w:rPr>
              <w:t>Sector Organisations and Voluntary Sector Contributions</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_Toc235003851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7</w:t>
            </w:r>
            <w:r w:rsidRPr="00D10E78">
              <w:rPr>
                <w:rFonts w:ascii="Arial" w:hAnsi="Arial"/>
                <w:noProof/>
                <w:webHidden/>
                <w:sz w:val="22"/>
              </w:rPr>
              <w:fldChar w:fldCharType="end"/>
            </w:r>
          </w:hyperlink>
        </w:p>
        <w:p w:rsidRPr="00D10E78" w:rsidR="00D10E78" w:rsidRDefault="00D10E78" w14:paraId="4E98F821" w14:textId="7B0B754D">
          <w:pPr>
            <w:pStyle w:val="TOC2"/>
            <w:tabs>
              <w:tab w:val="right" w:leader="dot" w:pos="9016"/>
            </w:tabs>
            <w:rPr>
              <w:rFonts w:ascii="Arial" w:hAnsi="Arial"/>
              <w:noProof/>
              <w:sz w:val="22"/>
            </w:rPr>
          </w:pPr>
          <w:hyperlink w:history="1" w:anchor="_Toc235003852">
            <w:r w:rsidRPr="00D10E78">
              <w:rPr>
                <w:rStyle w:val="Hyperlink"/>
                <w:rFonts w:ascii="Arial" w:hAnsi="Arial"/>
                <w:noProof/>
                <w:sz w:val="22"/>
              </w:rPr>
              <w:t>The context of childhood obesity.</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_Toc235003852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8</w:t>
            </w:r>
            <w:r w:rsidRPr="00D10E78">
              <w:rPr>
                <w:rFonts w:ascii="Arial" w:hAnsi="Arial"/>
                <w:noProof/>
                <w:webHidden/>
                <w:sz w:val="22"/>
              </w:rPr>
              <w:fldChar w:fldCharType="end"/>
            </w:r>
          </w:hyperlink>
        </w:p>
        <w:p w:rsidRPr="00D10E78" w:rsidR="00D10E78" w:rsidRDefault="00D10E78" w14:paraId="5D73F223" w14:textId="73527518">
          <w:pPr>
            <w:pStyle w:val="TOC2"/>
            <w:tabs>
              <w:tab w:val="right" w:leader="dot" w:pos="9016"/>
            </w:tabs>
            <w:rPr>
              <w:rFonts w:ascii="Arial" w:hAnsi="Arial"/>
              <w:noProof/>
              <w:sz w:val="22"/>
            </w:rPr>
          </w:pPr>
          <w:hyperlink w:history="1" w:anchor="_Toc235003853">
            <w:r w:rsidRPr="00D10E78">
              <w:rPr>
                <w:rStyle w:val="Hyperlink"/>
                <w:rFonts w:ascii="Arial" w:hAnsi="Arial"/>
                <w:noProof/>
                <w:sz w:val="22"/>
              </w:rPr>
              <w:t>4. Scoping Review Methodology</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_Toc235003853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9</w:t>
            </w:r>
            <w:r w:rsidRPr="00D10E78">
              <w:rPr>
                <w:rFonts w:ascii="Arial" w:hAnsi="Arial"/>
                <w:noProof/>
                <w:webHidden/>
                <w:sz w:val="22"/>
              </w:rPr>
              <w:fldChar w:fldCharType="end"/>
            </w:r>
          </w:hyperlink>
        </w:p>
        <w:p w:rsidRPr="00D10E78" w:rsidR="00D10E78" w:rsidRDefault="00D10E78" w14:paraId="441D14FC" w14:textId="1E1CED7E">
          <w:pPr>
            <w:pStyle w:val="TOC2"/>
            <w:tabs>
              <w:tab w:val="right" w:leader="dot" w:pos="9016"/>
            </w:tabs>
            <w:rPr>
              <w:rFonts w:ascii="Arial" w:hAnsi="Arial"/>
              <w:noProof/>
              <w:sz w:val="22"/>
            </w:rPr>
          </w:pPr>
          <w:hyperlink w:history="1" w:anchor="_Toc235003854">
            <w:r w:rsidRPr="00D10E78">
              <w:rPr>
                <w:rStyle w:val="Hyperlink"/>
                <w:rFonts w:ascii="Arial" w:hAnsi="Arial"/>
                <w:noProof/>
                <w:sz w:val="22"/>
              </w:rPr>
              <w:t>Search strategy (PRISMA-compatible)</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_Toc235003854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9</w:t>
            </w:r>
            <w:r w:rsidRPr="00D10E78">
              <w:rPr>
                <w:rFonts w:ascii="Arial" w:hAnsi="Arial"/>
                <w:noProof/>
                <w:webHidden/>
                <w:sz w:val="22"/>
              </w:rPr>
              <w:fldChar w:fldCharType="end"/>
            </w:r>
          </w:hyperlink>
        </w:p>
        <w:p w:rsidRPr="00D10E78" w:rsidR="00D10E78" w:rsidRDefault="00D10E78" w14:paraId="2ABAF372" w14:textId="77E6C439">
          <w:pPr>
            <w:pStyle w:val="TOC2"/>
            <w:tabs>
              <w:tab w:val="right" w:leader="dot" w:pos="9016"/>
            </w:tabs>
            <w:rPr>
              <w:rFonts w:ascii="Arial" w:hAnsi="Arial"/>
              <w:noProof/>
              <w:sz w:val="22"/>
            </w:rPr>
          </w:pPr>
          <w:hyperlink w:history="1" w:anchor="_Toc235003855">
            <w:r w:rsidRPr="00D10E78">
              <w:rPr>
                <w:rStyle w:val="Hyperlink"/>
                <w:rFonts w:ascii="Arial" w:hAnsi="Arial"/>
                <w:noProof/>
                <w:sz w:val="22"/>
              </w:rPr>
              <w:t>Ethical considerations</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_Toc235003855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9</w:t>
            </w:r>
            <w:r w:rsidRPr="00D10E78">
              <w:rPr>
                <w:rFonts w:ascii="Arial" w:hAnsi="Arial"/>
                <w:noProof/>
                <w:webHidden/>
                <w:sz w:val="22"/>
              </w:rPr>
              <w:fldChar w:fldCharType="end"/>
            </w:r>
          </w:hyperlink>
        </w:p>
        <w:p w:rsidRPr="00D10E78" w:rsidR="00D10E78" w:rsidRDefault="00D10E78" w14:paraId="611A2578" w14:textId="5FE4CA89">
          <w:pPr>
            <w:pStyle w:val="TOC1"/>
            <w:tabs>
              <w:tab w:val="right" w:leader="dot" w:pos="9016"/>
            </w:tabs>
            <w:rPr>
              <w:rFonts w:ascii="Arial" w:hAnsi="Arial"/>
              <w:noProof/>
              <w:sz w:val="22"/>
            </w:rPr>
          </w:pPr>
          <w:hyperlink w:history="1" w:anchor="_Toc235003856">
            <w:r w:rsidRPr="00D10E78">
              <w:rPr>
                <w:rStyle w:val="Hyperlink"/>
                <w:rFonts w:ascii="Arial" w:hAnsi="Arial" w:eastAsia="Calibri" w:cs="Calibri"/>
                <w:b/>
                <w:bCs/>
                <w:noProof/>
                <w:sz w:val="22"/>
              </w:rPr>
              <w:t>5. Results</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_Toc235003856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10</w:t>
            </w:r>
            <w:r w:rsidRPr="00D10E78">
              <w:rPr>
                <w:rFonts w:ascii="Arial" w:hAnsi="Arial"/>
                <w:noProof/>
                <w:webHidden/>
                <w:sz w:val="22"/>
              </w:rPr>
              <w:fldChar w:fldCharType="end"/>
            </w:r>
          </w:hyperlink>
        </w:p>
        <w:p w:rsidRPr="00D10E78" w:rsidR="00D10E78" w:rsidRDefault="00D10E78" w14:paraId="431C4A41" w14:textId="56B96EF6">
          <w:pPr>
            <w:pStyle w:val="TOC2"/>
            <w:tabs>
              <w:tab w:val="right" w:leader="dot" w:pos="9016"/>
            </w:tabs>
            <w:rPr>
              <w:rFonts w:ascii="Arial" w:hAnsi="Arial"/>
              <w:noProof/>
              <w:sz w:val="22"/>
            </w:rPr>
          </w:pPr>
          <w:hyperlink w:history="1" w:anchor="_Toc235003857">
            <w:r w:rsidRPr="00D10E78">
              <w:rPr>
                <w:rStyle w:val="Hyperlink"/>
                <w:rFonts w:ascii="Arial" w:hAnsi="Arial" w:eastAsia="Calibri" w:cs="Calibri"/>
                <w:b/>
                <w:bCs/>
                <w:noProof/>
                <w:sz w:val="22"/>
              </w:rPr>
              <w:t>PRISMA flow diagram</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_Toc235003857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10</w:t>
            </w:r>
            <w:r w:rsidRPr="00D10E78">
              <w:rPr>
                <w:rFonts w:ascii="Arial" w:hAnsi="Arial"/>
                <w:noProof/>
                <w:webHidden/>
                <w:sz w:val="22"/>
              </w:rPr>
              <w:fldChar w:fldCharType="end"/>
            </w:r>
          </w:hyperlink>
        </w:p>
        <w:p w:rsidRPr="00D10E78" w:rsidR="00D10E78" w:rsidRDefault="00D10E78" w14:paraId="2F597B67" w14:textId="6D88D702">
          <w:pPr>
            <w:pStyle w:val="TOC2"/>
            <w:tabs>
              <w:tab w:val="right" w:leader="dot" w:pos="9016"/>
            </w:tabs>
            <w:rPr>
              <w:rFonts w:ascii="Arial" w:hAnsi="Arial"/>
              <w:noProof/>
              <w:sz w:val="22"/>
            </w:rPr>
          </w:pPr>
          <w:hyperlink w:history="1" w:anchor="_Toc235003858">
            <w:r w:rsidRPr="00D10E78">
              <w:rPr>
                <w:rStyle w:val="Hyperlink"/>
                <w:rFonts w:ascii="Arial" w:hAnsi="Arial" w:eastAsia="Calibri" w:cs="Calibri"/>
                <w:b/>
                <w:bCs/>
                <w:noProof/>
                <w:sz w:val="22"/>
              </w:rPr>
              <w:t>Characteristics table of included studies</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_Toc235003858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11</w:t>
            </w:r>
            <w:r w:rsidRPr="00D10E78">
              <w:rPr>
                <w:rFonts w:ascii="Arial" w:hAnsi="Arial"/>
                <w:noProof/>
                <w:webHidden/>
                <w:sz w:val="22"/>
              </w:rPr>
              <w:fldChar w:fldCharType="end"/>
            </w:r>
          </w:hyperlink>
        </w:p>
        <w:p w:rsidRPr="00D10E78" w:rsidR="00D10E78" w:rsidRDefault="00D10E78" w14:paraId="16DFE574" w14:textId="57EEED6A">
          <w:pPr>
            <w:pStyle w:val="TOC2"/>
            <w:tabs>
              <w:tab w:val="right" w:leader="dot" w:pos="9016"/>
            </w:tabs>
            <w:rPr>
              <w:rFonts w:ascii="Arial" w:hAnsi="Arial"/>
              <w:noProof/>
              <w:sz w:val="22"/>
            </w:rPr>
          </w:pPr>
          <w:hyperlink w:history="1" w:anchor="_Toc235003859">
            <w:r w:rsidRPr="00D10E78">
              <w:rPr>
                <w:rStyle w:val="Hyperlink"/>
                <w:rFonts w:ascii="Arial" w:hAnsi="Arial" w:eastAsia="Calibri" w:cs="Calibri"/>
                <w:b/>
                <w:bCs/>
                <w:noProof/>
                <w:sz w:val="22"/>
              </w:rPr>
              <w:t>Thematic analysis</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_Toc235003859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12</w:t>
            </w:r>
            <w:r w:rsidRPr="00D10E78">
              <w:rPr>
                <w:rFonts w:ascii="Arial" w:hAnsi="Arial"/>
                <w:noProof/>
                <w:webHidden/>
                <w:sz w:val="22"/>
              </w:rPr>
              <w:fldChar w:fldCharType="end"/>
            </w:r>
          </w:hyperlink>
        </w:p>
        <w:p w:rsidRPr="00D10E78" w:rsidR="00D10E78" w:rsidRDefault="00D10E78" w14:paraId="26724E1C" w14:textId="7CE39367">
          <w:pPr>
            <w:pStyle w:val="TOC2"/>
            <w:tabs>
              <w:tab w:val="right" w:leader="dot" w:pos="9016"/>
            </w:tabs>
            <w:rPr>
              <w:rFonts w:ascii="Arial" w:hAnsi="Arial"/>
              <w:noProof/>
              <w:sz w:val="22"/>
            </w:rPr>
          </w:pPr>
          <w:hyperlink w:history="1" w:anchor="_Toc235003860">
            <w:r w:rsidRPr="00D10E78">
              <w:rPr>
                <w:rStyle w:val="Hyperlink"/>
                <w:rFonts w:ascii="Arial" w:hAnsi="Arial"/>
                <w:noProof/>
                <w:sz w:val="22"/>
              </w:rPr>
              <w:t>Theme One: A growing and enduring inequality gradient.</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_Toc235003860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12</w:t>
            </w:r>
            <w:r w:rsidRPr="00D10E78">
              <w:rPr>
                <w:rFonts w:ascii="Arial" w:hAnsi="Arial"/>
                <w:noProof/>
                <w:webHidden/>
                <w:sz w:val="22"/>
              </w:rPr>
              <w:fldChar w:fldCharType="end"/>
            </w:r>
          </w:hyperlink>
        </w:p>
        <w:p w:rsidRPr="00D10E78" w:rsidR="00D10E78" w:rsidRDefault="00D10E78" w14:paraId="0A2B6024" w14:textId="6C704033">
          <w:pPr>
            <w:pStyle w:val="TOC2"/>
            <w:tabs>
              <w:tab w:val="right" w:leader="dot" w:pos="9016"/>
            </w:tabs>
            <w:rPr>
              <w:rFonts w:ascii="Arial" w:hAnsi="Arial"/>
              <w:noProof/>
              <w:sz w:val="22"/>
            </w:rPr>
          </w:pPr>
          <w:hyperlink w:history="1" w:anchor="_Toc235003861">
            <w:r w:rsidRPr="00D10E78">
              <w:rPr>
                <w:rStyle w:val="Hyperlink"/>
                <w:rFonts w:ascii="Arial" w:hAnsi="Arial"/>
                <w:noProof/>
                <w:sz w:val="22"/>
              </w:rPr>
              <w:t>Theme Two: Compounding Ethnic and Geographic Disadvantage</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_Toc235003861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13</w:t>
            </w:r>
            <w:r w:rsidRPr="00D10E78">
              <w:rPr>
                <w:rFonts w:ascii="Arial" w:hAnsi="Arial"/>
                <w:noProof/>
                <w:webHidden/>
                <w:sz w:val="22"/>
              </w:rPr>
              <w:fldChar w:fldCharType="end"/>
            </w:r>
          </w:hyperlink>
        </w:p>
        <w:p w:rsidRPr="00D10E78" w:rsidR="00D10E78" w:rsidRDefault="00D10E78" w14:paraId="3D1401FF" w14:textId="416079ED">
          <w:pPr>
            <w:pStyle w:val="TOC2"/>
            <w:tabs>
              <w:tab w:val="right" w:leader="dot" w:pos="9016"/>
            </w:tabs>
            <w:rPr>
              <w:rFonts w:ascii="Arial" w:hAnsi="Arial"/>
              <w:noProof/>
              <w:sz w:val="22"/>
            </w:rPr>
          </w:pPr>
          <w:hyperlink w:history="1" w:anchor="_Toc235003862">
            <w:r w:rsidRPr="00D10E78">
              <w:rPr>
                <w:rStyle w:val="Hyperlink"/>
                <w:rFonts w:ascii="Arial" w:hAnsi="Arial"/>
                <w:noProof/>
                <w:sz w:val="22"/>
              </w:rPr>
              <w:t>Theme Three: Partial but Real Policy Effectiveness</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_Toc235003862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13</w:t>
            </w:r>
            <w:r w:rsidRPr="00D10E78">
              <w:rPr>
                <w:rFonts w:ascii="Arial" w:hAnsi="Arial"/>
                <w:noProof/>
                <w:webHidden/>
                <w:sz w:val="22"/>
              </w:rPr>
              <w:fldChar w:fldCharType="end"/>
            </w:r>
          </w:hyperlink>
        </w:p>
        <w:p w:rsidRPr="00D10E78" w:rsidR="00D10E78" w:rsidRDefault="00D10E78" w14:paraId="439D60F6" w14:textId="7CECC6A5">
          <w:pPr>
            <w:pStyle w:val="TOC1"/>
            <w:tabs>
              <w:tab w:val="right" w:leader="dot" w:pos="9016"/>
            </w:tabs>
            <w:rPr>
              <w:rFonts w:ascii="Arial" w:hAnsi="Arial"/>
              <w:noProof/>
              <w:sz w:val="22"/>
            </w:rPr>
          </w:pPr>
          <w:hyperlink w:history="1" w:anchor="_Toc235003863">
            <w:r w:rsidRPr="00D10E78">
              <w:rPr>
                <w:rStyle w:val="Hyperlink"/>
                <w:rFonts w:ascii="Arial" w:hAnsi="Arial"/>
                <w:noProof/>
                <w:sz w:val="22"/>
              </w:rPr>
              <w:t>6. Discussion</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_Toc235003863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14</w:t>
            </w:r>
            <w:r w:rsidRPr="00D10E78">
              <w:rPr>
                <w:rFonts w:ascii="Arial" w:hAnsi="Arial"/>
                <w:noProof/>
                <w:webHidden/>
                <w:sz w:val="22"/>
              </w:rPr>
              <w:fldChar w:fldCharType="end"/>
            </w:r>
          </w:hyperlink>
        </w:p>
        <w:p w:rsidRPr="00D10E78" w:rsidR="00D10E78" w:rsidRDefault="00D10E78" w14:paraId="079DA898" w14:textId="2C286B44">
          <w:pPr>
            <w:pStyle w:val="TOC1"/>
            <w:tabs>
              <w:tab w:val="right" w:leader="dot" w:pos="9016"/>
            </w:tabs>
            <w:rPr>
              <w:rFonts w:ascii="Arial" w:hAnsi="Arial"/>
              <w:noProof/>
              <w:sz w:val="22"/>
            </w:rPr>
          </w:pPr>
          <w:hyperlink w:history="1" w:anchor="_Toc235003864">
            <w:r w:rsidRPr="00D10E78">
              <w:rPr>
                <w:rStyle w:val="Hyperlink"/>
                <w:rFonts w:ascii="Arial" w:hAnsi="Arial"/>
                <w:noProof/>
                <w:sz w:val="22"/>
              </w:rPr>
              <w:t>7. Conclusion and Recommendations</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_Toc235003864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16</w:t>
            </w:r>
            <w:r w:rsidRPr="00D10E78">
              <w:rPr>
                <w:rFonts w:ascii="Arial" w:hAnsi="Arial"/>
                <w:noProof/>
                <w:webHidden/>
                <w:sz w:val="22"/>
              </w:rPr>
              <w:fldChar w:fldCharType="end"/>
            </w:r>
          </w:hyperlink>
        </w:p>
        <w:p w:rsidRPr="00D10E78" w:rsidR="00D10E78" w:rsidRDefault="00D10E78" w14:paraId="46597FEC" w14:textId="33DD0082">
          <w:pPr>
            <w:pStyle w:val="TOC1"/>
            <w:tabs>
              <w:tab w:val="right" w:leader="dot" w:pos="9016"/>
            </w:tabs>
            <w:rPr>
              <w:rFonts w:ascii="Arial" w:hAnsi="Arial"/>
              <w:noProof/>
              <w:sz w:val="22"/>
            </w:rPr>
          </w:pPr>
          <w:hyperlink w:history="1" w:anchor="_Toc235003865">
            <w:r w:rsidRPr="00D10E78">
              <w:rPr>
                <w:rStyle w:val="Hyperlink"/>
                <w:rFonts w:ascii="Arial" w:hAnsi="Arial" w:eastAsia="Calibri" w:cs="Calibri"/>
                <w:b/>
                <w:bCs/>
                <w:noProof/>
                <w:sz w:val="22"/>
              </w:rPr>
              <w:t>8. References</w:t>
            </w:r>
            <w:r w:rsidRPr="00D10E78">
              <w:rPr>
                <w:rFonts w:ascii="Arial" w:hAnsi="Arial"/>
                <w:noProof/>
                <w:webHidden/>
                <w:sz w:val="22"/>
              </w:rPr>
              <w:tab/>
            </w:r>
            <w:r w:rsidRPr="00D10E78">
              <w:rPr>
                <w:rFonts w:ascii="Arial" w:hAnsi="Arial"/>
                <w:noProof/>
                <w:webHidden/>
                <w:sz w:val="22"/>
              </w:rPr>
              <w:fldChar w:fldCharType="begin"/>
            </w:r>
            <w:r w:rsidRPr="00D10E78">
              <w:rPr>
                <w:rFonts w:ascii="Arial" w:hAnsi="Arial"/>
                <w:noProof/>
                <w:webHidden/>
                <w:sz w:val="22"/>
              </w:rPr>
              <w:instrText xml:space="preserve"> PAGEREF _Toc235003865 \h </w:instrText>
            </w:r>
            <w:r w:rsidRPr="00D10E78">
              <w:rPr>
                <w:rFonts w:ascii="Arial" w:hAnsi="Arial"/>
                <w:noProof/>
                <w:webHidden/>
                <w:sz w:val="22"/>
              </w:rPr>
            </w:r>
            <w:r w:rsidRPr="00D10E78">
              <w:rPr>
                <w:rFonts w:ascii="Arial" w:hAnsi="Arial"/>
                <w:noProof/>
                <w:webHidden/>
                <w:sz w:val="22"/>
              </w:rPr>
              <w:fldChar w:fldCharType="separate"/>
            </w:r>
            <w:r w:rsidRPr="00D10E78">
              <w:rPr>
                <w:rFonts w:ascii="Arial" w:hAnsi="Arial"/>
                <w:noProof/>
                <w:webHidden/>
                <w:sz w:val="22"/>
              </w:rPr>
              <w:t>18</w:t>
            </w:r>
            <w:r w:rsidRPr="00D10E78">
              <w:rPr>
                <w:rFonts w:ascii="Arial" w:hAnsi="Arial"/>
                <w:noProof/>
                <w:webHidden/>
                <w:sz w:val="22"/>
              </w:rPr>
              <w:fldChar w:fldCharType="end"/>
            </w:r>
          </w:hyperlink>
        </w:p>
        <w:p w:rsidRPr="00D10E78" w:rsidR="00D10E78" w:rsidRDefault="00D10E78" w14:paraId="64D895BF" w14:textId="40694A0D">
          <w:pPr>
            <w:rPr>
              <w:rFonts w:ascii="Arial" w:hAnsi="Arial"/>
              <w:sz w:val="22"/>
            </w:rPr>
          </w:pPr>
          <w:r w:rsidRPr="00D10E78">
            <w:rPr>
              <w:rFonts w:ascii="Arial" w:hAnsi="Arial"/>
              <w:b/>
              <w:bCs/>
              <w:noProof/>
              <w:sz w:val="22"/>
            </w:rPr>
            <w:fldChar w:fldCharType="end"/>
          </w:r>
        </w:p>
      </w:sdtContent>
    </w:sdt>
    <w:p w:rsidRPr="00D10E78" w:rsidR="00D10E78" w:rsidP="00233CC7" w:rsidRDefault="00D10E78" w14:paraId="1E74480E" w14:textId="77777777">
      <w:pPr>
        <w:spacing w:line="480" w:lineRule="auto"/>
        <w:rPr>
          <w:rFonts w:ascii="Arial" w:hAnsi="Arial"/>
          <w:sz w:val="22"/>
        </w:rPr>
      </w:pPr>
    </w:p>
    <w:p w:rsidRPr="00D10E78" w:rsidR="00D10E78" w:rsidP="00233CC7" w:rsidRDefault="00D10E78" w14:paraId="234DC00B" w14:textId="77777777">
      <w:pPr>
        <w:spacing w:line="480" w:lineRule="auto"/>
        <w:rPr>
          <w:rFonts w:ascii="Arial" w:hAnsi="Arial"/>
          <w:sz w:val="22"/>
        </w:rPr>
      </w:pPr>
    </w:p>
    <w:p w:rsidRPr="00D10E78" w:rsidR="00D10E78" w:rsidP="00233CC7" w:rsidRDefault="00D10E78" w14:paraId="709EB9E2" w14:textId="77777777">
      <w:pPr>
        <w:spacing w:line="480" w:lineRule="auto"/>
        <w:rPr>
          <w:rFonts w:ascii="Arial" w:hAnsi="Arial"/>
          <w:sz w:val="22"/>
        </w:rPr>
      </w:pPr>
    </w:p>
    <w:p w:rsidRPr="00D10E78" w:rsidR="00D10E78" w:rsidP="00233CC7" w:rsidRDefault="00D10E78" w14:paraId="0B98BB51" w14:textId="77777777">
      <w:pPr>
        <w:spacing w:line="480" w:lineRule="auto"/>
        <w:rPr>
          <w:rFonts w:ascii="Arial" w:hAnsi="Arial"/>
          <w:sz w:val="22"/>
        </w:rPr>
      </w:pPr>
    </w:p>
    <w:p w:rsidRPr="00D10E78" w:rsidR="00D10E78" w:rsidP="00233CC7" w:rsidRDefault="00D10E78" w14:paraId="2AFAFB31" w14:textId="77777777">
      <w:pPr>
        <w:spacing w:line="480" w:lineRule="auto"/>
        <w:rPr>
          <w:rFonts w:ascii="Arial" w:hAnsi="Arial"/>
          <w:sz w:val="22"/>
        </w:rPr>
      </w:pPr>
    </w:p>
    <w:p w:rsidRPr="00D10E78" w:rsidR="00D10E78" w:rsidP="00233CC7" w:rsidRDefault="00D10E78" w14:paraId="505D5AC3" w14:textId="77777777">
      <w:pPr>
        <w:spacing w:line="480" w:lineRule="auto"/>
        <w:rPr>
          <w:rFonts w:ascii="Arial" w:hAnsi="Arial"/>
          <w:sz w:val="22"/>
        </w:rPr>
      </w:pPr>
    </w:p>
    <w:p w:rsidRPr="00D10E78" w:rsidR="00D10E78" w:rsidP="00233CC7" w:rsidRDefault="00D10E78" w14:paraId="3A2B5AEB" w14:textId="77777777">
      <w:pPr>
        <w:spacing w:line="480" w:lineRule="auto"/>
        <w:rPr>
          <w:rFonts w:ascii="Arial" w:hAnsi="Arial"/>
          <w:sz w:val="22"/>
        </w:rPr>
      </w:pPr>
    </w:p>
    <w:p w:rsidRPr="00D10E78" w:rsidR="00D10E78" w:rsidP="00233CC7" w:rsidRDefault="00D10E78" w14:paraId="5487E5E4" w14:textId="77777777">
      <w:pPr>
        <w:spacing w:line="480" w:lineRule="auto"/>
        <w:rPr>
          <w:rFonts w:ascii="Arial" w:hAnsi="Arial"/>
          <w:sz w:val="22"/>
        </w:rPr>
      </w:pPr>
    </w:p>
    <w:p w:rsidRPr="00D10E78" w:rsidR="00D10E78" w:rsidP="00233CC7" w:rsidRDefault="00D10E78" w14:paraId="5A8193B0" w14:textId="77777777">
      <w:pPr>
        <w:spacing w:line="480" w:lineRule="auto"/>
        <w:rPr>
          <w:rFonts w:ascii="Arial" w:hAnsi="Arial"/>
          <w:sz w:val="22"/>
        </w:rPr>
      </w:pPr>
    </w:p>
    <w:p w:rsidRPr="00D10E78" w:rsidR="00D10E78" w:rsidP="00233CC7" w:rsidRDefault="00D10E78" w14:paraId="293B4932" w14:textId="77777777">
      <w:pPr>
        <w:spacing w:line="480" w:lineRule="auto"/>
        <w:rPr>
          <w:rFonts w:ascii="Arial" w:hAnsi="Arial"/>
          <w:sz w:val="22"/>
        </w:rPr>
      </w:pPr>
    </w:p>
    <w:p w:rsidRPr="00D10E78" w:rsidR="00D10E78" w:rsidP="00233CC7" w:rsidRDefault="00D10E78" w14:paraId="5110D4CE" w14:textId="77777777">
      <w:pPr>
        <w:spacing w:line="480" w:lineRule="auto"/>
        <w:rPr>
          <w:rFonts w:ascii="Arial" w:hAnsi="Arial"/>
          <w:sz w:val="22"/>
        </w:rPr>
      </w:pPr>
    </w:p>
    <w:p w:rsidRPr="00D10E78" w:rsidR="00D10E78" w:rsidP="00233CC7" w:rsidRDefault="00D10E78" w14:paraId="1F4BA962" w14:textId="77777777">
      <w:pPr>
        <w:spacing w:line="480" w:lineRule="auto"/>
        <w:rPr>
          <w:rFonts w:ascii="Arial" w:hAnsi="Arial"/>
          <w:sz w:val="22"/>
        </w:rPr>
      </w:pPr>
    </w:p>
    <w:p w:rsidRPr="00D10E78" w:rsidR="00EF1333" w:rsidP="00D10E78" w:rsidRDefault="00EF1333" w14:paraId="65C1AF86" w14:textId="77777777">
      <w:pPr>
        <w:pStyle w:val="Heading1"/>
        <w:rPr>
          <w:rFonts w:ascii="Arial" w:hAnsi="Arial"/>
          <w:sz w:val="22"/>
        </w:rPr>
      </w:pPr>
      <w:bookmarkStart w:name="_Toc235003845" w:id="0"/>
      <w:r w:rsidRPr="00D10E78">
        <w:rPr>
          <w:rFonts w:ascii="Arial" w:hAnsi="Arial"/>
          <w:sz w:val="22"/>
        </w:rPr>
        <w:t>2. Introduction</w:t>
      </w:r>
      <w:bookmarkEnd w:id="0"/>
    </w:p>
    <w:p w:rsidRPr="00D10E78" w:rsidR="00EF1333" w:rsidP="00233CC7" w:rsidRDefault="00EF1333" w14:paraId="52778E1B" w14:textId="77777777">
      <w:pPr>
        <w:spacing w:line="480" w:lineRule="auto"/>
        <w:rPr>
          <w:rFonts w:ascii="Arial" w:hAnsi="Arial"/>
          <w:sz w:val="22"/>
        </w:rPr>
      </w:pPr>
      <w:r w:rsidRPr="00D10E78">
        <w:rPr>
          <w:rFonts w:ascii="Arial" w:hAnsi="Arial"/>
          <w:sz w:val="22"/>
        </w:rPr>
        <w:t xml:space="preserve">For England, obesity is defined for surveillance purposes as being at or above the 95th centile for the UK1990 growth reference plotted by body mass index (BMI) against age and sex (NHS England Digital, 2024). Socioeconomic determinants are the structural and material conditions in which children grow up, such as their household income, parental education, deprivation and geographic location, which influence children's access to food, physical activity, and health-promoting environments. The Index of Multiple Deprivation (IMD) is the most common way of operationalising deprivation in England, ranking small geographic areas according to their deprivation level, and enabling researchers to relate the level of deprivation in their neighbourhood to the health of people in that area (Rahilly, Cortina-Borja and </w:t>
      </w:r>
      <w:proofErr w:type="spellStart"/>
      <w:r w:rsidRPr="00D10E78">
        <w:rPr>
          <w:rFonts w:ascii="Arial" w:hAnsi="Arial"/>
          <w:sz w:val="22"/>
        </w:rPr>
        <w:t>Mytton</w:t>
      </w:r>
      <w:proofErr w:type="spellEnd"/>
      <w:r w:rsidRPr="00D10E78">
        <w:rPr>
          <w:rFonts w:ascii="Arial" w:hAnsi="Arial"/>
          <w:sz w:val="22"/>
        </w:rPr>
        <w:t>, 2025). The scoping review method used in this report is a systematic method for mapping the scope of evidence on a topic rather than to answer a specific clinical question, and is appropriate for a complex issue like socioeconomic inequality in childhood obesity.</w:t>
      </w:r>
    </w:p>
    <w:p w:rsidRPr="00D10E78" w:rsidR="00EF1333" w:rsidP="00233CC7" w:rsidRDefault="00EF1333" w14:paraId="4F938743" w14:textId="7E15A58B">
      <w:pPr>
        <w:spacing w:line="480" w:lineRule="auto"/>
        <w:rPr>
          <w:rFonts w:ascii="Arial" w:hAnsi="Arial"/>
          <w:sz w:val="22"/>
        </w:rPr>
      </w:pPr>
      <w:r w:rsidRPr="00D10E78">
        <w:rPr>
          <w:rFonts w:ascii="Arial" w:hAnsi="Arial"/>
          <w:sz w:val="22"/>
        </w:rPr>
        <w:t xml:space="preserve">Obesity in children has continued to increase at </w:t>
      </w:r>
      <w:proofErr w:type="gramStart"/>
      <w:r w:rsidRPr="00D10E78">
        <w:rPr>
          <w:rFonts w:ascii="Arial" w:hAnsi="Arial"/>
          <w:sz w:val="22"/>
        </w:rPr>
        <w:t>a</w:t>
      </w:r>
      <w:proofErr w:type="gramEnd"/>
      <w:r w:rsidRPr="00D10E78">
        <w:rPr>
          <w:rFonts w:ascii="Arial" w:hAnsi="Arial"/>
          <w:sz w:val="22"/>
        </w:rPr>
        <w:t xml:space="preserve"> uneven rate throughout England and in the most recent figures from 2024/25 (NHS England Digital, 2024) obesity prevalence in the reception year has reached one of its highest levels in a decade outside of the pandemic. There is evidence that the deprivation gap in Year 6 obesity has increased over the past few years instead of narrowed (Rahilly, Cortina-Borja and </w:t>
      </w:r>
      <w:proofErr w:type="spellStart"/>
      <w:r w:rsidRPr="00D10E78">
        <w:rPr>
          <w:rFonts w:ascii="Arial" w:hAnsi="Arial"/>
          <w:sz w:val="22"/>
        </w:rPr>
        <w:t>Mytton</w:t>
      </w:r>
      <w:proofErr w:type="spellEnd"/>
      <w:r w:rsidRPr="00D10E78">
        <w:rPr>
          <w:rFonts w:ascii="Arial" w:hAnsi="Arial"/>
          <w:sz w:val="22"/>
        </w:rPr>
        <w:t xml:space="preserve">, 2025). This is further exacerbated by ethnic differences – children of Black and Mixed ethnic groups had significantly higher obesity rates than the national average (Royal College of Paediatrics and Child Health, 2026). Location and food environment factors are also at play, as income and supermarket proximity are related differently in urban and rural areas (Titis, Di Salvatore and Procter, 2023). </w:t>
      </w:r>
    </w:p>
    <w:p w:rsidRPr="00D10E78" w:rsidR="00D10E78" w:rsidP="00233CC7" w:rsidRDefault="00EF1333" w14:paraId="6585D200" w14:textId="77777777">
      <w:pPr>
        <w:spacing w:line="480" w:lineRule="auto"/>
        <w:rPr>
          <w:rFonts w:ascii="Arial" w:hAnsi="Arial"/>
          <w:sz w:val="22"/>
        </w:rPr>
      </w:pPr>
      <w:r w:rsidRPr="00D10E78">
        <w:rPr>
          <w:rFonts w:ascii="Arial" w:hAnsi="Arial"/>
          <w:sz w:val="22"/>
        </w:rPr>
        <w:t xml:space="preserve">The review question for this review is: What socioeconomic factors are associated with the prevalence of childhood obesity in England and what are the relationships between income, education, deprivation and prevalence of childhood obesity? </w:t>
      </w:r>
    </w:p>
    <w:p w:rsidRPr="00D10E78" w:rsidR="00EF1333" w:rsidP="00233CC7" w:rsidRDefault="00EF1333" w14:paraId="69B8ECEE" w14:textId="7799E226">
      <w:pPr>
        <w:spacing w:line="480" w:lineRule="auto"/>
        <w:rPr>
          <w:rFonts w:ascii="Arial" w:hAnsi="Arial"/>
          <w:b/>
          <w:bCs/>
          <w:sz w:val="22"/>
        </w:rPr>
      </w:pPr>
      <w:r w:rsidRPr="00D10E78">
        <w:rPr>
          <w:rFonts w:ascii="Arial" w:hAnsi="Arial"/>
          <w:b/>
          <w:bCs/>
          <w:sz w:val="22"/>
        </w:rPr>
        <w:t>The objectives of the review are set out below.</w:t>
      </w:r>
    </w:p>
    <w:p w:rsidRPr="00D10E78" w:rsidR="00EF1333" w:rsidP="00233CC7" w:rsidRDefault="00EF1333" w14:paraId="76664D42" w14:textId="77777777">
      <w:pPr>
        <w:spacing w:line="480" w:lineRule="auto"/>
        <w:rPr>
          <w:rFonts w:ascii="Arial" w:hAnsi="Arial"/>
          <w:sz w:val="22"/>
        </w:rPr>
      </w:pPr>
      <w:r w:rsidRPr="00D10E78">
        <w:rPr>
          <w:rFonts w:ascii="Arial" w:hAnsi="Arial"/>
          <w:sz w:val="22"/>
        </w:rPr>
        <w:t>●</w:t>
      </w:r>
      <w:r w:rsidRPr="00D10E78">
        <w:rPr>
          <w:rFonts w:ascii="Arial" w:hAnsi="Arial"/>
          <w:sz w:val="22"/>
        </w:rPr>
        <w:tab/>
      </w:r>
      <w:r w:rsidRPr="00D10E78">
        <w:rPr>
          <w:rFonts w:ascii="Arial" w:hAnsi="Arial"/>
          <w:sz w:val="22"/>
        </w:rPr>
        <w:t>To locate and critically assess literature that has been published by peers regarding the socio-economic factors associated to childhood obesity in England.</w:t>
      </w:r>
    </w:p>
    <w:p w:rsidRPr="00D10E78" w:rsidR="00EF1333" w:rsidP="00233CC7" w:rsidRDefault="00EF1333" w14:paraId="4DAEE545" w14:textId="77777777">
      <w:pPr>
        <w:spacing w:line="480" w:lineRule="auto"/>
        <w:rPr>
          <w:rFonts w:ascii="Arial" w:hAnsi="Arial"/>
          <w:sz w:val="22"/>
        </w:rPr>
      </w:pPr>
      <w:r w:rsidRPr="00D10E78">
        <w:rPr>
          <w:rFonts w:ascii="Arial" w:hAnsi="Arial"/>
          <w:sz w:val="22"/>
        </w:rPr>
        <w:t>●</w:t>
      </w:r>
      <w:r w:rsidRPr="00D10E78">
        <w:rPr>
          <w:rFonts w:ascii="Arial" w:hAnsi="Arial"/>
          <w:sz w:val="22"/>
        </w:rPr>
        <w:tab/>
      </w:r>
      <w:r w:rsidRPr="00D10E78">
        <w:rPr>
          <w:rFonts w:ascii="Arial" w:hAnsi="Arial"/>
          <w:sz w:val="22"/>
        </w:rPr>
        <w:t>To explore the associations between evidence of income and parental education and area-level deprivation with obesity prevalence.</w:t>
      </w:r>
    </w:p>
    <w:p w:rsidRPr="00D10E78" w:rsidR="00EF1333" w:rsidP="00233CC7" w:rsidRDefault="00EF1333" w14:paraId="499E717E" w14:textId="77777777">
      <w:pPr>
        <w:spacing w:line="480" w:lineRule="auto"/>
        <w:rPr>
          <w:rFonts w:ascii="Arial" w:hAnsi="Arial"/>
          <w:sz w:val="22"/>
        </w:rPr>
      </w:pPr>
      <w:r w:rsidRPr="00D10E78">
        <w:rPr>
          <w:rFonts w:ascii="Arial" w:hAnsi="Arial"/>
          <w:sz w:val="22"/>
        </w:rPr>
        <w:t>To examine the geographical variation (urban/ rural) in childhood obesity prevalence.</w:t>
      </w:r>
    </w:p>
    <w:p w:rsidRPr="00D10E78" w:rsidR="00EF1333" w:rsidP="00233CC7" w:rsidRDefault="00EF1333" w14:paraId="4A64CD47" w14:textId="182405D8">
      <w:pPr>
        <w:spacing w:line="480" w:lineRule="auto"/>
        <w:rPr>
          <w:rFonts w:ascii="Arial" w:hAnsi="Arial"/>
          <w:sz w:val="22"/>
        </w:rPr>
      </w:pPr>
      <w:r w:rsidRPr="00D10E78">
        <w:rPr>
          <w:rFonts w:ascii="Arial" w:hAnsi="Arial"/>
          <w:sz w:val="22"/>
        </w:rPr>
        <w:t>●</w:t>
      </w:r>
      <w:r w:rsidRPr="00D10E78">
        <w:rPr>
          <w:rFonts w:ascii="Arial" w:hAnsi="Arial"/>
          <w:sz w:val="22"/>
        </w:rPr>
        <w:tab/>
      </w:r>
      <w:r w:rsidRPr="00D10E78">
        <w:rPr>
          <w:rFonts w:ascii="Arial" w:hAnsi="Arial"/>
          <w:sz w:val="22"/>
        </w:rPr>
        <w:t>To look at where current research and policy are lacking and look forward to what is needed.</w:t>
      </w:r>
    </w:p>
    <w:p w:rsidRPr="00D10E78" w:rsidR="00EF1333" w:rsidP="00D10E78" w:rsidRDefault="00EF1333" w14:paraId="722B6012" w14:textId="77777777">
      <w:pPr>
        <w:pStyle w:val="Heading1"/>
        <w:rPr>
          <w:rFonts w:ascii="Arial" w:hAnsi="Arial"/>
          <w:sz w:val="22"/>
        </w:rPr>
      </w:pPr>
      <w:bookmarkStart w:name="_Toc235003846" w:id="1"/>
      <w:r w:rsidRPr="00D10E78">
        <w:rPr>
          <w:rFonts w:ascii="Arial" w:hAnsi="Arial"/>
          <w:sz w:val="22"/>
        </w:rPr>
        <w:t>Background: UK Policies, Legislation, Services and Organisations Addressing Childhood Obesity</w:t>
      </w:r>
      <w:bookmarkEnd w:id="1"/>
    </w:p>
    <w:p w:rsidRPr="00D10E78" w:rsidR="00EF1333" w:rsidP="00233CC7" w:rsidRDefault="00EF1333" w14:paraId="0511772C" w14:textId="1F7CC52D">
      <w:pPr>
        <w:spacing w:line="480" w:lineRule="auto"/>
        <w:rPr>
          <w:rFonts w:ascii="Arial" w:hAnsi="Arial"/>
          <w:sz w:val="22"/>
        </w:rPr>
      </w:pPr>
      <w:r w:rsidRPr="00D10E78">
        <w:rPr>
          <w:rFonts w:ascii="Arial" w:hAnsi="Arial"/>
          <w:sz w:val="22"/>
        </w:rPr>
        <w:t>Childhood obesity has been recognised as a significant public health issue, and has been systematically monitored in England since the mid</w:t>
      </w:r>
      <w:r w:rsidRPr="00D10E78">
        <w:rPr>
          <w:rFonts w:ascii="Cambria Math" w:hAnsi="Cambria Math" w:cs="Cambria Math"/>
          <w:sz w:val="22"/>
        </w:rPr>
        <w:t>‑</w:t>
      </w:r>
      <w:r w:rsidRPr="00D10E78">
        <w:rPr>
          <w:rFonts w:ascii="Arial" w:hAnsi="Arial"/>
          <w:sz w:val="22"/>
        </w:rPr>
        <w:t xml:space="preserve">2000s. The National Child Measurement Programme (NCMP) was introduced in 2005/06 and continues to be the main method of surveillance as children are measured in Reception (age 4 to 5) and Year 6 (age 10 to 11). The NCMP has provided comprehensive and comparable data over 18 years that has allowed policymakers and researchers to monitor prevalence and inequalities (NHS England Digital, 2024). The programme has played a key role in highlighting the deprivation gradient, where the proportion of overweight and obese children is higher in the most deprived fifth of all children than in the less deprived fifth of all children. </w:t>
      </w:r>
    </w:p>
    <w:p w:rsidRPr="00D10E78" w:rsidR="00EF1333" w:rsidP="00D10E78" w:rsidRDefault="00EF1333" w14:paraId="7683B228" w14:textId="77777777">
      <w:pPr>
        <w:pStyle w:val="Heading2"/>
        <w:rPr>
          <w:rFonts w:ascii="Arial" w:hAnsi="Arial"/>
          <w:sz w:val="22"/>
        </w:rPr>
      </w:pPr>
      <w:bookmarkStart w:name="_Toc235003847" w:id="2"/>
      <w:r w:rsidRPr="00D10E78">
        <w:rPr>
          <w:rFonts w:ascii="Arial" w:hAnsi="Arial"/>
          <w:sz w:val="22"/>
        </w:rPr>
        <w:t>Fiscal and Regulatory Policy Interventions</w:t>
      </w:r>
      <w:bookmarkEnd w:id="2"/>
    </w:p>
    <w:p w:rsidRPr="00D10E78" w:rsidR="00EF1333" w:rsidP="00233CC7" w:rsidRDefault="00EF1333" w14:paraId="3556A896" w14:textId="77777777">
      <w:pPr>
        <w:spacing w:line="480" w:lineRule="auto"/>
        <w:rPr>
          <w:rFonts w:ascii="Arial" w:hAnsi="Arial"/>
          <w:sz w:val="22"/>
        </w:rPr>
      </w:pPr>
      <w:r w:rsidRPr="00D10E78">
        <w:rPr>
          <w:rFonts w:ascii="Arial" w:hAnsi="Arial"/>
          <w:sz w:val="22"/>
        </w:rPr>
        <w:t>Fiscal interventions aimed at changing the food environment have been implemented by the government. One of the most significant examples is the Soft Drinks Industry Levy (SDIL) introduced in April 2018, which encouraged reform of products by cutting sugar content to prevent tax bands increasing (Rogers, 2023). There is evidence that the SDIL has contributed to substantial reductions in the sugar content of soft drinks on the UK market, with modelling studies suggesting that the SDIL could have an impact on reducing health inequalities among children over the medium term (</w:t>
      </w:r>
      <w:proofErr w:type="spellStart"/>
      <w:r w:rsidRPr="00D10E78">
        <w:rPr>
          <w:rFonts w:ascii="Arial" w:hAnsi="Arial"/>
          <w:sz w:val="22"/>
        </w:rPr>
        <w:t>Cobiac</w:t>
      </w:r>
      <w:proofErr w:type="spellEnd"/>
      <w:r w:rsidRPr="00D10E78">
        <w:rPr>
          <w:rFonts w:ascii="Arial" w:hAnsi="Arial"/>
          <w:sz w:val="22"/>
        </w:rPr>
        <w:t xml:space="preserve"> 2024). This levy marks a new approach from focussing on behaviour change to industry practices (Public Health England, 2021).</w:t>
      </w:r>
    </w:p>
    <w:p w:rsidRPr="00D10E78" w:rsidR="00EF1333" w:rsidP="00233CC7" w:rsidRDefault="00EF1333" w14:paraId="652BE092" w14:textId="77777777">
      <w:pPr>
        <w:spacing w:line="480" w:lineRule="auto"/>
        <w:rPr>
          <w:rFonts w:ascii="Arial" w:hAnsi="Arial"/>
          <w:sz w:val="22"/>
        </w:rPr>
      </w:pPr>
      <w:r w:rsidRPr="00D10E78">
        <w:rPr>
          <w:rFonts w:ascii="Arial" w:hAnsi="Arial"/>
          <w:sz w:val="22"/>
        </w:rPr>
        <w:t>Fiscal policy is supported by other policies, including the statutory School Food Standards which further enhance the nutritional quality of food offered in schools. Balanced meals and measures on the availability of high-fat, high-sugar products are required in all maintained schools, academies and free schools (Department for Education, 2022). These standards do not have a uniform level of compliance, but they will be a statutory way of introducing healthier diets into education. However, there are fears that implementation of the standards is inconsistent and that in deprived areas schools may lack resources that enable them to reach the standards fully (Local Government Association, 2024).</w:t>
      </w:r>
    </w:p>
    <w:p w:rsidRPr="00D10E78" w:rsidR="00EF1333" w:rsidP="00D10E78" w:rsidRDefault="00EF1333" w14:paraId="158255A6" w14:textId="77777777">
      <w:pPr>
        <w:pStyle w:val="Heading2"/>
        <w:rPr>
          <w:rFonts w:ascii="Arial" w:hAnsi="Arial"/>
          <w:sz w:val="22"/>
        </w:rPr>
      </w:pPr>
      <w:bookmarkStart w:name="_Toc235003848" w:id="3"/>
      <w:r w:rsidRPr="00D10E78">
        <w:rPr>
          <w:rFonts w:ascii="Arial" w:hAnsi="Arial"/>
          <w:sz w:val="22"/>
        </w:rPr>
        <w:t>Local services and fragmented provision</w:t>
      </w:r>
      <w:bookmarkEnd w:id="3"/>
    </w:p>
    <w:p w:rsidRPr="00D10E78" w:rsidR="00EF1333" w:rsidP="00233CC7" w:rsidRDefault="00EF1333" w14:paraId="441C8C9C" w14:textId="77777777">
      <w:pPr>
        <w:spacing w:line="480" w:lineRule="auto"/>
        <w:rPr>
          <w:rFonts w:ascii="Arial" w:hAnsi="Arial"/>
          <w:sz w:val="22"/>
        </w:rPr>
      </w:pPr>
      <w:r w:rsidRPr="00D10E78">
        <w:rPr>
          <w:rFonts w:ascii="Arial" w:hAnsi="Arial"/>
          <w:sz w:val="22"/>
        </w:rPr>
        <w:t>Weight Management services are part of a broader policy context on the local level. They can be commissioned by a local authority, and offer specific advice to children and families about their diet, physical activity and behaviour (NHS England, 2023). However, there is very much a lack of the cohesion around provision with marked differences in both provision and access to it across regions. This is linked to the wider issue of public health funding, where budgets for local authorities have been cut as part of austerity and this has affected the ability to provide in-depth obesity prevention and management programmes (Nuffield Trust, 2025).</w:t>
      </w:r>
    </w:p>
    <w:p w:rsidRPr="00D10E78" w:rsidR="00EF1333" w:rsidP="00233CC7" w:rsidRDefault="00EF1333" w14:paraId="164B0535" w14:textId="77777777">
      <w:pPr>
        <w:spacing w:line="480" w:lineRule="auto"/>
        <w:rPr>
          <w:rFonts w:ascii="Arial" w:hAnsi="Arial"/>
          <w:sz w:val="22"/>
        </w:rPr>
      </w:pPr>
    </w:p>
    <w:p w:rsidRPr="00D10E78" w:rsidR="00EF1333" w:rsidP="00D10E78" w:rsidRDefault="00EF1333" w14:paraId="57136F23" w14:textId="77777777">
      <w:pPr>
        <w:pStyle w:val="Heading2"/>
        <w:rPr>
          <w:rFonts w:ascii="Arial" w:hAnsi="Arial"/>
          <w:sz w:val="22"/>
        </w:rPr>
      </w:pPr>
      <w:bookmarkStart w:name="_Toc235003849" w:id="4"/>
      <w:r w:rsidRPr="00D10E78">
        <w:rPr>
          <w:rFonts w:ascii="Arial" w:hAnsi="Arial"/>
          <w:sz w:val="22"/>
        </w:rPr>
        <w:t>The reshaping of Health and Care Services through legislation.</w:t>
      </w:r>
      <w:bookmarkEnd w:id="4"/>
    </w:p>
    <w:p w:rsidRPr="00D10E78" w:rsidR="00EF1333" w:rsidP="00233CC7" w:rsidRDefault="00EF1333" w14:paraId="1F9B63FD" w14:textId="77777777">
      <w:pPr>
        <w:spacing w:line="480" w:lineRule="auto"/>
        <w:rPr>
          <w:rFonts w:ascii="Arial" w:hAnsi="Arial"/>
          <w:sz w:val="22"/>
        </w:rPr>
      </w:pPr>
      <w:r w:rsidRPr="00D10E78">
        <w:rPr>
          <w:rFonts w:ascii="Arial" w:hAnsi="Arial"/>
          <w:sz w:val="22"/>
        </w:rPr>
        <w:t>Recent legislation has changed the delivery of health and care services that impact on childhood obesity. The Health and Care Act 2022 created Integrated Care Systems (ICSs) in England, and introduced new statutory responsibilities for the NHS and local authorities to work together on population health and prevention (Health and Care Act, 2022). The ICS's aim is to encourage integration of health, social care and public health roles and create multi-sector partnerships in order to tackle complex problems like childhood obesity by working together. This legislation signals a shift in thinking towards obesity as a more systemic problem that needs more systemic cooperation among multiple levels of government (Ham, 2023).</w:t>
      </w:r>
    </w:p>
    <w:p w:rsidRPr="00D10E78" w:rsidR="00EF1333" w:rsidP="00233CC7" w:rsidRDefault="00EF1333" w14:paraId="686E0E68" w14:textId="77777777">
      <w:pPr>
        <w:spacing w:line="480" w:lineRule="auto"/>
        <w:rPr>
          <w:rFonts w:ascii="Arial" w:hAnsi="Arial"/>
          <w:sz w:val="22"/>
        </w:rPr>
      </w:pPr>
      <w:r w:rsidRPr="00D10E78">
        <w:rPr>
          <w:rFonts w:ascii="Arial" w:hAnsi="Arial"/>
          <w:sz w:val="22"/>
        </w:rPr>
        <w:t>In this context NHS England Digital remains responsible for generating national surveillance statistics, keeping an eye on trends over time via the NCMP (NHS England Digital, 2024). Professional groups like the Royal College of Paediatrics and Child Health (RCPCH) have an advocacy function, tracking progress in child health and taking up the case with policy makers to call for more effective policy action on obesity (Royal College of Paediatrics and Child Health, 2026). The RCPCH has long identified the need for sustained investment in child health services and has denounced a piecemeal approach which does not tackle structural determinants (Royal College of Paediatrics and Child Health, 2025).</w:t>
      </w:r>
    </w:p>
    <w:p w:rsidRPr="00D10E78" w:rsidR="00EF1333" w:rsidP="00D10E78" w:rsidRDefault="00EF1333" w14:paraId="61C8475B" w14:textId="77777777">
      <w:pPr>
        <w:pStyle w:val="Heading2"/>
        <w:rPr>
          <w:rFonts w:ascii="Arial" w:hAnsi="Arial"/>
          <w:sz w:val="22"/>
        </w:rPr>
      </w:pPr>
      <w:bookmarkStart w:name="_Toc235003850" w:id="5"/>
      <w:r w:rsidRPr="00D10E78">
        <w:rPr>
          <w:rFonts w:ascii="Arial" w:hAnsi="Arial"/>
          <w:sz w:val="22"/>
        </w:rPr>
        <w:t>Ethnicity Monitoring and Health Inequalities</w:t>
      </w:r>
      <w:bookmarkEnd w:id="5"/>
    </w:p>
    <w:p w:rsidRPr="00D10E78" w:rsidR="00EF1333" w:rsidP="00233CC7" w:rsidRDefault="00EF1333" w14:paraId="5B6669EA" w14:textId="77777777">
      <w:pPr>
        <w:spacing w:line="480" w:lineRule="auto"/>
        <w:rPr>
          <w:rFonts w:ascii="Arial" w:hAnsi="Arial"/>
          <w:sz w:val="22"/>
        </w:rPr>
      </w:pPr>
      <w:r w:rsidRPr="00D10E78">
        <w:rPr>
          <w:rFonts w:ascii="Arial" w:hAnsi="Arial"/>
          <w:sz w:val="22"/>
        </w:rPr>
        <w:t>Ethnicity monitoring has been a growing element of the policy context. Government statistics show that there are continuing inequalities in overweight and obesity across ethnic groups, with some groups having higher rates than others (GOV.UK Ethnicity Facts and Figures 2024). These inequalities overlap with socioeconomic disadvantage, and exacerbate inequalities in child health outcomes (Marmot, 2020). This is, according to health and social care commentators, evidence for the importance of investment in the healthcare sector as a whole and not just in public health (British Medical Association, 2023). For instance, it is argued that structural interventions which go beyond short-term approaches that target individual behaviours – such as poverty, housing, education and community infrastructure – are needed to tackle childhood obesity (Institute for Fiscal Studies, 2024).</w:t>
      </w:r>
    </w:p>
    <w:p w:rsidRPr="00D10E78" w:rsidR="00EF1333" w:rsidP="00D10E78" w:rsidRDefault="00EF1333" w14:paraId="4FB198D2" w14:textId="77777777">
      <w:pPr>
        <w:pStyle w:val="Heading2"/>
        <w:rPr>
          <w:rFonts w:ascii="Arial" w:hAnsi="Arial"/>
          <w:sz w:val="22"/>
        </w:rPr>
      </w:pPr>
      <w:bookmarkStart w:name="_Toc235003851" w:id="6"/>
      <w:r w:rsidRPr="00D10E78">
        <w:rPr>
          <w:rFonts w:ascii="Arial" w:hAnsi="Arial"/>
          <w:sz w:val="22"/>
        </w:rPr>
        <w:t>Cross</w:t>
      </w:r>
      <w:r w:rsidRPr="00D10E78">
        <w:rPr>
          <w:rFonts w:ascii="Cambria Math" w:hAnsi="Cambria Math" w:cs="Cambria Math"/>
          <w:sz w:val="22"/>
        </w:rPr>
        <w:t>‑</w:t>
      </w:r>
      <w:r w:rsidRPr="00D10E78">
        <w:rPr>
          <w:rFonts w:ascii="Arial" w:hAnsi="Arial"/>
          <w:sz w:val="22"/>
        </w:rPr>
        <w:t>Sector Organisations and Voluntary Sector Contributions</w:t>
      </w:r>
      <w:bookmarkEnd w:id="6"/>
    </w:p>
    <w:p w:rsidRPr="00D10E78" w:rsidR="00EF1333" w:rsidP="00233CC7" w:rsidRDefault="00EF1333" w14:paraId="6B408F26" w14:textId="77777777">
      <w:pPr>
        <w:spacing w:line="480" w:lineRule="auto"/>
        <w:rPr>
          <w:rFonts w:ascii="Arial" w:hAnsi="Arial"/>
          <w:sz w:val="22"/>
        </w:rPr>
      </w:pPr>
      <w:r w:rsidRPr="00D10E78">
        <w:rPr>
          <w:rFonts w:ascii="Arial" w:hAnsi="Arial"/>
          <w:sz w:val="22"/>
        </w:rPr>
        <w:t>In addition to statutory organisations, there are also voluntary and community sector organisations that are also a part of the obesity policy landscape. The Children's Food Campaign and the Obesity Health Alliance are two charities that are pushing for tougher regulation of food marketing, better school food and increased investment in prevention (Obesity Health Alliance, 2024). These bodies frequently serve as a watchdog mechanism that calls the government to account, identifies policy implementation gaps and advocates for further bold actions. Their role is a good example of the complex multi</w:t>
      </w:r>
      <w:r w:rsidRPr="00D10E78">
        <w:rPr>
          <w:rFonts w:ascii="Cambria Math" w:hAnsi="Cambria Math" w:cs="Cambria Math"/>
          <w:sz w:val="22"/>
        </w:rPr>
        <w:t>‑</w:t>
      </w:r>
      <w:r w:rsidRPr="00D10E78">
        <w:rPr>
          <w:rFonts w:ascii="Arial" w:hAnsi="Arial"/>
          <w:sz w:val="22"/>
        </w:rPr>
        <w:t>layered nature of the obesity policy environment, where statutory, professional and voluntary actors intersect (Royal Society for Public Health, 2023).</w:t>
      </w:r>
    </w:p>
    <w:p w:rsidRPr="00D10E78" w:rsidR="00EF1333" w:rsidP="00D10E78" w:rsidRDefault="00EF1333" w14:paraId="44FA8CC1" w14:textId="77777777">
      <w:pPr>
        <w:pStyle w:val="Heading2"/>
        <w:rPr>
          <w:rFonts w:ascii="Arial" w:hAnsi="Arial"/>
          <w:sz w:val="22"/>
        </w:rPr>
      </w:pPr>
      <w:bookmarkStart w:name="_Toc235003852" w:id="7"/>
      <w:r w:rsidRPr="00D10E78">
        <w:rPr>
          <w:rFonts w:ascii="Arial" w:hAnsi="Arial"/>
          <w:sz w:val="22"/>
        </w:rPr>
        <w:t>The context of childhood obesity.</w:t>
      </w:r>
      <w:bookmarkEnd w:id="7"/>
    </w:p>
    <w:p w:rsidRPr="00D10E78" w:rsidR="00EF1333" w:rsidP="00233CC7" w:rsidRDefault="00EF1333" w14:paraId="5AF6B043" w14:textId="77777777">
      <w:pPr>
        <w:spacing w:line="480" w:lineRule="auto"/>
        <w:rPr>
          <w:rFonts w:ascii="Arial" w:hAnsi="Arial"/>
          <w:sz w:val="22"/>
        </w:rPr>
      </w:pPr>
      <w:r w:rsidRPr="00D10E78">
        <w:rPr>
          <w:rFonts w:ascii="Arial" w:hAnsi="Arial"/>
          <w:sz w:val="22"/>
        </w:rPr>
        <w:t xml:space="preserve">All of this contextual evidence makes it clear that childhood obesity is a structurally produced issue in England. The NCMP surveillance data show that inequalities are continuing by deprivation and ethnicity (NHS England Digital, 2024). The SDIL and School Food Standards are examples of fiscal and regulatory policies designed to change </w:t>
      </w:r>
      <w:proofErr w:type="spellStart"/>
      <w:r w:rsidRPr="00D10E78">
        <w:rPr>
          <w:rFonts w:ascii="Arial" w:hAnsi="Arial"/>
          <w:sz w:val="22"/>
        </w:rPr>
        <w:t>SDDH.There</w:t>
      </w:r>
      <w:proofErr w:type="spellEnd"/>
      <w:r w:rsidRPr="00D10E78">
        <w:rPr>
          <w:rFonts w:ascii="Arial" w:hAnsi="Arial"/>
          <w:sz w:val="22"/>
        </w:rPr>
        <w:t xml:space="preserve"> are examples of fiscal and regulatory policy, including the SDIL and School Food Standards, which aim to change structural determinants of diet and health (</w:t>
      </w:r>
      <w:proofErr w:type="spellStart"/>
      <w:r w:rsidRPr="00D10E78">
        <w:rPr>
          <w:rFonts w:ascii="Arial" w:hAnsi="Arial"/>
          <w:sz w:val="22"/>
        </w:rPr>
        <w:t>Cobiac</w:t>
      </w:r>
      <w:proofErr w:type="spellEnd"/>
      <w:r w:rsidRPr="00D10E78">
        <w:rPr>
          <w:rFonts w:ascii="Arial" w:hAnsi="Arial"/>
          <w:sz w:val="22"/>
        </w:rPr>
        <w:t xml:space="preserve">, 2024). The Health and Care Act 2022 </w:t>
      </w:r>
      <w:proofErr w:type="gramStart"/>
      <w:r w:rsidRPr="00D10E78">
        <w:rPr>
          <w:rFonts w:ascii="Arial" w:hAnsi="Arial"/>
          <w:sz w:val="22"/>
        </w:rPr>
        <w:t>marks</w:t>
      </w:r>
      <w:proofErr w:type="gramEnd"/>
      <w:r w:rsidRPr="00D10E78">
        <w:rPr>
          <w:rFonts w:ascii="Arial" w:hAnsi="Arial"/>
          <w:sz w:val="22"/>
        </w:rPr>
        <w:t xml:space="preserve"> a positive step towards embedding prevention within systems of integrated care, with a clear shift towards systemic collaboration (Ham, 2023). However, existing models of service provision and ongoing inequalities illustrate the need to develop more effective models (Nuffield Trust, 2025).</w:t>
      </w:r>
    </w:p>
    <w:p w:rsidRPr="00D10E78" w:rsidR="00EF1333" w:rsidP="00233CC7" w:rsidRDefault="00EF1333" w14:paraId="44D4E69C" w14:textId="77777777">
      <w:pPr>
        <w:spacing w:line="480" w:lineRule="auto"/>
        <w:rPr>
          <w:rFonts w:ascii="Arial" w:hAnsi="Arial"/>
          <w:sz w:val="22"/>
        </w:rPr>
      </w:pPr>
    </w:p>
    <w:p w:rsidRPr="00D10E78" w:rsidR="00EF1333" w:rsidP="00233CC7" w:rsidRDefault="00EF1333" w14:paraId="75DAC3DF" w14:textId="369FDA92">
      <w:pPr>
        <w:spacing w:line="480" w:lineRule="auto"/>
        <w:rPr>
          <w:rFonts w:ascii="Arial" w:hAnsi="Arial"/>
          <w:sz w:val="22"/>
        </w:rPr>
      </w:pPr>
      <w:r w:rsidRPr="00D10E78">
        <w:rPr>
          <w:rFonts w:ascii="Arial" w:hAnsi="Arial"/>
          <w:sz w:val="22"/>
        </w:rPr>
        <w:t>Childhood obesity is a multi-sector issue, involving clinical, local government and voluntary organisations, and needs to be tackled in a coordinated way to target the social determinants of health. The challenge is not to try to convince people to make healthier choices one by one but to make it possible, affordable, and sustainable (Marmot, 2020). This structural framing highlights the importance of policies that include fiscal considerations, statutory requirements, legislation and multi-sectoral working to address the deep-seated inequalities contributing to childhood obesity in England.</w:t>
      </w:r>
    </w:p>
    <w:p w:rsidRPr="00D10E78" w:rsidR="00EF1333" w:rsidP="00D10E78" w:rsidRDefault="00EF1333" w14:paraId="3A732348" w14:textId="77777777">
      <w:pPr>
        <w:pStyle w:val="Heading2"/>
        <w:rPr>
          <w:rFonts w:ascii="Arial" w:hAnsi="Arial"/>
          <w:sz w:val="22"/>
        </w:rPr>
      </w:pPr>
      <w:bookmarkStart w:name="_Toc235003853" w:id="8"/>
      <w:r w:rsidRPr="00D10E78">
        <w:rPr>
          <w:rFonts w:ascii="Arial" w:hAnsi="Arial"/>
          <w:sz w:val="22"/>
        </w:rPr>
        <w:t>4. Scoping Review Methodology</w:t>
      </w:r>
      <w:bookmarkEnd w:id="8"/>
    </w:p>
    <w:p w:rsidRPr="00D10E78" w:rsidR="00EF1333" w:rsidP="00233CC7" w:rsidRDefault="00EF1333" w14:paraId="6E1D65B5" w14:textId="77777777">
      <w:pPr>
        <w:spacing w:line="480" w:lineRule="auto"/>
        <w:rPr>
          <w:rFonts w:ascii="Arial" w:hAnsi="Arial"/>
          <w:sz w:val="22"/>
        </w:rPr>
      </w:pPr>
      <w:r w:rsidRPr="00D10E78">
        <w:rPr>
          <w:rFonts w:ascii="Arial" w:hAnsi="Arial"/>
          <w:sz w:val="22"/>
        </w:rPr>
        <w:t>The approach in this review was to use a scoping review methodology, as this would enable a broad evidence base of a multifaceted determinant to be mapped, rather than a narrow, single outcome question. The reporting was organised according the PRISMA extension for scoping reviews, which outlines expectations for clear documentation of search and screening and selection.</w:t>
      </w:r>
    </w:p>
    <w:p w:rsidRPr="00D10E78" w:rsidR="00EF1333" w:rsidP="00D10E78" w:rsidRDefault="00EF1333" w14:paraId="78D3C7D0" w14:textId="77777777">
      <w:pPr>
        <w:pStyle w:val="Heading2"/>
        <w:rPr>
          <w:rFonts w:ascii="Arial" w:hAnsi="Arial"/>
          <w:sz w:val="22"/>
        </w:rPr>
      </w:pPr>
      <w:bookmarkStart w:name="_Toc235003854" w:id="9"/>
      <w:r w:rsidRPr="00D10E78">
        <w:rPr>
          <w:rFonts w:ascii="Arial" w:hAnsi="Arial"/>
          <w:sz w:val="22"/>
        </w:rPr>
        <w:t>Search strategy (PRISMA-compatible)</w:t>
      </w:r>
      <w:bookmarkEnd w:id="9"/>
    </w:p>
    <w:p w:rsidRPr="00D10E78" w:rsidR="00EF1333" w:rsidP="00233CC7" w:rsidRDefault="00EF1333" w14:paraId="6FA56887" w14:textId="77777777">
      <w:pPr>
        <w:spacing w:line="480" w:lineRule="auto"/>
        <w:rPr>
          <w:rFonts w:ascii="Arial" w:hAnsi="Arial"/>
          <w:sz w:val="22"/>
        </w:rPr>
      </w:pPr>
      <w:r w:rsidRPr="00D10E78">
        <w:rPr>
          <w:rFonts w:ascii="Arial" w:hAnsi="Arial"/>
          <w:sz w:val="22"/>
        </w:rPr>
        <w:t xml:space="preserve">The information was retrieved from three electronic databases: PubMed, CINAHL, and Web of Science and included peer-reviewed articles published in English from January 2021 to July 2026. Childhood obesity was used as the main term with variations of the term and the </w:t>
      </w:r>
      <w:r w:rsidRPr="00D10E78">
        <w:rPr>
          <w:rFonts w:ascii="Arial" w:hAnsi="Arial"/>
          <w:sz w:val="22"/>
        </w:rPr>
        <w:t xml:space="preserve">terms socio-economic, deprivation, income and education and England, joined by </w:t>
      </w:r>
      <w:proofErr w:type="spellStart"/>
      <w:r w:rsidRPr="00D10E78">
        <w:rPr>
          <w:rFonts w:ascii="Arial" w:hAnsi="Arial"/>
          <w:sz w:val="22"/>
        </w:rPr>
        <w:t>boolean</w:t>
      </w:r>
      <w:proofErr w:type="spellEnd"/>
      <w:r w:rsidRPr="00D10E78">
        <w:rPr>
          <w:rFonts w:ascii="Arial" w:hAnsi="Arial"/>
          <w:sz w:val="22"/>
        </w:rPr>
        <w:t xml:space="preserve"> operators. Studies had to take place in or be directly about England, and report new empirical research or systematic synthesis, and deal with one or more socioeconomic aspect of childhood obesity. Studies that were only conducted outside of the UK, those that only focused on clinical or biomedical management of obesity and those that were non-peer reviewed commentary were excluded. A total of 468 records was found, 66 were removed as duplicates and 402 records were screened for title and abstract. Of these, 358 were clearly irrelevant and 44 articles were assessed for the inclusion of full text. Of the remaining 48 studies, six were retained for thematic synthesis, as others lacked England-specific content or a socioeconomic dimension, or were not empirical studies or were published outside the designated decade. The PRISMA flow diagram is summarised in the Results section.</w:t>
      </w:r>
    </w:p>
    <w:p w:rsidRPr="00D10E78" w:rsidR="00EF1333" w:rsidP="00D10E78" w:rsidRDefault="00EF1333" w14:paraId="37A7E786" w14:textId="77777777">
      <w:pPr>
        <w:pStyle w:val="Heading2"/>
        <w:rPr>
          <w:rFonts w:ascii="Arial" w:hAnsi="Arial"/>
          <w:sz w:val="22"/>
        </w:rPr>
      </w:pPr>
      <w:bookmarkStart w:name="_Toc235003855" w:id="10"/>
      <w:r w:rsidRPr="00D10E78">
        <w:rPr>
          <w:rFonts w:ascii="Arial" w:hAnsi="Arial"/>
          <w:sz w:val="22"/>
        </w:rPr>
        <w:t>Ethical considerations</w:t>
      </w:r>
      <w:bookmarkEnd w:id="10"/>
    </w:p>
    <w:p w:rsidRPr="00D10E78" w:rsidR="00EF1333" w:rsidP="00233CC7" w:rsidRDefault="00EF1333" w14:paraId="5DC553B9" w14:textId="3F69C97C">
      <w:pPr>
        <w:spacing w:line="480" w:lineRule="auto"/>
        <w:rPr>
          <w:rFonts w:ascii="Arial" w:hAnsi="Arial"/>
          <w:sz w:val="22"/>
        </w:rPr>
      </w:pPr>
      <w:r w:rsidRPr="00D10E78">
        <w:rPr>
          <w:rFonts w:ascii="Arial" w:hAnsi="Arial"/>
          <w:sz w:val="22"/>
        </w:rPr>
        <w:t>The risks to children and other human participants that are inherent in primary research were eliminated, as this report is based on secondary data that has been previously published. The integrity of the processes and conclusions was ensured by careful reporting, and by documenting the search process and citing sources in a clear, transparent manner (Harvard referencing). The results of the research on deprived communities and ethnic minority groups have been reported without the use of stigma-laden language, as required by a duty of social responsibility relevant to health and social care research (Nuffield Trust, 2025).</w:t>
      </w:r>
    </w:p>
    <w:p w:rsidRPr="00D10E78" w:rsidR="00B7473A" w:rsidP="00233CC7" w:rsidRDefault="00000000" w14:paraId="6BCA6B60" w14:textId="77777777">
      <w:pPr>
        <w:pStyle w:val="Heading1"/>
        <w:spacing w:before="300" w:after="150" w:line="480" w:lineRule="auto"/>
        <w:rPr>
          <w:rFonts w:ascii="Arial" w:hAnsi="Arial"/>
          <w:sz w:val="22"/>
        </w:rPr>
      </w:pPr>
      <w:bookmarkStart w:name="_Toc235003856" w:id="11"/>
      <w:r w:rsidRPr="00D10E78">
        <w:rPr>
          <w:rFonts w:ascii="Arial" w:hAnsi="Arial" w:eastAsia="Calibri" w:cs="Calibri"/>
          <w:b/>
          <w:bCs/>
          <w:sz w:val="22"/>
          <w:szCs w:val="28"/>
        </w:rPr>
        <w:t>5. Results</w:t>
      </w:r>
      <w:bookmarkEnd w:id="11"/>
    </w:p>
    <w:p w:rsidRPr="00D10E78" w:rsidR="00B7473A" w:rsidP="00233CC7" w:rsidRDefault="00000000" w14:paraId="4F863EA1" w14:textId="77777777">
      <w:pPr>
        <w:pStyle w:val="Heading2"/>
        <w:spacing w:before="200" w:after="100" w:line="480" w:lineRule="auto"/>
        <w:rPr>
          <w:rFonts w:ascii="Arial" w:hAnsi="Arial"/>
          <w:sz w:val="22"/>
        </w:rPr>
      </w:pPr>
      <w:bookmarkStart w:name="_Toc235003857" w:id="12"/>
      <w:r w:rsidRPr="00D10E78">
        <w:rPr>
          <w:rFonts w:ascii="Arial" w:hAnsi="Arial" w:eastAsia="Calibri" w:cs="Calibri"/>
          <w:b/>
          <w:bCs/>
          <w:sz w:val="22"/>
        </w:rPr>
        <w:t>PRISMA flow diagram</w:t>
      </w:r>
      <w:bookmarkEnd w:id="12"/>
    </w:p>
    <w:p w:rsidRPr="00D10E78" w:rsidR="00B7473A" w:rsidP="00233CC7" w:rsidRDefault="00000000" w14:paraId="6C1D90F6" w14:textId="77777777">
      <w:pPr>
        <w:spacing w:after="200" w:line="480" w:lineRule="auto"/>
        <w:jc w:val="center"/>
        <w:rPr>
          <w:rFonts w:ascii="Arial" w:hAnsi="Arial"/>
          <w:sz w:val="22"/>
        </w:rPr>
      </w:pPr>
      <w:r w:rsidRPr="00D10E78">
        <w:rPr>
          <w:rFonts w:ascii="Arial" w:hAnsi="Arial"/>
          <w:noProof/>
          <w:sz w:val="22"/>
        </w:rPr>
        <w:drawing>
          <wp:inline distT="0" distB="0" distL="0" distR="0" wp14:anchorId="5201E312" wp14:editId="2D711044">
            <wp:extent cx="4095750" cy="5114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4095750" cy="5114925"/>
                    </a:xfrm>
                    <a:prstGeom prst="rect">
                      <a:avLst/>
                    </a:prstGeom>
                  </pic:spPr>
                </pic:pic>
              </a:graphicData>
            </a:graphic>
          </wp:inline>
        </w:drawing>
      </w:r>
    </w:p>
    <w:p w:rsidRPr="00D10E78" w:rsidR="00B7473A" w:rsidP="00233CC7" w:rsidRDefault="00000000" w14:paraId="454F0B7A" w14:textId="77777777">
      <w:pPr>
        <w:spacing w:after="200" w:line="480" w:lineRule="auto"/>
        <w:jc w:val="both"/>
        <w:rPr>
          <w:rFonts w:ascii="Arial" w:hAnsi="Arial"/>
          <w:sz w:val="22"/>
        </w:rPr>
      </w:pPr>
      <w:r w:rsidRPr="00D10E78">
        <w:rPr>
          <w:rFonts w:ascii="Arial" w:hAnsi="Arial" w:eastAsia="Calibri" w:cs="Calibri"/>
          <w:sz w:val="22"/>
          <w:szCs w:val="24"/>
        </w:rPr>
        <w:t>Figure 1. PRISMA flow diagram summarising the identification, screening, eligibility and inclusion of studies for this scoping review.</w:t>
      </w:r>
    </w:p>
    <w:p w:rsidRPr="00D10E78" w:rsidR="00B7473A" w:rsidP="00233CC7" w:rsidRDefault="00000000" w14:paraId="0478268F" w14:textId="77777777">
      <w:pPr>
        <w:pStyle w:val="Heading2"/>
        <w:spacing w:before="200" w:after="100" w:line="480" w:lineRule="auto"/>
        <w:rPr>
          <w:rFonts w:ascii="Arial" w:hAnsi="Arial"/>
          <w:sz w:val="22"/>
        </w:rPr>
      </w:pPr>
      <w:bookmarkStart w:name="_Toc235003858" w:id="13"/>
      <w:r w:rsidRPr="00D10E78">
        <w:rPr>
          <w:rFonts w:ascii="Arial" w:hAnsi="Arial" w:eastAsia="Calibri" w:cs="Calibri"/>
          <w:b/>
          <w:bCs/>
          <w:sz w:val="22"/>
        </w:rPr>
        <w:t>Characteristics table of included studies</w:t>
      </w:r>
      <w:bookmarkEnd w:id="13"/>
    </w:p>
    <w:tbl>
      <w:tblPr>
        <w:tblW w:w="10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600"/>
        <w:gridCol w:w="2000"/>
        <w:gridCol w:w="2400"/>
        <w:gridCol w:w="3500"/>
      </w:tblGrid>
      <w:tr w:rsidRPr="00D10E78" w:rsidR="00B7473A" w14:paraId="088D954E" w14:textId="77777777">
        <w:tc>
          <w:tcPr>
            <w:tcW w:w="2600" w:type="dxa"/>
            <w:shd w:val="clear" w:color="auto" w:fill="D9E2F3"/>
            <w:tcMar>
              <w:top w:w="100" w:type="dxa"/>
              <w:left w:w="100" w:type="dxa"/>
              <w:bottom w:w="100" w:type="dxa"/>
              <w:right w:w="100" w:type="dxa"/>
            </w:tcMar>
          </w:tcPr>
          <w:p w:rsidRPr="00D10E78" w:rsidR="00B7473A" w:rsidP="00233CC7" w:rsidRDefault="00000000" w14:paraId="106BEA42" w14:textId="77777777">
            <w:pPr>
              <w:spacing w:line="480" w:lineRule="auto"/>
              <w:rPr>
                <w:rFonts w:ascii="Arial" w:hAnsi="Arial"/>
                <w:sz w:val="22"/>
              </w:rPr>
            </w:pPr>
            <w:r w:rsidRPr="00D10E78">
              <w:rPr>
                <w:rFonts w:ascii="Arial" w:hAnsi="Arial" w:eastAsia="Calibri" w:cs="Calibri"/>
                <w:b/>
                <w:bCs/>
                <w:sz w:val="22"/>
              </w:rPr>
              <w:t>Author (Year)</w:t>
            </w:r>
          </w:p>
        </w:tc>
        <w:tc>
          <w:tcPr>
            <w:tcW w:w="2000" w:type="dxa"/>
            <w:shd w:val="clear" w:color="auto" w:fill="D9E2F3"/>
            <w:tcMar>
              <w:top w:w="100" w:type="dxa"/>
              <w:left w:w="100" w:type="dxa"/>
              <w:bottom w:w="100" w:type="dxa"/>
              <w:right w:w="100" w:type="dxa"/>
            </w:tcMar>
          </w:tcPr>
          <w:p w:rsidRPr="00D10E78" w:rsidR="00B7473A" w:rsidP="00233CC7" w:rsidRDefault="00000000" w14:paraId="1706A332" w14:textId="77777777">
            <w:pPr>
              <w:spacing w:line="480" w:lineRule="auto"/>
              <w:rPr>
                <w:rFonts w:ascii="Arial" w:hAnsi="Arial"/>
                <w:sz w:val="22"/>
              </w:rPr>
            </w:pPr>
            <w:r w:rsidRPr="00D10E78">
              <w:rPr>
                <w:rFonts w:ascii="Arial" w:hAnsi="Arial" w:eastAsia="Calibri" w:cs="Calibri"/>
                <w:b/>
                <w:bCs/>
                <w:sz w:val="22"/>
              </w:rPr>
              <w:t>Design</w:t>
            </w:r>
          </w:p>
        </w:tc>
        <w:tc>
          <w:tcPr>
            <w:tcW w:w="2400" w:type="dxa"/>
            <w:shd w:val="clear" w:color="auto" w:fill="D9E2F3"/>
            <w:tcMar>
              <w:top w:w="100" w:type="dxa"/>
              <w:left w:w="100" w:type="dxa"/>
              <w:bottom w:w="100" w:type="dxa"/>
              <w:right w:w="100" w:type="dxa"/>
            </w:tcMar>
          </w:tcPr>
          <w:p w:rsidRPr="00D10E78" w:rsidR="00B7473A" w:rsidP="00233CC7" w:rsidRDefault="00000000" w14:paraId="74AF77FF" w14:textId="77777777">
            <w:pPr>
              <w:spacing w:line="480" w:lineRule="auto"/>
              <w:rPr>
                <w:rFonts w:ascii="Arial" w:hAnsi="Arial"/>
                <w:sz w:val="22"/>
              </w:rPr>
            </w:pPr>
            <w:r w:rsidRPr="00D10E78">
              <w:rPr>
                <w:rFonts w:ascii="Arial" w:hAnsi="Arial" w:eastAsia="Calibri" w:cs="Calibri"/>
                <w:b/>
                <w:bCs/>
                <w:sz w:val="22"/>
              </w:rPr>
              <w:t>Population / Focus</w:t>
            </w:r>
          </w:p>
        </w:tc>
        <w:tc>
          <w:tcPr>
            <w:tcW w:w="3500" w:type="dxa"/>
            <w:shd w:val="clear" w:color="auto" w:fill="D9E2F3"/>
            <w:tcMar>
              <w:top w:w="100" w:type="dxa"/>
              <w:left w:w="100" w:type="dxa"/>
              <w:bottom w:w="100" w:type="dxa"/>
              <w:right w:w="100" w:type="dxa"/>
            </w:tcMar>
          </w:tcPr>
          <w:p w:rsidRPr="00D10E78" w:rsidR="00B7473A" w:rsidP="00233CC7" w:rsidRDefault="00000000" w14:paraId="0A9B72BE" w14:textId="77777777">
            <w:pPr>
              <w:spacing w:line="480" w:lineRule="auto"/>
              <w:rPr>
                <w:rFonts w:ascii="Arial" w:hAnsi="Arial"/>
                <w:sz w:val="22"/>
              </w:rPr>
            </w:pPr>
            <w:r w:rsidRPr="00D10E78">
              <w:rPr>
                <w:rFonts w:ascii="Arial" w:hAnsi="Arial" w:eastAsia="Calibri" w:cs="Calibri"/>
                <w:b/>
                <w:bCs/>
                <w:sz w:val="22"/>
              </w:rPr>
              <w:t>Key finding relevant to socioeconomic status</w:t>
            </w:r>
          </w:p>
        </w:tc>
      </w:tr>
      <w:tr w:rsidRPr="00D10E78" w:rsidR="00B7473A" w14:paraId="07921B15" w14:textId="77777777">
        <w:tc>
          <w:tcPr>
            <w:tcW w:w="2600" w:type="dxa"/>
            <w:tcMar>
              <w:top w:w="100" w:type="dxa"/>
              <w:left w:w="100" w:type="dxa"/>
              <w:bottom w:w="100" w:type="dxa"/>
              <w:right w:w="100" w:type="dxa"/>
            </w:tcMar>
          </w:tcPr>
          <w:p w:rsidRPr="00D10E78" w:rsidR="00B7473A" w:rsidP="00233CC7" w:rsidRDefault="00000000" w14:paraId="3AA5803E" w14:textId="77777777">
            <w:pPr>
              <w:spacing w:line="480" w:lineRule="auto"/>
              <w:rPr>
                <w:rFonts w:ascii="Arial" w:hAnsi="Arial"/>
                <w:sz w:val="22"/>
              </w:rPr>
            </w:pPr>
            <w:r w:rsidRPr="00D10E78">
              <w:rPr>
                <w:rFonts w:ascii="Arial" w:hAnsi="Arial" w:eastAsia="Calibri" w:cs="Calibri"/>
                <w:sz w:val="22"/>
              </w:rPr>
              <w:t>Titis, Di Salvatore and Procter (2023)</w:t>
            </w:r>
          </w:p>
        </w:tc>
        <w:tc>
          <w:tcPr>
            <w:tcW w:w="2000" w:type="dxa"/>
            <w:tcMar>
              <w:top w:w="100" w:type="dxa"/>
              <w:left w:w="100" w:type="dxa"/>
              <w:bottom w:w="100" w:type="dxa"/>
              <w:right w:w="100" w:type="dxa"/>
            </w:tcMar>
          </w:tcPr>
          <w:p w:rsidRPr="00D10E78" w:rsidR="00B7473A" w:rsidP="00233CC7" w:rsidRDefault="00000000" w14:paraId="7A35991F" w14:textId="77777777">
            <w:pPr>
              <w:spacing w:line="480" w:lineRule="auto"/>
              <w:rPr>
                <w:rFonts w:ascii="Arial" w:hAnsi="Arial"/>
                <w:sz w:val="22"/>
              </w:rPr>
            </w:pPr>
            <w:r w:rsidRPr="00D10E78">
              <w:rPr>
                <w:rFonts w:ascii="Arial" w:hAnsi="Arial" w:eastAsia="Calibri" w:cs="Calibri"/>
                <w:sz w:val="22"/>
              </w:rPr>
              <w:t>Cross-sectional analysis of national data</w:t>
            </w:r>
          </w:p>
        </w:tc>
        <w:tc>
          <w:tcPr>
            <w:tcW w:w="2400" w:type="dxa"/>
            <w:tcMar>
              <w:top w:w="100" w:type="dxa"/>
              <w:left w:w="100" w:type="dxa"/>
              <w:bottom w:w="100" w:type="dxa"/>
              <w:right w:w="100" w:type="dxa"/>
            </w:tcMar>
          </w:tcPr>
          <w:p w:rsidRPr="00D10E78" w:rsidR="00B7473A" w:rsidP="00233CC7" w:rsidRDefault="00000000" w14:paraId="754028DA" w14:textId="77777777">
            <w:pPr>
              <w:spacing w:line="480" w:lineRule="auto"/>
              <w:rPr>
                <w:rFonts w:ascii="Arial" w:hAnsi="Arial"/>
                <w:sz w:val="22"/>
              </w:rPr>
            </w:pPr>
            <w:r w:rsidRPr="00D10E78">
              <w:rPr>
                <w:rFonts w:ascii="Arial" w:hAnsi="Arial" w:eastAsia="Calibri" w:cs="Calibri"/>
                <w:sz w:val="22"/>
              </w:rPr>
              <w:t>England; urban and rural areas</w:t>
            </w:r>
          </w:p>
        </w:tc>
        <w:tc>
          <w:tcPr>
            <w:tcW w:w="3500" w:type="dxa"/>
            <w:tcMar>
              <w:top w:w="100" w:type="dxa"/>
              <w:left w:w="100" w:type="dxa"/>
              <w:bottom w:w="100" w:type="dxa"/>
              <w:right w:w="100" w:type="dxa"/>
            </w:tcMar>
          </w:tcPr>
          <w:p w:rsidRPr="00D10E78" w:rsidR="00B7473A" w:rsidP="00233CC7" w:rsidRDefault="00EF1333" w14:paraId="396C374B" w14:textId="4BA9A2F2">
            <w:pPr>
              <w:spacing w:line="480" w:lineRule="auto"/>
              <w:rPr>
                <w:rFonts w:ascii="Arial" w:hAnsi="Arial"/>
                <w:sz w:val="22"/>
              </w:rPr>
            </w:pPr>
            <w:r w:rsidRPr="00D10E78">
              <w:rPr>
                <w:rFonts w:ascii="Arial" w:hAnsi="Arial"/>
                <w:sz w:val="22"/>
              </w:rPr>
              <w:t>Distance to supermarkets was a relatively small factor compared to income in determining the obesity of children nationally.</w:t>
            </w:r>
          </w:p>
        </w:tc>
      </w:tr>
      <w:tr w:rsidRPr="00D10E78" w:rsidR="00B7473A" w14:paraId="75C23824" w14:textId="77777777">
        <w:tc>
          <w:tcPr>
            <w:tcW w:w="2600" w:type="dxa"/>
            <w:tcMar>
              <w:top w:w="100" w:type="dxa"/>
              <w:left w:w="100" w:type="dxa"/>
              <w:bottom w:w="100" w:type="dxa"/>
              <w:right w:w="100" w:type="dxa"/>
            </w:tcMar>
          </w:tcPr>
          <w:p w:rsidRPr="00D10E78" w:rsidR="00B7473A" w:rsidP="00233CC7" w:rsidRDefault="00000000" w14:paraId="0B259826" w14:textId="77777777">
            <w:pPr>
              <w:spacing w:line="480" w:lineRule="auto"/>
              <w:rPr>
                <w:rFonts w:ascii="Arial" w:hAnsi="Arial"/>
                <w:sz w:val="22"/>
              </w:rPr>
            </w:pPr>
            <w:r w:rsidRPr="00D10E78">
              <w:rPr>
                <w:rFonts w:ascii="Arial" w:hAnsi="Arial" w:eastAsia="Calibri" w:cs="Calibri"/>
                <w:sz w:val="22"/>
              </w:rPr>
              <w:t>Broadbent et al. (2024)</w:t>
            </w:r>
          </w:p>
        </w:tc>
        <w:tc>
          <w:tcPr>
            <w:tcW w:w="2000" w:type="dxa"/>
            <w:tcMar>
              <w:top w:w="100" w:type="dxa"/>
              <w:left w:w="100" w:type="dxa"/>
              <w:bottom w:w="100" w:type="dxa"/>
              <w:right w:w="100" w:type="dxa"/>
            </w:tcMar>
          </w:tcPr>
          <w:p w:rsidRPr="00D10E78" w:rsidR="00B7473A" w:rsidP="00233CC7" w:rsidRDefault="00000000" w14:paraId="3C4AA107" w14:textId="77777777">
            <w:pPr>
              <w:spacing w:line="480" w:lineRule="auto"/>
              <w:rPr>
                <w:rFonts w:ascii="Arial" w:hAnsi="Arial"/>
                <w:sz w:val="22"/>
              </w:rPr>
            </w:pPr>
            <w:r w:rsidRPr="00D10E78">
              <w:rPr>
                <w:rFonts w:ascii="Arial" w:hAnsi="Arial" w:eastAsia="Calibri" w:cs="Calibri"/>
                <w:sz w:val="22"/>
              </w:rPr>
              <w:t>Repeat cross-sectional analysis (Health Survey for England, 1995-2019)</w:t>
            </w:r>
          </w:p>
        </w:tc>
        <w:tc>
          <w:tcPr>
            <w:tcW w:w="2400" w:type="dxa"/>
            <w:tcMar>
              <w:top w:w="100" w:type="dxa"/>
              <w:left w:w="100" w:type="dxa"/>
              <w:bottom w:w="100" w:type="dxa"/>
              <w:right w:w="100" w:type="dxa"/>
            </w:tcMar>
          </w:tcPr>
          <w:p w:rsidRPr="00D10E78" w:rsidR="00B7473A" w:rsidP="00233CC7" w:rsidRDefault="00000000" w14:paraId="16105E5D" w14:textId="77777777">
            <w:pPr>
              <w:spacing w:line="480" w:lineRule="auto"/>
              <w:rPr>
                <w:rFonts w:ascii="Arial" w:hAnsi="Arial"/>
                <w:sz w:val="22"/>
              </w:rPr>
            </w:pPr>
            <w:r w:rsidRPr="00D10E78">
              <w:rPr>
                <w:rFonts w:ascii="Arial" w:hAnsi="Arial" w:eastAsia="Calibri" w:cs="Calibri"/>
                <w:sz w:val="22"/>
              </w:rPr>
              <w:t>England; socioeconomic and ethnic groups</w:t>
            </w:r>
          </w:p>
        </w:tc>
        <w:tc>
          <w:tcPr>
            <w:tcW w:w="3500" w:type="dxa"/>
            <w:tcMar>
              <w:top w:w="100" w:type="dxa"/>
              <w:left w:w="100" w:type="dxa"/>
              <w:bottom w:w="100" w:type="dxa"/>
              <w:right w:w="100" w:type="dxa"/>
            </w:tcMar>
          </w:tcPr>
          <w:p w:rsidRPr="00D10E78" w:rsidR="00B7473A" w:rsidP="00233CC7" w:rsidRDefault="00233CC7" w14:paraId="0D00E0F1" w14:textId="1B69C2D1">
            <w:pPr>
              <w:spacing w:line="480" w:lineRule="auto"/>
              <w:rPr>
                <w:rFonts w:ascii="Arial" w:hAnsi="Arial"/>
                <w:sz w:val="22"/>
              </w:rPr>
            </w:pPr>
            <w:r w:rsidRPr="00D10E78">
              <w:rPr>
                <w:rFonts w:ascii="Arial" w:hAnsi="Arial" w:eastAsia="Calibri" w:cs="Calibri"/>
                <w:sz w:val="22"/>
              </w:rPr>
              <w:t>Socioeconomic and ethnic disparities in childhood overweight and obesity remained, and grew larger for some groups over 20 years.</w:t>
            </w:r>
          </w:p>
        </w:tc>
      </w:tr>
      <w:tr w:rsidRPr="00D10E78" w:rsidR="00B7473A" w14:paraId="7925A0CC" w14:textId="77777777">
        <w:tc>
          <w:tcPr>
            <w:tcW w:w="2600" w:type="dxa"/>
            <w:tcMar>
              <w:top w:w="100" w:type="dxa"/>
              <w:left w:w="100" w:type="dxa"/>
              <w:bottom w:w="100" w:type="dxa"/>
              <w:right w:w="100" w:type="dxa"/>
            </w:tcMar>
          </w:tcPr>
          <w:p w:rsidRPr="00D10E78" w:rsidR="00B7473A" w:rsidP="00233CC7" w:rsidRDefault="00000000" w14:paraId="36F0BEEE" w14:textId="77777777">
            <w:pPr>
              <w:spacing w:line="480" w:lineRule="auto"/>
              <w:rPr>
                <w:rFonts w:ascii="Arial" w:hAnsi="Arial"/>
                <w:sz w:val="22"/>
              </w:rPr>
            </w:pPr>
            <w:r w:rsidRPr="00D10E78">
              <w:rPr>
                <w:rFonts w:ascii="Arial" w:hAnsi="Arial" w:eastAsia="Calibri" w:cs="Calibri"/>
                <w:sz w:val="22"/>
              </w:rPr>
              <w:t>Cronin et al. (2022)</w:t>
            </w:r>
          </w:p>
        </w:tc>
        <w:tc>
          <w:tcPr>
            <w:tcW w:w="2000" w:type="dxa"/>
            <w:tcMar>
              <w:top w:w="100" w:type="dxa"/>
              <w:left w:w="100" w:type="dxa"/>
              <w:bottom w:w="100" w:type="dxa"/>
              <w:right w:w="100" w:type="dxa"/>
            </w:tcMar>
          </w:tcPr>
          <w:p w:rsidRPr="00D10E78" w:rsidR="00B7473A" w:rsidP="00233CC7" w:rsidRDefault="00000000" w14:paraId="4CD9820F" w14:textId="77777777">
            <w:pPr>
              <w:spacing w:line="480" w:lineRule="auto"/>
              <w:rPr>
                <w:rFonts w:ascii="Arial" w:hAnsi="Arial"/>
                <w:sz w:val="22"/>
              </w:rPr>
            </w:pPr>
            <w:r w:rsidRPr="00D10E78">
              <w:rPr>
                <w:rFonts w:ascii="Arial" w:hAnsi="Arial" w:eastAsia="Calibri" w:cs="Calibri"/>
                <w:sz w:val="22"/>
              </w:rPr>
              <w:t>Systematic review</w:t>
            </w:r>
          </w:p>
        </w:tc>
        <w:tc>
          <w:tcPr>
            <w:tcW w:w="2400" w:type="dxa"/>
            <w:tcMar>
              <w:top w:w="100" w:type="dxa"/>
              <w:left w:w="100" w:type="dxa"/>
              <w:bottom w:w="100" w:type="dxa"/>
              <w:right w:w="100" w:type="dxa"/>
            </w:tcMar>
          </w:tcPr>
          <w:p w:rsidRPr="00D10E78" w:rsidR="00B7473A" w:rsidP="00233CC7" w:rsidRDefault="00000000" w14:paraId="4F5F4BDF" w14:textId="77777777">
            <w:pPr>
              <w:spacing w:line="480" w:lineRule="auto"/>
              <w:rPr>
                <w:rFonts w:ascii="Arial" w:hAnsi="Arial"/>
                <w:sz w:val="22"/>
              </w:rPr>
            </w:pPr>
            <w:r w:rsidRPr="00D10E78">
              <w:rPr>
                <w:rFonts w:ascii="Arial" w:hAnsi="Arial" w:eastAsia="Calibri" w:cs="Calibri"/>
                <w:sz w:val="22"/>
              </w:rPr>
              <w:t>Ireland and UK; youth, 2011-2021</w:t>
            </w:r>
          </w:p>
        </w:tc>
        <w:tc>
          <w:tcPr>
            <w:tcW w:w="3500" w:type="dxa"/>
            <w:tcMar>
              <w:top w:w="100" w:type="dxa"/>
              <w:left w:w="100" w:type="dxa"/>
              <w:bottom w:w="100" w:type="dxa"/>
              <w:right w:w="100" w:type="dxa"/>
            </w:tcMar>
          </w:tcPr>
          <w:p w:rsidRPr="00D10E78" w:rsidR="00B7473A" w:rsidP="00233CC7" w:rsidRDefault="00233CC7" w14:paraId="15EE7C5C" w14:textId="6536DFD5">
            <w:pPr>
              <w:spacing w:line="480" w:lineRule="auto"/>
              <w:rPr>
                <w:rFonts w:ascii="Arial" w:hAnsi="Arial"/>
                <w:sz w:val="22"/>
              </w:rPr>
            </w:pPr>
            <w:r w:rsidRPr="00D10E78">
              <w:rPr>
                <w:rFonts w:ascii="Arial" w:hAnsi="Arial"/>
                <w:sz w:val="22"/>
              </w:rPr>
              <w:t>Key mediators between socioeconomic position and childhood adiposity identified were diet, physical activity and family structure.</w:t>
            </w:r>
          </w:p>
        </w:tc>
      </w:tr>
      <w:tr w:rsidRPr="00D10E78" w:rsidR="00B7473A" w14:paraId="42B2494B" w14:textId="77777777">
        <w:tc>
          <w:tcPr>
            <w:tcW w:w="2600" w:type="dxa"/>
            <w:tcMar>
              <w:top w:w="100" w:type="dxa"/>
              <w:left w:w="100" w:type="dxa"/>
              <w:bottom w:w="100" w:type="dxa"/>
              <w:right w:w="100" w:type="dxa"/>
            </w:tcMar>
          </w:tcPr>
          <w:p w:rsidRPr="00D10E78" w:rsidR="00B7473A" w:rsidP="00233CC7" w:rsidRDefault="00000000" w14:paraId="3396A7F9" w14:textId="77777777">
            <w:pPr>
              <w:spacing w:line="480" w:lineRule="auto"/>
              <w:rPr>
                <w:rFonts w:ascii="Arial" w:hAnsi="Arial"/>
                <w:sz w:val="22"/>
              </w:rPr>
            </w:pPr>
            <w:r w:rsidRPr="00D10E78">
              <w:rPr>
                <w:rFonts w:ascii="Arial" w:hAnsi="Arial" w:eastAsia="Calibri" w:cs="Calibri"/>
                <w:sz w:val="22"/>
              </w:rPr>
              <w:t xml:space="preserve">Rahilly, Cortina-Borja and </w:t>
            </w:r>
            <w:proofErr w:type="spellStart"/>
            <w:r w:rsidRPr="00D10E78">
              <w:rPr>
                <w:rFonts w:ascii="Arial" w:hAnsi="Arial" w:eastAsia="Calibri" w:cs="Calibri"/>
                <w:sz w:val="22"/>
              </w:rPr>
              <w:t>Mytton</w:t>
            </w:r>
            <w:proofErr w:type="spellEnd"/>
            <w:r w:rsidRPr="00D10E78">
              <w:rPr>
                <w:rFonts w:ascii="Arial" w:hAnsi="Arial" w:eastAsia="Calibri" w:cs="Calibri"/>
                <w:sz w:val="22"/>
              </w:rPr>
              <w:t xml:space="preserve"> (2025)</w:t>
            </w:r>
          </w:p>
        </w:tc>
        <w:tc>
          <w:tcPr>
            <w:tcW w:w="2000" w:type="dxa"/>
            <w:tcMar>
              <w:top w:w="100" w:type="dxa"/>
              <w:left w:w="100" w:type="dxa"/>
              <w:bottom w:w="100" w:type="dxa"/>
              <w:right w:w="100" w:type="dxa"/>
            </w:tcMar>
          </w:tcPr>
          <w:p w:rsidRPr="00D10E78" w:rsidR="00B7473A" w:rsidP="00233CC7" w:rsidRDefault="00000000" w14:paraId="35B6CAA8" w14:textId="77777777">
            <w:pPr>
              <w:spacing w:line="480" w:lineRule="auto"/>
              <w:rPr>
                <w:rFonts w:ascii="Arial" w:hAnsi="Arial"/>
                <w:sz w:val="22"/>
              </w:rPr>
            </w:pPr>
            <w:r w:rsidRPr="00D10E78">
              <w:rPr>
                <w:rFonts w:ascii="Arial" w:hAnsi="Arial" w:eastAsia="Calibri" w:cs="Calibri"/>
                <w:sz w:val="22"/>
              </w:rPr>
              <w:t>Latent trajectory analysis, 150 local authorities</w:t>
            </w:r>
          </w:p>
        </w:tc>
        <w:tc>
          <w:tcPr>
            <w:tcW w:w="2400" w:type="dxa"/>
            <w:tcMar>
              <w:top w:w="100" w:type="dxa"/>
              <w:left w:w="100" w:type="dxa"/>
              <w:bottom w:w="100" w:type="dxa"/>
              <w:right w:w="100" w:type="dxa"/>
            </w:tcMar>
          </w:tcPr>
          <w:p w:rsidRPr="00D10E78" w:rsidR="00B7473A" w:rsidP="00233CC7" w:rsidRDefault="00000000" w14:paraId="408968A5" w14:textId="77777777">
            <w:pPr>
              <w:spacing w:line="480" w:lineRule="auto"/>
              <w:rPr>
                <w:rFonts w:ascii="Arial" w:hAnsi="Arial"/>
                <w:sz w:val="22"/>
              </w:rPr>
            </w:pPr>
            <w:r w:rsidRPr="00D10E78">
              <w:rPr>
                <w:rFonts w:ascii="Arial" w:hAnsi="Arial" w:eastAsia="Calibri" w:cs="Calibri"/>
                <w:sz w:val="22"/>
              </w:rPr>
              <w:t>England, 2007/08-2023/24</w:t>
            </w:r>
          </w:p>
        </w:tc>
        <w:tc>
          <w:tcPr>
            <w:tcW w:w="3500" w:type="dxa"/>
            <w:tcMar>
              <w:top w:w="100" w:type="dxa"/>
              <w:left w:w="100" w:type="dxa"/>
              <w:bottom w:w="100" w:type="dxa"/>
              <w:right w:w="100" w:type="dxa"/>
            </w:tcMar>
          </w:tcPr>
          <w:p w:rsidRPr="00D10E78" w:rsidR="00B7473A" w:rsidP="00233CC7" w:rsidRDefault="00233CC7" w14:paraId="72806512" w14:textId="20B9302C">
            <w:pPr>
              <w:spacing w:line="480" w:lineRule="auto"/>
              <w:rPr>
                <w:rFonts w:ascii="Arial" w:hAnsi="Arial"/>
                <w:sz w:val="22"/>
              </w:rPr>
            </w:pPr>
            <w:r w:rsidRPr="00D10E78">
              <w:rPr>
                <w:rFonts w:ascii="Arial" w:hAnsi="Arial"/>
                <w:sz w:val="22"/>
              </w:rPr>
              <w:t>The deprivation gap increased and divergence from national obesity trends was predicted with deprivation, and school ethnic composition.</w:t>
            </w:r>
          </w:p>
        </w:tc>
      </w:tr>
      <w:tr w:rsidRPr="00D10E78" w:rsidR="00B7473A" w14:paraId="5F28209D" w14:textId="77777777">
        <w:tc>
          <w:tcPr>
            <w:tcW w:w="2600" w:type="dxa"/>
            <w:tcMar>
              <w:top w:w="100" w:type="dxa"/>
              <w:left w:w="100" w:type="dxa"/>
              <w:bottom w:w="100" w:type="dxa"/>
              <w:right w:w="100" w:type="dxa"/>
            </w:tcMar>
          </w:tcPr>
          <w:p w:rsidRPr="00D10E78" w:rsidR="00B7473A" w:rsidP="00233CC7" w:rsidRDefault="00000000" w14:paraId="4CB28F7F" w14:textId="77777777">
            <w:pPr>
              <w:spacing w:line="480" w:lineRule="auto"/>
              <w:rPr>
                <w:rFonts w:ascii="Arial" w:hAnsi="Arial"/>
                <w:sz w:val="22"/>
              </w:rPr>
            </w:pPr>
            <w:r w:rsidRPr="00D10E78">
              <w:rPr>
                <w:rFonts w:ascii="Arial" w:hAnsi="Arial" w:eastAsia="Calibri" w:cs="Calibri"/>
                <w:sz w:val="22"/>
              </w:rPr>
              <w:t>Rogers et al. (2023)</w:t>
            </w:r>
          </w:p>
        </w:tc>
        <w:tc>
          <w:tcPr>
            <w:tcW w:w="2000" w:type="dxa"/>
            <w:tcMar>
              <w:top w:w="100" w:type="dxa"/>
              <w:left w:w="100" w:type="dxa"/>
              <w:bottom w:w="100" w:type="dxa"/>
              <w:right w:w="100" w:type="dxa"/>
            </w:tcMar>
          </w:tcPr>
          <w:p w:rsidRPr="00D10E78" w:rsidR="00B7473A" w:rsidP="00233CC7" w:rsidRDefault="00000000" w14:paraId="7937DF63" w14:textId="77777777">
            <w:pPr>
              <w:spacing w:line="480" w:lineRule="auto"/>
              <w:rPr>
                <w:rFonts w:ascii="Arial" w:hAnsi="Arial"/>
                <w:sz w:val="22"/>
              </w:rPr>
            </w:pPr>
            <w:r w:rsidRPr="00D10E78">
              <w:rPr>
                <w:rFonts w:ascii="Arial" w:hAnsi="Arial" w:eastAsia="Calibri" w:cs="Calibri"/>
                <w:sz w:val="22"/>
              </w:rPr>
              <w:t>Interrupted time series analysis</w:t>
            </w:r>
          </w:p>
        </w:tc>
        <w:tc>
          <w:tcPr>
            <w:tcW w:w="2400" w:type="dxa"/>
            <w:tcMar>
              <w:top w:w="100" w:type="dxa"/>
              <w:left w:w="100" w:type="dxa"/>
              <w:bottom w:w="100" w:type="dxa"/>
              <w:right w:w="100" w:type="dxa"/>
            </w:tcMar>
          </w:tcPr>
          <w:p w:rsidRPr="00D10E78" w:rsidR="00B7473A" w:rsidP="00233CC7" w:rsidRDefault="00000000" w14:paraId="6F81DA83" w14:textId="77777777">
            <w:pPr>
              <w:spacing w:line="480" w:lineRule="auto"/>
              <w:rPr>
                <w:rFonts w:ascii="Arial" w:hAnsi="Arial"/>
                <w:sz w:val="22"/>
              </w:rPr>
            </w:pPr>
            <w:r w:rsidRPr="00D10E78">
              <w:rPr>
                <w:rFonts w:ascii="Arial" w:hAnsi="Arial" w:eastAsia="Calibri" w:cs="Calibri"/>
                <w:sz w:val="22"/>
              </w:rPr>
              <w:t>English primary schools, pre- and post-levy</w:t>
            </w:r>
          </w:p>
        </w:tc>
        <w:tc>
          <w:tcPr>
            <w:tcW w:w="3500" w:type="dxa"/>
            <w:tcMar>
              <w:top w:w="100" w:type="dxa"/>
              <w:left w:w="100" w:type="dxa"/>
              <w:bottom w:w="100" w:type="dxa"/>
              <w:right w:w="100" w:type="dxa"/>
            </w:tcMar>
          </w:tcPr>
          <w:p w:rsidRPr="00D10E78" w:rsidR="00B7473A" w:rsidP="00233CC7" w:rsidRDefault="00233CC7" w14:paraId="63A8D60A" w14:textId="3B76E1FD">
            <w:pPr>
              <w:spacing w:line="480" w:lineRule="auto"/>
              <w:rPr>
                <w:rFonts w:ascii="Arial" w:hAnsi="Arial"/>
                <w:sz w:val="22"/>
              </w:rPr>
            </w:pPr>
            <w:r w:rsidRPr="00D10E78">
              <w:rPr>
                <w:rFonts w:ascii="Arial" w:hAnsi="Arial"/>
                <w:sz w:val="22"/>
              </w:rPr>
              <w:t xml:space="preserve">After implementation of the soft drinks industry levy, obesity prevalence rates decreased in schools located in more disadvantaged areas and for </w:t>
            </w:r>
            <w:proofErr w:type="spellStart"/>
            <w:proofErr w:type="gramStart"/>
            <w:r w:rsidRPr="00D10E78">
              <w:rPr>
                <w:rFonts w:ascii="Arial" w:hAnsi="Arial"/>
                <w:sz w:val="22"/>
              </w:rPr>
              <w:t>girls.Obesity</w:t>
            </w:r>
            <w:proofErr w:type="spellEnd"/>
            <w:proofErr w:type="gramEnd"/>
            <w:r w:rsidRPr="00D10E78">
              <w:rPr>
                <w:rFonts w:ascii="Arial" w:hAnsi="Arial"/>
                <w:sz w:val="22"/>
              </w:rPr>
              <w:t xml:space="preserve"> prevalence rates slowed for girls and in schools in more deprived areas of the country after the levy on the soft drinks industry was introduced.</w:t>
            </w:r>
          </w:p>
        </w:tc>
      </w:tr>
      <w:tr w:rsidRPr="00D10E78" w:rsidR="00B7473A" w14:paraId="14B06E9D" w14:textId="77777777">
        <w:tc>
          <w:tcPr>
            <w:tcW w:w="2600" w:type="dxa"/>
            <w:tcMar>
              <w:top w:w="100" w:type="dxa"/>
              <w:left w:w="100" w:type="dxa"/>
              <w:bottom w:w="100" w:type="dxa"/>
              <w:right w:w="100" w:type="dxa"/>
            </w:tcMar>
          </w:tcPr>
          <w:p w:rsidRPr="00D10E78" w:rsidR="00B7473A" w:rsidP="00233CC7" w:rsidRDefault="00000000" w14:paraId="2177FEDA" w14:textId="77777777">
            <w:pPr>
              <w:spacing w:line="480" w:lineRule="auto"/>
              <w:rPr>
                <w:rFonts w:ascii="Arial" w:hAnsi="Arial"/>
                <w:sz w:val="22"/>
              </w:rPr>
            </w:pPr>
            <w:proofErr w:type="spellStart"/>
            <w:r w:rsidRPr="00D10E78">
              <w:rPr>
                <w:rFonts w:ascii="Arial" w:hAnsi="Arial" w:eastAsia="Calibri" w:cs="Calibri"/>
                <w:sz w:val="22"/>
              </w:rPr>
              <w:t>Cobiac</w:t>
            </w:r>
            <w:proofErr w:type="spellEnd"/>
            <w:r w:rsidRPr="00D10E78">
              <w:rPr>
                <w:rFonts w:ascii="Arial" w:hAnsi="Arial" w:eastAsia="Calibri" w:cs="Calibri"/>
                <w:sz w:val="22"/>
              </w:rPr>
              <w:t xml:space="preserve"> et al. (2024)</w:t>
            </w:r>
          </w:p>
        </w:tc>
        <w:tc>
          <w:tcPr>
            <w:tcW w:w="2000" w:type="dxa"/>
            <w:tcMar>
              <w:top w:w="100" w:type="dxa"/>
              <w:left w:w="100" w:type="dxa"/>
              <w:bottom w:w="100" w:type="dxa"/>
              <w:right w:w="100" w:type="dxa"/>
            </w:tcMar>
          </w:tcPr>
          <w:p w:rsidRPr="00D10E78" w:rsidR="00B7473A" w:rsidP="00233CC7" w:rsidRDefault="00000000" w14:paraId="1378C68B" w14:textId="77777777">
            <w:pPr>
              <w:spacing w:line="480" w:lineRule="auto"/>
              <w:rPr>
                <w:rFonts w:ascii="Arial" w:hAnsi="Arial"/>
                <w:sz w:val="22"/>
              </w:rPr>
            </w:pPr>
            <w:r w:rsidRPr="00D10E78">
              <w:rPr>
                <w:rFonts w:ascii="Arial" w:hAnsi="Arial" w:eastAsia="Calibri" w:cs="Calibri"/>
                <w:sz w:val="22"/>
              </w:rPr>
              <w:t>Interrupted time series and population health modelling</w:t>
            </w:r>
          </w:p>
        </w:tc>
        <w:tc>
          <w:tcPr>
            <w:tcW w:w="2400" w:type="dxa"/>
            <w:tcMar>
              <w:top w:w="100" w:type="dxa"/>
              <w:left w:w="100" w:type="dxa"/>
              <w:bottom w:w="100" w:type="dxa"/>
              <w:right w:w="100" w:type="dxa"/>
            </w:tcMar>
          </w:tcPr>
          <w:p w:rsidRPr="00D10E78" w:rsidR="00B7473A" w:rsidP="00233CC7" w:rsidRDefault="00000000" w14:paraId="1B6571B4" w14:textId="77777777">
            <w:pPr>
              <w:spacing w:line="480" w:lineRule="auto"/>
              <w:rPr>
                <w:rFonts w:ascii="Arial" w:hAnsi="Arial"/>
                <w:sz w:val="22"/>
              </w:rPr>
            </w:pPr>
            <w:r w:rsidRPr="00D10E78">
              <w:rPr>
                <w:rFonts w:ascii="Arial" w:hAnsi="Arial" w:eastAsia="Calibri" w:cs="Calibri"/>
                <w:sz w:val="22"/>
              </w:rPr>
              <w:t>Children and adolescents in England, by deprivation quintile</w:t>
            </w:r>
          </w:p>
        </w:tc>
        <w:tc>
          <w:tcPr>
            <w:tcW w:w="3500" w:type="dxa"/>
            <w:tcMar>
              <w:top w:w="100" w:type="dxa"/>
              <w:left w:w="100" w:type="dxa"/>
              <w:bottom w:w="100" w:type="dxa"/>
              <w:right w:w="100" w:type="dxa"/>
            </w:tcMar>
          </w:tcPr>
          <w:p w:rsidRPr="00D10E78" w:rsidR="00B7473A" w:rsidP="00233CC7" w:rsidRDefault="00233CC7" w14:paraId="1DC7CA81" w14:textId="018A69A1">
            <w:pPr>
              <w:spacing w:line="480" w:lineRule="auto"/>
              <w:rPr>
                <w:rFonts w:ascii="Arial" w:hAnsi="Arial"/>
                <w:sz w:val="22"/>
              </w:rPr>
            </w:pPr>
            <w:r w:rsidRPr="00D10E78">
              <w:rPr>
                <w:rFonts w:ascii="Arial" w:hAnsi="Arial"/>
                <w:sz w:val="22"/>
              </w:rPr>
              <w:t>Over 10 years, it was anticipated that levy-related sugar reduction would help to reduce inequalities in obesity and dental caries.</w:t>
            </w:r>
          </w:p>
        </w:tc>
      </w:tr>
    </w:tbl>
    <w:p w:rsidRPr="00D10E78" w:rsidR="00B7473A" w:rsidP="00233CC7" w:rsidRDefault="00B7473A" w14:paraId="4F9035E8" w14:textId="77777777">
      <w:pPr>
        <w:spacing w:after="200" w:line="480" w:lineRule="auto"/>
        <w:rPr>
          <w:rFonts w:ascii="Arial" w:hAnsi="Arial"/>
          <w:sz w:val="22"/>
        </w:rPr>
      </w:pPr>
    </w:p>
    <w:p w:rsidRPr="00D10E78" w:rsidR="00B7473A" w:rsidP="00233CC7" w:rsidRDefault="00000000" w14:paraId="6A70D9F3" w14:textId="77777777">
      <w:pPr>
        <w:pStyle w:val="Heading2"/>
        <w:spacing w:before="200" w:after="100" w:line="480" w:lineRule="auto"/>
        <w:rPr>
          <w:rFonts w:ascii="Arial" w:hAnsi="Arial" w:eastAsia="Calibri" w:cs="Calibri"/>
          <w:b/>
          <w:bCs/>
          <w:sz w:val="22"/>
        </w:rPr>
      </w:pPr>
      <w:bookmarkStart w:name="_Toc235003859" w:id="14"/>
      <w:r w:rsidRPr="00D10E78">
        <w:rPr>
          <w:rFonts w:ascii="Arial" w:hAnsi="Arial" w:eastAsia="Calibri" w:cs="Calibri"/>
          <w:b/>
          <w:bCs/>
          <w:sz w:val="22"/>
        </w:rPr>
        <w:t>Thematic analysis</w:t>
      </w:r>
      <w:bookmarkEnd w:id="14"/>
    </w:p>
    <w:p w:rsidRPr="00D10E78" w:rsidR="00233CC7" w:rsidP="00D10E78" w:rsidRDefault="00233CC7" w14:paraId="7082B290" w14:textId="77777777">
      <w:pPr>
        <w:pStyle w:val="Heading2"/>
        <w:rPr>
          <w:rFonts w:ascii="Arial" w:hAnsi="Arial"/>
          <w:sz w:val="22"/>
        </w:rPr>
      </w:pPr>
      <w:bookmarkStart w:name="_Toc235003860" w:id="15"/>
      <w:r w:rsidRPr="00D10E78">
        <w:rPr>
          <w:rFonts w:ascii="Arial" w:hAnsi="Arial"/>
          <w:sz w:val="22"/>
        </w:rPr>
        <w:t>Theme One: A growing and enduring inequality gradient.</w:t>
      </w:r>
      <w:bookmarkEnd w:id="15"/>
    </w:p>
    <w:p w:rsidRPr="00D10E78" w:rsidR="00233CC7" w:rsidP="00233CC7" w:rsidRDefault="00233CC7" w14:paraId="61093359" w14:textId="77777777">
      <w:pPr>
        <w:spacing w:line="480" w:lineRule="auto"/>
        <w:rPr>
          <w:rFonts w:ascii="Arial" w:hAnsi="Arial"/>
          <w:sz w:val="22"/>
        </w:rPr>
      </w:pPr>
      <w:r w:rsidRPr="00D10E78">
        <w:rPr>
          <w:rFonts w:ascii="Arial" w:hAnsi="Arial"/>
          <w:sz w:val="22"/>
        </w:rPr>
        <w:t>The first theme focuses on the long-term and growing inequality in the prevalence of childhood obesity in England. Longitudinal surveillance evidence shows that the socioeconomic disadvantage has been rising between the most deprived local authorities and the least deprived local authorities since 2007/08, indicating that socioeconomic disadvantage remains a strong influence in shaping child health outcomes (Rahilly, Cortina</w:t>
      </w:r>
      <w:r w:rsidRPr="00D10E78">
        <w:rPr>
          <w:rFonts w:ascii="Cambria Math" w:hAnsi="Cambria Math" w:cs="Cambria Math"/>
          <w:sz w:val="22"/>
        </w:rPr>
        <w:t>‑</w:t>
      </w:r>
      <w:r w:rsidRPr="00D10E78">
        <w:rPr>
          <w:rFonts w:ascii="Arial" w:hAnsi="Arial"/>
          <w:sz w:val="22"/>
        </w:rPr>
        <w:t xml:space="preserve">Borja and </w:t>
      </w:r>
      <w:proofErr w:type="spellStart"/>
      <w:r w:rsidRPr="00D10E78">
        <w:rPr>
          <w:rFonts w:ascii="Arial" w:hAnsi="Arial"/>
          <w:sz w:val="22"/>
        </w:rPr>
        <w:t>Mytton</w:t>
      </w:r>
      <w:proofErr w:type="spellEnd"/>
      <w:r w:rsidRPr="00D10E78">
        <w:rPr>
          <w:rFonts w:ascii="Arial" w:hAnsi="Arial"/>
          <w:sz w:val="22"/>
        </w:rPr>
        <w:t>, 2025). Overweight/obesity disparities among children are further reinforced by survey analyses that indicate that inequalities in childhood overweight have not changed in 20 years, and that children living in lower income households are consistently more likely to be overweight or obese compared to those living in higher income households (Broadbent, 2024). This gradient remains largely unchanged over time, indicating that current interventions have failed to sufficiently address the structural causes of obesity, such as poverty, lack of access to safe places to be physically active, and food insecurity. But inequalities do not seem to be closing but deepening, with a need for more fundamental, system-wide strategies that tackle social determinants of health.</w:t>
      </w:r>
    </w:p>
    <w:p w:rsidRPr="00D10E78" w:rsidR="00233CC7" w:rsidP="00D10E78" w:rsidRDefault="00233CC7" w14:paraId="62C4348C" w14:textId="77777777">
      <w:pPr>
        <w:pStyle w:val="Heading2"/>
        <w:rPr>
          <w:rFonts w:ascii="Arial" w:hAnsi="Arial"/>
          <w:sz w:val="22"/>
        </w:rPr>
      </w:pPr>
      <w:bookmarkStart w:name="_Toc235003861" w:id="16"/>
      <w:r w:rsidRPr="00D10E78">
        <w:rPr>
          <w:rFonts w:ascii="Arial" w:hAnsi="Arial"/>
          <w:sz w:val="22"/>
        </w:rPr>
        <w:t>Theme Two: Compounding Ethnic and Geographic Disadvantage</w:t>
      </w:r>
      <w:bookmarkEnd w:id="16"/>
    </w:p>
    <w:p w:rsidRPr="00D10E78" w:rsidR="00233CC7" w:rsidP="00233CC7" w:rsidRDefault="00233CC7" w14:paraId="1C20B9C0" w14:textId="77777777">
      <w:pPr>
        <w:spacing w:line="480" w:lineRule="auto"/>
        <w:rPr>
          <w:rFonts w:ascii="Arial" w:hAnsi="Arial"/>
          <w:sz w:val="22"/>
        </w:rPr>
      </w:pPr>
      <w:r w:rsidRPr="00D10E78">
        <w:rPr>
          <w:rFonts w:ascii="Arial" w:hAnsi="Arial"/>
          <w:sz w:val="22"/>
        </w:rPr>
        <w:t xml:space="preserve">The second theme highlights the intricate relationship between ethnicity, geography and socioeconomic status and its impact on the outcomes of childhood obesity. There is evidence that the relationship between house price and supermarket access is more indirect in rural rather than urban areas and that the relationship between house price and supermarket access is more complex in rural areas than in urban areas (Titis, Di Salvatore and Procter, 2023). Families in rural areas may have less access to healthy and affordable </w:t>
      </w:r>
      <w:r w:rsidRPr="00D10E78">
        <w:rPr>
          <w:rFonts w:ascii="Arial" w:hAnsi="Arial"/>
          <w:sz w:val="22"/>
        </w:rPr>
        <w:t>foods, and families in urban areas may have to deal with increased exposure to fast food outlets and marketing. Ethnic inequities are further accentuated by these geographic differences and the evidence from systematic review points to multiple mediators—such as family structure, diet, and physical activity—that act as a conduit for disadvantage to shape inequitable obesity outcomes (Cronin, 2022). The relationship between ethnicity and geography can thus lead to multiple disadvantage as structural disadvantage factors compound risk. This theme highlights the need to make interventions relevant to local contexts and acknowledging that a "one size fits all" approach is not likely to respond to the various ways in which disadvantage is expressed.</w:t>
      </w:r>
    </w:p>
    <w:p w:rsidRPr="00D10E78" w:rsidR="00233CC7" w:rsidP="00D10E78" w:rsidRDefault="00233CC7" w14:paraId="684882E2" w14:textId="77777777">
      <w:pPr>
        <w:pStyle w:val="Heading2"/>
        <w:rPr>
          <w:rFonts w:ascii="Arial" w:hAnsi="Arial"/>
          <w:sz w:val="22"/>
        </w:rPr>
      </w:pPr>
      <w:bookmarkStart w:name="_Toc235003862" w:id="17"/>
      <w:r w:rsidRPr="00D10E78">
        <w:rPr>
          <w:rFonts w:ascii="Arial" w:hAnsi="Arial"/>
          <w:sz w:val="22"/>
        </w:rPr>
        <w:t>Theme Three: Partial but Real Policy Effectiveness</w:t>
      </w:r>
      <w:bookmarkEnd w:id="17"/>
    </w:p>
    <w:p w:rsidRPr="00D10E78" w:rsidR="00233CC7" w:rsidP="00233CC7" w:rsidRDefault="00233CC7" w14:paraId="4F469154" w14:textId="40D211EF">
      <w:pPr>
        <w:spacing w:line="480" w:lineRule="auto"/>
        <w:rPr>
          <w:rFonts w:ascii="Arial" w:hAnsi="Arial"/>
          <w:sz w:val="22"/>
        </w:rPr>
      </w:pPr>
      <w:r w:rsidRPr="00D10E78">
        <w:rPr>
          <w:rFonts w:ascii="Arial" w:hAnsi="Arial"/>
          <w:sz w:val="22"/>
        </w:rPr>
        <w:t>The third theme builds on the evidence that, despite being limited, structural policy interventions can achieve tangible effects on child obesity outcomes. Evaluation studies of the SDIL show that the policy led to a reduction in growth of obesity prevalence among primary school children in more deprived areas, highlighting that fiscal measures can help to reduce inequalities (Rogers, 2023). This could further reduce health inequalities between children in different deprivation quintiles over the next 10 years in complementary modelling work (</w:t>
      </w:r>
      <w:proofErr w:type="spellStart"/>
      <w:r w:rsidRPr="00D10E78">
        <w:rPr>
          <w:rFonts w:ascii="Arial" w:hAnsi="Arial"/>
          <w:sz w:val="22"/>
        </w:rPr>
        <w:t>Cobiac</w:t>
      </w:r>
      <w:proofErr w:type="spellEnd"/>
      <w:r w:rsidRPr="00D10E78">
        <w:rPr>
          <w:rFonts w:ascii="Arial" w:hAnsi="Arial"/>
          <w:sz w:val="22"/>
        </w:rPr>
        <w:t>, 2024). The levy does not consider all the determinants of obesity, but its effectiveness will demonstrate that carefully designed structural interventions can impact outcomes at the population level. In this theme, it is emphasised that policy has the capacity to make a difference even if it is a partial policy, affecting upstream determinants. Scaling up this intervention and integrating it into a comprehensive and coherent mix of fiscal, regulatory and community-based approaches is the challenge.</w:t>
      </w:r>
    </w:p>
    <w:p w:rsidRPr="00D10E78" w:rsidR="00233CC7" w:rsidP="00D10E78" w:rsidRDefault="00233CC7" w14:paraId="0CAABD57" w14:textId="77777777">
      <w:pPr>
        <w:pStyle w:val="Heading1"/>
        <w:rPr>
          <w:rFonts w:ascii="Arial" w:hAnsi="Arial"/>
          <w:sz w:val="22"/>
        </w:rPr>
      </w:pPr>
      <w:bookmarkStart w:name="_Toc235003863" w:id="18"/>
      <w:r w:rsidRPr="00D10E78">
        <w:rPr>
          <w:rFonts w:ascii="Arial" w:hAnsi="Arial"/>
          <w:sz w:val="22"/>
        </w:rPr>
        <w:t>6. Discussion</w:t>
      </w:r>
      <w:bookmarkEnd w:id="18"/>
    </w:p>
    <w:p w:rsidRPr="00D10E78" w:rsidR="00233CC7" w:rsidP="00233CC7" w:rsidRDefault="00233CC7" w14:paraId="0D2E590C" w14:textId="77777777">
      <w:pPr>
        <w:spacing w:line="480" w:lineRule="auto"/>
        <w:rPr>
          <w:rFonts w:ascii="Arial" w:hAnsi="Arial"/>
          <w:sz w:val="22"/>
        </w:rPr>
      </w:pPr>
      <w:r w:rsidRPr="00D10E78">
        <w:rPr>
          <w:rFonts w:ascii="Arial" w:hAnsi="Arial"/>
          <w:sz w:val="22"/>
        </w:rPr>
        <w:t>This scoping review identified deprivation as the strongest and most consistent predictor of childhood obesity in England, that this deprivation gradient has increased over the last few years and that ethnicity and local food environments are additional risk factors which lie along the deprivation gradient. One of the few policy measures shown to potentially affect the inequalities in consumption, rather than merely monitor them, was fiscal policy guiding product reformulation, such as the soft drinks industry levy.</w:t>
      </w:r>
    </w:p>
    <w:p w:rsidRPr="00D10E78" w:rsidR="00233CC7" w:rsidP="00233CC7" w:rsidRDefault="00233CC7" w14:paraId="461ADBCE" w14:textId="77777777">
      <w:pPr>
        <w:spacing w:line="480" w:lineRule="auto"/>
        <w:rPr>
          <w:rFonts w:ascii="Arial" w:hAnsi="Arial"/>
          <w:sz w:val="22"/>
        </w:rPr>
      </w:pPr>
      <w:r w:rsidRPr="00D10E78">
        <w:rPr>
          <w:rFonts w:ascii="Arial" w:hAnsi="Arial"/>
          <w:sz w:val="22"/>
        </w:rPr>
        <w:t xml:space="preserve">This question in the review was: What socioeconomic factors are associated with childhood obesity in England, and what relationship exists between income, education, deprivation and childhood obesity? The synthesised evidence suggests that deprivation, often measured using the Index of Multiple Deprivation, acts as an indicator of a bundle of deprivation, such as low household income, limited affordable healthy food, constrained parental education, among others (Rahilly, Cortina-Borja and </w:t>
      </w:r>
      <w:proofErr w:type="spellStart"/>
      <w:r w:rsidRPr="00D10E78">
        <w:rPr>
          <w:rFonts w:ascii="Arial" w:hAnsi="Arial"/>
          <w:sz w:val="22"/>
        </w:rPr>
        <w:t>Mytton</w:t>
      </w:r>
      <w:proofErr w:type="spellEnd"/>
      <w:r w:rsidRPr="00D10E78">
        <w:rPr>
          <w:rFonts w:ascii="Arial" w:hAnsi="Arial"/>
          <w:sz w:val="22"/>
        </w:rPr>
        <w:t>, 2025). This is backed by national surveillance data which show that obesity rates for Year 6 children in the most deprived decile exceed half those in the least deprived (NHS England Digital, 2024). There is not a simple relationship between increased income and the prevalence of obesity, as the relationship between distance to supermarkets and obesity risk is very different in urban and rural areas of England (Titis, Di Salvatore and Procter, 2023). A simplistic explanation by income alone does not completely understand the issue as there are significant ethnic disparities in obesity prevalence, with children from some ethnic minority groups having a prevalence rate far higher than the national average (Royal College of Paediatrics and Child Health, 2026). This is also reflected in the government ethnicity monitoring at a national level, which shows that there has been a consistent difference in overweight and obesity prevalence by ethnicity over the last few school years (GOV.UK Ethnicity Facts and Figures, 2024). The results of this set demonstrate that none of the socioeconomic factors is standalone and that the interaction of income, education, deprivation, ethnicity and geography creates compounded risk for certain children.</w:t>
      </w:r>
    </w:p>
    <w:p w:rsidRPr="00D10E78" w:rsidR="00233CC7" w:rsidP="00233CC7" w:rsidRDefault="00233CC7" w14:paraId="0F6F3B64" w14:textId="54AD3C23">
      <w:pPr>
        <w:spacing w:line="480" w:lineRule="auto"/>
        <w:rPr>
          <w:rFonts w:ascii="Arial" w:hAnsi="Arial"/>
          <w:sz w:val="22"/>
        </w:rPr>
      </w:pPr>
      <w:r w:rsidRPr="00D10E78">
        <w:rPr>
          <w:rFonts w:ascii="Arial" w:hAnsi="Arial"/>
          <w:sz w:val="22"/>
        </w:rPr>
        <w:t xml:space="preserve">The findings are directly relevant to people's practice of health and social care in England. </w:t>
      </w:r>
      <w:r w:rsidRPr="00D10E78" w:rsidR="00D10E78">
        <w:rPr>
          <w:rFonts w:ascii="Arial" w:hAnsi="Arial"/>
          <w:sz w:val="22"/>
        </w:rPr>
        <w:t xml:space="preserve">It is clear </w:t>
      </w:r>
      <w:r w:rsidRPr="00D10E78">
        <w:rPr>
          <w:rFonts w:ascii="Arial" w:hAnsi="Arial"/>
          <w:sz w:val="22"/>
        </w:rPr>
        <w:t xml:space="preserve">that health visitors, school nurses and public health teams working with the National Child Measurement Programme (NCMP) are in a strong position to identify children at high risk, but this review indicates that solely identifying children at high risk is not enough if there is not also investment in the structural factors that drive the prevalence (Rahilly, Cortina-Borja and </w:t>
      </w:r>
      <w:proofErr w:type="spellStart"/>
      <w:r w:rsidRPr="00D10E78">
        <w:rPr>
          <w:rFonts w:ascii="Arial" w:hAnsi="Arial"/>
          <w:sz w:val="22"/>
        </w:rPr>
        <w:t>Mytton</w:t>
      </w:r>
      <w:proofErr w:type="spellEnd"/>
      <w:r w:rsidRPr="00D10E78">
        <w:rPr>
          <w:rFonts w:ascii="Arial" w:hAnsi="Arial"/>
          <w:sz w:val="22"/>
        </w:rPr>
        <w:t xml:space="preserve">, 2025). Ethnicity and deprivation should be considered together, and not as a sequence of factors, by commissioners of weight management and family support services when directing resources to specific communities because both factors increase </w:t>
      </w:r>
      <w:r w:rsidRPr="00D10E78">
        <w:rPr>
          <w:rFonts w:ascii="Arial" w:hAnsi="Arial"/>
          <w:sz w:val="22"/>
        </w:rPr>
        <w:t>risk for specific communities (Royal College of Paediatrics and Child Health, 2026). Evidence of the measurable population health benefits of the soft drinks industry levy provides a template for evidence-based policy, which health and social care organisations can promote, beyond fiscal and environmental interventions to other product categories (</w:t>
      </w:r>
      <w:proofErr w:type="spellStart"/>
      <w:r w:rsidRPr="00D10E78">
        <w:rPr>
          <w:rFonts w:ascii="Arial" w:hAnsi="Arial"/>
          <w:sz w:val="22"/>
        </w:rPr>
        <w:t>Cobiac</w:t>
      </w:r>
      <w:proofErr w:type="spellEnd"/>
      <w:r w:rsidRPr="00D10E78">
        <w:rPr>
          <w:rFonts w:ascii="Arial" w:hAnsi="Arial"/>
          <w:sz w:val="22"/>
        </w:rPr>
        <w:t xml:space="preserve"> et al., 2024).</w:t>
      </w:r>
    </w:p>
    <w:p w:rsidRPr="00D10E78" w:rsidR="00233CC7" w:rsidP="00233CC7" w:rsidRDefault="00233CC7" w14:paraId="39461EBB" w14:textId="77777777">
      <w:pPr>
        <w:spacing w:line="480" w:lineRule="auto"/>
        <w:rPr>
          <w:rFonts w:ascii="Arial" w:hAnsi="Arial"/>
          <w:sz w:val="22"/>
        </w:rPr>
      </w:pPr>
      <w:r w:rsidRPr="00D10E78">
        <w:rPr>
          <w:rFonts w:ascii="Arial" w:hAnsi="Arial"/>
          <w:sz w:val="22"/>
        </w:rPr>
        <w:t>This review has several limitations. There may be relevant grey literature or evidence published in specialist public health bulletins, not searched. Search was limited to English-language, peer-reviewed evidence published in the last five years (2021-26) and did not include earlier foundational evidence even if it continues to be influential in current policy debates. There are a small number of studies, which while suitable for the scope of an undergraduate research report, do not provide the breadth of a field as large as childhood obesity research and formal quality appraisal of individual studies was not performed, a practice consistent with standard scoping review methodology and which limits judgements of the relative strength of the evidence base.</w:t>
      </w:r>
    </w:p>
    <w:p w:rsidRPr="00D10E78" w:rsidR="00233CC7" w:rsidP="00D10E78" w:rsidRDefault="00233CC7" w14:paraId="5215B6A3" w14:textId="77777777">
      <w:pPr>
        <w:pStyle w:val="Heading1"/>
        <w:rPr>
          <w:rFonts w:ascii="Arial" w:hAnsi="Arial"/>
          <w:sz w:val="22"/>
        </w:rPr>
      </w:pPr>
      <w:bookmarkStart w:name="_Toc235003864" w:id="19"/>
      <w:r w:rsidRPr="00D10E78">
        <w:rPr>
          <w:rFonts w:ascii="Arial" w:hAnsi="Arial"/>
          <w:sz w:val="22"/>
        </w:rPr>
        <w:t>7. Conclusion and Recommendations</w:t>
      </w:r>
      <w:bookmarkEnd w:id="19"/>
    </w:p>
    <w:p w:rsidRPr="00D10E78" w:rsidR="00233CC7" w:rsidP="00233CC7" w:rsidRDefault="00233CC7" w14:paraId="260C68BA" w14:textId="77777777">
      <w:pPr>
        <w:spacing w:line="480" w:lineRule="auto"/>
        <w:rPr>
          <w:rFonts w:ascii="Arial" w:hAnsi="Arial"/>
          <w:sz w:val="22"/>
        </w:rPr>
      </w:pPr>
      <w:r w:rsidRPr="00D10E78">
        <w:rPr>
          <w:rFonts w:ascii="Arial" w:hAnsi="Arial"/>
          <w:sz w:val="22"/>
        </w:rPr>
        <w:t>This scoping review has identified that in England childhood obesity is influenced by an interwoven pattern of socioeconomic determinants and deprivation is the strongest determinant, with ethnicity and geography exacerbating disadvantage. Finally, there is some evidence that structural fiscal policy was partially successful, suggesting that at the population level, policy intervention can affect outcomes even if there are problems with individual level behaviour change at scale.</w:t>
      </w:r>
    </w:p>
    <w:p w:rsidRPr="00D10E78" w:rsidR="00233CC7" w:rsidP="00233CC7" w:rsidRDefault="00233CC7" w14:paraId="15DD19AD" w14:textId="451A756C">
      <w:pPr>
        <w:spacing w:line="480" w:lineRule="auto"/>
        <w:rPr>
          <w:rFonts w:ascii="Arial" w:hAnsi="Arial"/>
          <w:sz w:val="22"/>
        </w:rPr>
      </w:pPr>
      <w:r w:rsidRPr="00D10E78">
        <w:rPr>
          <w:rFonts w:ascii="Arial" w:hAnsi="Arial"/>
          <w:sz w:val="22"/>
        </w:rPr>
        <w:t>For future research, designers should explicitly focus on intersectional designs, which will involve understanding and exploring the intersection of income, education, ethnicity and geography as a bundle, rather than investigating each of these separately, and should draw from the evidence from the recent systematic review of multiple overlapping mediators (Cronin et al., 2022). Policy options should be expanded to other high-sugar product categories, based on lessons learned from the current soft drink levy regarding its equity impacts (</w:t>
      </w:r>
      <w:proofErr w:type="spellStart"/>
      <w:r w:rsidRPr="00D10E78">
        <w:rPr>
          <w:rFonts w:ascii="Arial" w:hAnsi="Arial"/>
          <w:sz w:val="22"/>
        </w:rPr>
        <w:t>Cobiac</w:t>
      </w:r>
      <w:proofErr w:type="spellEnd"/>
      <w:r w:rsidRPr="00D10E78">
        <w:rPr>
          <w:rFonts w:ascii="Arial" w:hAnsi="Arial"/>
          <w:sz w:val="22"/>
        </w:rPr>
        <w:t xml:space="preserve"> et al., 2024). In the local authorities that have the greatest deviations from </w:t>
      </w:r>
      <w:r w:rsidRPr="00D10E78">
        <w:rPr>
          <w:rFonts w:ascii="Arial" w:hAnsi="Arial"/>
          <w:sz w:val="22"/>
        </w:rPr>
        <w:t xml:space="preserve">the national obesity trend, area-based interventions should be prioritised by local authorities or integrated care systems (ICS) as a way of addressing the obesity challenge (Rahilly, Cortina-Borja and </w:t>
      </w:r>
      <w:proofErr w:type="spellStart"/>
      <w:r w:rsidRPr="00D10E78">
        <w:rPr>
          <w:rFonts w:ascii="Arial" w:hAnsi="Arial"/>
          <w:sz w:val="22"/>
        </w:rPr>
        <w:t>Mytton</w:t>
      </w:r>
      <w:proofErr w:type="spellEnd"/>
      <w:r w:rsidRPr="00D10E78">
        <w:rPr>
          <w:rFonts w:ascii="Arial" w:hAnsi="Arial"/>
          <w:sz w:val="22"/>
        </w:rPr>
        <w:t>, 2025). There is clear evidence, from national data (GOV.UK Ethnicity Facts and Figures 2024), that ethnic inequalities in health and social care are evident when looked at collectively; and health and social care practitioners should plan for outreach using ethnicity data alongside deprivation data, not deprivation indices alone. These recommendations collectively suggest a movement from individual-focused health promotion to long-term, structurally oriented interventions, in research, policy and practice.</w:t>
      </w:r>
    </w:p>
    <w:p w:rsidRPr="00D10E78" w:rsidR="00D10E78" w:rsidP="00233CC7" w:rsidRDefault="00D10E78" w14:paraId="14B5A365" w14:textId="77777777">
      <w:pPr>
        <w:spacing w:line="480" w:lineRule="auto"/>
        <w:rPr>
          <w:rFonts w:ascii="Arial" w:hAnsi="Arial"/>
          <w:sz w:val="22"/>
        </w:rPr>
      </w:pPr>
    </w:p>
    <w:p w:rsidRPr="00D10E78" w:rsidR="00D10E78" w:rsidP="00233CC7" w:rsidRDefault="00D10E78" w14:paraId="0EB15EC1" w14:textId="77777777">
      <w:pPr>
        <w:spacing w:line="480" w:lineRule="auto"/>
        <w:rPr>
          <w:rFonts w:ascii="Arial" w:hAnsi="Arial"/>
          <w:sz w:val="22"/>
        </w:rPr>
      </w:pPr>
    </w:p>
    <w:p w:rsidRPr="00D10E78" w:rsidR="00D10E78" w:rsidP="00233CC7" w:rsidRDefault="00D10E78" w14:paraId="44B02196" w14:textId="77777777">
      <w:pPr>
        <w:spacing w:line="480" w:lineRule="auto"/>
        <w:rPr>
          <w:rFonts w:ascii="Arial" w:hAnsi="Arial"/>
          <w:sz w:val="22"/>
        </w:rPr>
      </w:pPr>
    </w:p>
    <w:p w:rsidRPr="00D10E78" w:rsidR="00D10E78" w:rsidP="00233CC7" w:rsidRDefault="00D10E78" w14:paraId="4D38C297" w14:textId="77777777">
      <w:pPr>
        <w:spacing w:line="480" w:lineRule="auto"/>
        <w:rPr>
          <w:rFonts w:ascii="Arial" w:hAnsi="Arial"/>
          <w:sz w:val="22"/>
        </w:rPr>
      </w:pPr>
    </w:p>
    <w:p w:rsidRPr="00D10E78" w:rsidR="00D10E78" w:rsidP="00233CC7" w:rsidRDefault="00D10E78" w14:paraId="0369B166" w14:textId="77777777">
      <w:pPr>
        <w:spacing w:line="480" w:lineRule="auto"/>
        <w:rPr>
          <w:rFonts w:ascii="Arial" w:hAnsi="Arial"/>
          <w:sz w:val="22"/>
        </w:rPr>
      </w:pPr>
    </w:p>
    <w:p w:rsidRPr="00D10E78" w:rsidR="00D10E78" w:rsidP="00233CC7" w:rsidRDefault="00D10E78" w14:paraId="5FE11DA3" w14:textId="77777777">
      <w:pPr>
        <w:spacing w:line="480" w:lineRule="auto"/>
        <w:rPr>
          <w:rFonts w:ascii="Arial" w:hAnsi="Arial"/>
          <w:sz w:val="22"/>
        </w:rPr>
      </w:pPr>
    </w:p>
    <w:p w:rsidRPr="00D10E78" w:rsidR="00D10E78" w:rsidP="00233CC7" w:rsidRDefault="00D10E78" w14:paraId="20CA728A" w14:textId="77777777">
      <w:pPr>
        <w:spacing w:line="480" w:lineRule="auto"/>
        <w:rPr>
          <w:rFonts w:ascii="Arial" w:hAnsi="Arial"/>
          <w:sz w:val="22"/>
        </w:rPr>
      </w:pPr>
    </w:p>
    <w:p w:rsidRPr="00D10E78" w:rsidR="00D10E78" w:rsidP="00233CC7" w:rsidRDefault="00D10E78" w14:paraId="311DAAEF" w14:textId="77777777">
      <w:pPr>
        <w:spacing w:line="480" w:lineRule="auto"/>
        <w:rPr>
          <w:rFonts w:ascii="Arial" w:hAnsi="Arial"/>
          <w:sz w:val="22"/>
        </w:rPr>
      </w:pPr>
    </w:p>
    <w:p w:rsidRPr="00D10E78" w:rsidR="00D10E78" w:rsidP="00233CC7" w:rsidRDefault="00D10E78" w14:paraId="025821DF" w14:textId="77777777">
      <w:pPr>
        <w:spacing w:line="480" w:lineRule="auto"/>
        <w:rPr>
          <w:rFonts w:ascii="Arial" w:hAnsi="Arial"/>
          <w:sz w:val="22"/>
        </w:rPr>
      </w:pPr>
    </w:p>
    <w:p w:rsidRPr="00D10E78" w:rsidR="00D10E78" w:rsidP="00233CC7" w:rsidRDefault="00D10E78" w14:paraId="5C02A3A4" w14:textId="77777777">
      <w:pPr>
        <w:spacing w:line="480" w:lineRule="auto"/>
        <w:rPr>
          <w:rFonts w:ascii="Arial" w:hAnsi="Arial"/>
          <w:sz w:val="22"/>
        </w:rPr>
      </w:pPr>
    </w:p>
    <w:p w:rsidRPr="00D10E78" w:rsidR="00D10E78" w:rsidP="00233CC7" w:rsidRDefault="00D10E78" w14:paraId="54EFBFA6" w14:textId="77777777">
      <w:pPr>
        <w:spacing w:line="480" w:lineRule="auto"/>
        <w:rPr>
          <w:rFonts w:ascii="Arial" w:hAnsi="Arial"/>
          <w:sz w:val="22"/>
        </w:rPr>
      </w:pPr>
    </w:p>
    <w:p w:rsidRPr="00D10E78" w:rsidR="00D10E78" w:rsidP="00233CC7" w:rsidRDefault="00D10E78" w14:paraId="4412D58F" w14:textId="77777777">
      <w:pPr>
        <w:spacing w:line="480" w:lineRule="auto"/>
        <w:rPr>
          <w:rFonts w:ascii="Arial" w:hAnsi="Arial"/>
          <w:sz w:val="22"/>
        </w:rPr>
      </w:pPr>
    </w:p>
    <w:p w:rsidRPr="00D10E78" w:rsidR="00D10E78" w:rsidP="00233CC7" w:rsidRDefault="00D10E78" w14:paraId="5391CF47" w14:textId="77777777">
      <w:pPr>
        <w:spacing w:line="480" w:lineRule="auto"/>
        <w:rPr>
          <w:rFonts w:ascii="Arial" w:hAnsi="Arial"/>
          <w:sz w:val="22"/>
        </w:rPr>
      </w:pPr>
    </w:p>
    <w:p w:rsidRPr="00D10E78" w:rsidR="00D10E78" w:rsidP="00233CC7" w:rsidRDefault="00D10E78" w14:paraId="22DD9049" w14:textId="77777777">
      <w:pPr>
        <w:spacing w:line="480" w:lineRule="auto"/>
        <w:rPr>
          <w:rFonts w:ascii="Arial" w:hAnsi="Arial"/>
          <w:sz w:val="22"/>
        </w:rPr>
      </w:pPr>
    </w:p>
    <w:p w:rsidRPr="00D10E78" w:rsidR="00D10E78" w:rsidP="00233CC7" w:rsidRDefault="00D10E78" w14:paraId="5ABF7299" w14:textId="77777777">
      <w:pPr>
        <w:spacing w:line="480" w:lineRule="auto"/>
        <w:rPr>
          <w:rFonts w:ascii="Arial" w:hAnsi="Arial"/>
          <w:sz w:val="22"/>
        </w:rPr>
      </w:pPr>
    </w:p>
    <w:p w:rsidRPr="00D10E78" w:rsidR="00D10E78" w:rsidP="00233CC7" w:rsidRDefault="00D10E78" w14:paraId="6CEFC498" w14:textId="77777777">
      <w:pPr>
        <w:spacing w:line="480" w:lineRule="auto"/>
        <w:rPr>
          <w:rFonts w:ascii="Arial" w:hAnsi="Arial"/>
          <w:sz w:val="22"/>
        </w:rPr>
      </w:pPr>
    </w:p>
    <w:p w:rsidRPr="00D10E78" w:rsidR="00D10E78" w:rsidP="00233CC7" w:rsidRDefault="00D10E78" w14:paraId="0A56E121" w14:textId="77777777">
      <w:pPr>
        <w:spacing w:line="480" w:lineRule="auto"/>
        <w:rPr>
          <w:rFonts w:ascii="Arial" w:hAnsi="Arial"/>
          <w:sz w:val="22"/>
        </w:rPr>
      </w:pPr>
    </w:p>
    <w:p w:rsidRPr="00D10E78" w:rsidR="00D10E78" w:rsidP="00233CC7" w:rsidRDefault="00D10E78" w14:paraId="304AE18D" w14:textId="77777777">
      <w:pPr>
        <w:spacing w:line="480" w:lineRule="auto"/>
        <w:rPr>
          <w:rFonts w:ascii="Arial" w:hAnsi="Arial"/>
          <w:sz w:val="22"/>
        </w:rPr>
      </w:pPr>
    </w:p>
    <w:p w:rsidRPr="00D10E78" w:rsidR="00D10E78" w:rsidP="00233CC7" w:rsidRDefault="00D10E78" w14:paraId="10D68EEA" w14:textId="77777777">
      <w:pPr>
        <w:spacing w:line="480" w:lineRule="auto"/>
        <w:rPr>
          <w:rFonts w:ascii="Arial" w:hAnsi="Arial"/>
          <w:sz w:val="22"/>
        </w:rPr>
      </w:pPr>
    </w:p>
    <w:p w:rsidRPr="00D10E78" w:rsidR="00D10E78" w:rsidP="00233CC7" w:rsidRDefault="00D10E78" w14:paraId="246432A4" w14:textId="77777777">
      <w:pPr>
        <w:spacing w:line="480" w:lineRule="auto"/>
        <w:rPr>
          <w:rFonts w:ascii="Arial" w:hAnsi="Arial"/>
          <w:sz w:val="22"/>
        </w:rPr>
      </w:pPr>
    </w:p>
    <w:p w:rsidRPr="00D10E78" w:rsidR="00D10E78" w:rsidP="00233CC7" w:rsidRDefault="00D10E78" w14:paraId="311D9CF7" w14:textId="77777777">
      <w:pPr>
        <w:spacing w:line="480" w:lineRule="auto"/>
        <w:rPr>
          <w:rFonts w:ascii="Arial" w:hAnsi="Arial"/>
          <w:sz w:val="22"/>
        </w:rPr>
      </w:pPr>
    </w:p>
    <w:p w:rsidRPr="00D10E78" w:rsidR="00B7473A" w:rsidP="00233CC7" w:rsidRDefault="00000000" w14:paraId="2FCE6C61" w14:textId="77777777">
      <w:pPr>
        <w:pStyle w:val="Heading1"/>
        <w:spacing w:before="300" w:after="150" w:line="480" w:lineRule="auto"/>
        <w:rPr>
          <w:rFonts w:ascii="Arial" w:hAnsi="Arial"/>
          <w:sz w:val="22"/>
        </w:rPr>
      </w:pPr>
      <w:bookmarkStart w:name="_Toc235003865" w:id="20"/>
      <w:r w:rsidRPr="00D10E78">
        <w:rPr>
          <w:rFonts w:ascii="Arial" w:hAnsi="Arial" w:eastAsia="Calibri" w:cs="Calibri"/>
          <w:b/>
          <w:bCs/>
          <w:sz w:val="22"/>
          <w:szCs w:val="28"/>
        </w:rPr>
        <w:t>8. References</w:t>
      </w:r>
      <w:bookmarkEnd w:id="20"/>
    </w:p>
    <w:p w:rsidRPr="00856562" w:rsidR="00856562" w:rsidP="00856562" w:rsidRDefault="00856562" w14:paraId="3A4C2411" w14:textId="77777777">
      <w:pPr>
        <w:spacing w:after="200" w:line="480" w:lineRule="auto"/>
        <w:rPr>
          <w:rFonts w:ascii="Arial" w:hAnsi="Arial"/>
          <w:sz w:val="22"/>
        </w:rPr>
      </w:pPr>
      <w:r w:rsidRPr="00856562">
        <w:rPr>
          <w:rFonts w:ascii="Arial" w:hAnsi="Arial"/>
          <w:sz w:val="22"/>
        </w:rPr>
        <w:t xml:space="preserve">British Medical Association (2023) </w:t>
      </w:r>
      <w:r w:rsidRPr="00856562">
        <w:rPr>
          <w:rFonts w:ascii="Arial" w:hAnsi="Arial"/>
          <w:i/>
          <w:iCs/>
          <w:sz w:val="22"/>
        </w:rPr>
        <w:t>Assessing the impact of obesity interventions in the early years: a systematic review of UK</w:t>
      </w:r>
      <w:r w:rsidRPr="00856562">
        <w:rPr>
          <w:rFonts w:ascii="Arial" w:hAnsi="Arial"/>
          <w:i/>
          <w:iCs/>
          <w:sz w:val="22"/>
        </w:rPr>
        <w:noBreakHyphen/>
      </w:r>
      <w:r w:rsidRPr="00856562">
        <w:rPr>
          <w:rFonts w:ascii="Arial" w:hAnsi="Arial"/>
          <w:i/>
          <w:iCs/>
          <w:sz w:val="22"/>
        </w:rPr>
        <w:t>based studies</w:t>
      </w:r>
      <w:r w:rsidRPr="00856562">
        <w:rPr>
          <w:rFonts w:ascii="Arial" w:hAnsi="Arial"/>
          <w:sz w:val="22"/>
        </w:rPr>
        <w:t xml:space="preserve">. </w:t>
      </w:r>
      <w:r w:rsidRPr="00856562">
        <w:rPr>
          <w:rFonts w:ascii="Arial" w:hAnsi="Arial"/>
          <w:i/>
          <w:iCs/>
          <w:sz w:val="22"/>
        </w:rPr>
        <w:t>BMJ Open</w:t>
      </w:r>
      <w:r w:rsidRPr="00856562">
        <w:rPr>
          <w:rFonts w:ascii="Arial" w:hAnsi="Arial"/>
          <w:sz w:val="22"/>
        </w:rPr>
        <w:t xml:space="preserve">, 14(5). Available at: https://doi.org/10.1136/bmjopen-2023-076479 </w:t>
      </w:r>
      <w:hyperlink w:tgtFrame="_blank" w:tooltip="www.bing.com" w:history="1" r:id="rId7">
        <w:r w:rsidRPr="00856562">
          <w:rPr>
            <w:rStyle w:val="Hyperlink"/>
            <w:rFonts w:ascii="Arial" w:hAnsi="Arial"/>
            <w:sz w:val="22"/>
          </w:rPr>
          <w:t>(doi.org in Bing)</w:t>
        </w:r>
      </w:hyperlink>
    </w:p>
    <w:p w:rsidRPr="00856562" w:rsidR="00856562" w:rsidP="00856562" w:rsidRDefault="00856562" w14:paraId="161061E4" w14:textId="77777777">
      <w:pPr>
        <w:spacing w:after="200" w:line="480" w:lineRule="auto"/>
        <w:rPr>
          <w:rFonts w:ascii="Arial" w:hAnsi="Arial"/>
          <w:sz w:val="22"/>
        </w:rPr>
      </w:pPr>
      <w:r w:rsidRPr="00856562">
        <w:rPr>
          <w:rFonts w:ascii="Arial" w:hAnsi="Arial"/>
          <w:sz w:val="22"/>
        </w:rPr>
        <w:t xml:space="preserve">Broadbent, P., Shen, Y., Pearce, A. and </w:t>
      </w:r>
      <w:proofErr w:type="spellStart"/>
      <w:r w:rsidRPr="00856562">
        <w:rPr>
          <w:rFonts w:ascii="Arial" w:hAnsi="Arial"/>
          <w:sz w:val="22"/>
        </w:rPr>
        <w:t>Katikireddi</w:t>
      </w:r>
      <w:proofErr w:type="spellEnd"/>
      <w:r w:rsidRPr="00856562">
        <w:rPr>
          <w:rFonts w:ascii="Arial" w:hAnsi="Arial"/>
          <w:sz w:val="22"/>
        </w:rPr>
        <w:t>, S.V. (2024) ‘Trends in inequalities in childhood overweight and obesity prevalence: a repeat cross</w:t>
      </w:r>
      <w:r w:rsidRPr="00856562">
        <w:rPr>
          <w:rFonts w:ascii="Arial" w:hAnsi="Arial"/>
          <w:sz w:val="22"/>
        </w:rPr>
        <w:noBreakHyphen/>
      </w:r>
      <w:r w:rsidRPr="00856562">
        <w:rPr>
          <w:rFonts w:ascii="Arial" w:hAnsi="Arial"/>
          <w:sz w:val="22"/>
        </w:rPr>
        <w:t xml:space="preserve">sectional analysis of the Health Survey for England’, </w:t>
      </w:r>
      <w:r w:rsidRPr="00856562">
        <w:rPr>
          <w:rFonts w:ascii="Arial" w:hAnsi="Arial"/>
          <w:i/>
          <w:iCs/>
          <w:sz w:val="22"/>
        </w:rPr>
        <w:t>Archives of Disease in Childhood</w:t>
      </w:r>
      <w:r w:rsidRPr="00856562">
        <w:rPr>
          <w:rFonts w:ascii="Arial" w:hAnsi="Arial"/>
          <w:sz w:val="22"/>
        </w:rPr>
        <w:t>, 109(3), pp. 233</w:t>
      </w:r>
      <w:r w:rsidRPr="00856562">
        <w:rPr>
          <w:rFonts w:ascii="Arial" w:hAnsi="Arial"/>
          <w:sz w:val="22"/>
        </w:rPr>
        <w:noBreakHyphen/>
      </w:r>
      <w:r w:rsidRPr="00856562">
        <w:rPr>
          <w:rFonts w:ascii="Arial" w:hAnsi="Arial"/>
          <w:sz w:val="22"/>
        </w:rPr>
        <w:t>239.</w:t>
      </w:r>
    </w:p>
    <w:p w:rsidRPr="00856562" w:rsidR="00856562" w:rsidP="00856562" w:rsidRDefault="00856562" w14:paraId="0D8826C5" w14:textId="77777777">
      <w:pPr>
        <w:spacing w:after="200" w:line="480" w:lineRule="auto"/>
        <w:rPr>
          <w:rFonts w:ascii="Arial" w:hAnsi="Arial"/>
          <w:sz w:val="22"/>
        </w:rPr>
      </w:pPr>
      <w:proofErr w:type="spellStart"/>
      <w:r w:rsidRPr="00856562">
        <w:rPr>
          <w:rFonts w:ascii="Arial" w:hAnsi="Arial"/>
          <w:sz w:val="22"/>
        </w:rPr>
        <w:t>Cobiac</w:t>
      </w:r>
      <w:proofErr w:type="spellEnd"/>
      <w:r w:rsidRPr="00856562">
        <w:rPr>
          <w:rFonts w:ascii="Arial" w:hAnsi="Arial"/>
          <w:sz w:val="22"/>
        </w:rPr>
        <w:t xml:space="preserve">, L.J., Rogers, N.T., Adams, J., Cummins, S., Smith, R., </w:t>
      </w:r>
      <w:proofErr w:type="spellStart"/>
      <w:r w:rsidRPr="00856562">
        <w:rPr>
          <w:rFonts w:ascii="Arial" w:hAnsi="Arial"/>
          <w:sz w:val="22"/>
        </w:rPr>
        <w:t>Mytton</w:t>
      </w:r>
      <w:proofErr w:type="spellEnd"/>
      <w:r w:rsidRPr="00856562">
        <w:rPr>
          <w:rFonts w:ascii="Arial" w:hAnsi="Arial"/>
          <w:sz w:val="22"/>
        </w:rPr>
        <w:t xml:space="preserve">, O., White, M., Scarborough, P. and Dodd, P.C. (2024) ‘Impact of the UK soft drinks industry levy on health and health inequalities in children and adolescents in England: an interrupted time series analysis and population health modelling study’, </w:t>
      </w:r>
      <w:r w:rsidRPr="00856562">
        <w:rPr>
          <w:rFonts w:ascii="Arial" w:hAnsi="Arial"/>
          <w:i/>
          <w:iCs/>
          <w:sz w:val="22"/>
        </w:rPr>
        <w:t>PLOS Medicine</w:t>
      </w:r>
      <w:r w:rsidRPr="00856562">
        <w:rPr>
          <w:rFonts w:ascii="Arial" w:hAnsi="Arial"/>
          <w:sz w:val="22"/>
        </w:rPr>
        <w:t>, 21(3), e1004371.</w:t>
      </w:r>
    </w:p>
    <w:p w:rsidRPr="00856562" w:rsidR="00856562" w:rsidP="00856562" w:rsidRDefault="00856562" w14:paraId="3B441D39" w14:textId="77777777">
      <w:pPr>
        <w:spacing w:after="200" w:line="480" w:lineRule="auto"/>
        <w:rPr>
          <w:rFonts w:ascii="Arial" w:hAnsi="Arial"/>
          <w:sz w:val="22"/>
        </w:rPr>
      </w:pPr>
      <w:r w:rsidRPr="00856562">
        <w:rPr>
          <w:rFonts w:ascii="Arial" w:hAnsi="Arial"/>
          <w:sz w:val="22"/>
        </w:rPr>
        <w:t xml:space="preserve">Cronin, F.M., Hurley, S.M., Buckley, T., Mancebo Guinea Arquez, D., Lakshmanan, N., O'Gorman, A., </w:t>
      </w:r>
      <w:proofErr w:type="spellStart"/>
      <w:r w:rsidRPr="00856562">
        <w:rPr>
          <w:rFonts w:ascii="Arial" w:hAnsi="Arial"/>
          <w:sz w:val="22"/>
        </w:rPr>
        <w:t>Layte</w:t>
      </w:r>
      <w:proofErr w:type="spellEnd"/>
      <w:r w:rsidRPr="00856562">
        <w:rPr>
          <w:rFonts w:ascii="Arial" w:hAnsi="Arial"/>
          <w:sz w:val="22"/>
        </w:rPr>
        <w:t>, R. and Stanistreet, D. (2022) ‘Mediators of socioeconomic differences in overweight and obesity among youth in Ireland and the UK (2011</w:t>
      </w:r>
      <w:r w:rsidRPr="00856562">
        <w:rPr>
          <w:rFonts w:ascii="Arial" w:hAnsi="Arial"/>
          <w:sz w:val="22"/>
        </w:rPr>
        <w:noBreakHyphen/>
      </w:r>
      <w:r w:rsidRPr="00856562">
        <w:rPr>
          <w:rFonts w:ascii="Arial" w:hAnsi="Arial"/>
          <w:sz w:val="22"/>
        </w:rPr>
        <w:t xml:space="preserve">2021): a systematic review’, </w:t>
      </w:r>
      <w:r w:rsidRPr="00856562">
        <w:rPr>
          <w:rFonts w:ascii="Arial" w:hAnsi="Arial"/>
          <w:i/>
          <w:iCs/>
          <w:sz w:val="22"/>
        </w:rPr>
        <w:t>BMC Public Health</w:t>
      </w:r>
      <w:r w:rsidRPr="00856562">
        <w:rPr>
          <w:rFonts w:ascii="Arial" w:hAnsi="Arial"/>
          <w:sz w:val="22"/>
        </w:rPr>
        <w:t>, 22, 1586.</w:t>
      </w:r>
    </w:p>
    <w:p w:rsidRPr="00856562" w:rsidR="00856562" w:rsidP="00856562" w:rsidRDefault="00856562" w14:paraId="3F21DC63" w14:textId="77777777">
      <w:pPr>
        <w:spacing w:after="200" w:line="480" w:lineRule="auto"/>
        <w:rPr>
          <w:rFonts w:ascii="Arial" w:hAnsi="Arial"/>
          <w:sz w:val="22"/>
        </w:rPr>
      </w:pPr>
      <w:r w:rsidRPr="00856562">
        <w:rPr>
          <w:rFonts w:ascii="Arial" w:hAnsi="Arial"/>
          <w:sz w:val="22"/>
        </w:rPr>
        <w:t xml:space="preserve">Department for Education (2022) </w:t>
      </w:r>
      <w:r w:rsidRPr="00856562">
        <w:rPr>
          <w:rFonts w:ascii="Arial" w:hAnsi="Arial"/>
          <w:i/>
          <w:iCs/>
          <w:sz w:val="22"/>
        </w:rPr>
        <w:t>School food standards: resources for schools</w:t>
      </w:r>
      <w:r w:rsidRPr="00856562">
        <w:rPr>
          <w:rFonts w:ascii="Arial" w:hAnsi="Arial"/>
          <w:sz w:val="22"/>
        </w:rPr>
        <w:t xml:space="preserve">. GOV.UK. Available at: https://www.gov.uk/government/publications/school-food-standards-resources-for-schools </w:t>
      </w:r>
      <w:hyperlink w:tgtFrame="_blank" w:tooltip="www.bing.com" w:history="1" r:id="rId8">
        <w:r w:rsidRPr="00856562">
          <w:rPr>
            <w:rStyle w:val="Hyperlink"/>
            <w:rFonts w:ascii="Arial" w:hAnsi="Arial"/>
            <w:sz w:val="22"/>
          </w:rPr>
          <w:t>(gov.uk in Bing)</w:t>
        </w:r>
      </w:hyperlink>
    </w:p>
    <w:p w:rsidRPr="00856562" w:rsidR="00856562" w:rsidP="00856562" w:rsidRDefault="00856562" w14:paraId="1110A326" w14:textId="77777777">
      <w:pPr>
        <w:spacing w:after="200" w:line="480" w:lineRule="auto"/>
        <w:rPr>
          <w:rFonts w:ascii="Arial" w:hAnsi="Arial"/>
          <w:sz w:val="22"/>
        </w:rPr>
      </w:pPr>
      <w:r w:rsidRPr="00856562">
        <w:rPr>
          <w:rFonts w:ascii="Arial" w:hAnsi="Arial"/>
          <w:sz w:val="22"/>
        </w:rPr>
        <w:t xml:space="preserve">GOV.UK Ethnicity Facts and Figures (2024) </w:t>
      </w:r>
      <w:r w:rsidRPr="00856562">
        <w:rPr>
          <w:rFonts w:ascii="Arial" w:hAnsi="Arial"/>
          <w:i/>
          <w:iCs/>
          <w:sz w:val="22"/>
        </w:rPr>
        <w:t>Overweight children</w:t>
      </w:r>
      <w:r w:rsidRPr="00856562">
        <w:rPr>
          <w:rFonts w:ascii="Arial" w:hAnsi="Arial"/>
          <w:sz w:val="22"/>
        </w:rPr>
        <w:t xml:space="preserve">. Available at: https://www.ethnicity-facts-figures.service.gov.uk/health/diet-and-exercise/overweight-children/latest/ </w:t>
      </w:r>
      <w:hyperlink w:tgtFrame="_blank" w:tooltip="www.bing.com" w:history="1" r:id="rId9">
        <w:r w:rsidRPr="00856562">
          <w:rPr>
            <w:rStyle w:val="Hyperlink"/>
            <w:rFonts w:ascii="Arial" w:hAnsi="Arial"/>
            <w:sz w:val="22"/>
          </w:rPr>
          <w:t>(ethnicity-facts-figures.service.gov.uk in Bing)</w:t>
        </w:r>
      </w:hyperlink>
      <w:r w:rsidRPr="00856562">
        <w:rPr>
          <w:rFonts w:ascii="Arial" w:hAnsi="Arial"/>
          <w:sz w:val="22"/>
        </w:rPr>
        <w:t xml:space="preserve"> (Accessed: 15 July 2026).</w:t>
      </w:r>
    </w:p>
    <w:p w:rsidRPr="00856562" w:rsidR="00856562" w:rsidP="00856562" w:rsidRDefault="00856562" w14:paraId="464FB2D5" w14:textId="77777777">
      <w:pPr>
        <w:spacing w:after="200" w:line="480" w:lineRule="auto"/>
        <w:rPr>
          <w:rFonts w:ascii="Arial" w:hAnsi="Arial"/>
          <w:sz w:val="22"/>
        </w:rPr>
      </w:pPr>
      <w:r w:rsidRPr="00856562">
        <w:rPr>
          <w:rFonts w:ascii="Arial" w:hAnsi="Arial"/>
          <w:sz w:val="22"/>
        </w:rPr>
        <w:t xml:space="preserve">Ham, C. (2023) ‘The case for better governance to mitigate against childhood obesity: the UK experience’, </w:t>
      </w:r>
      <w:r w:rsidRPr="00856562">
        <w:rPr>
          <w:rFonts w:ascii="Arial" w:hAnsi="Arial"/>
          <w:i/>
          <w:iCs/>
          <w:sz w:val="22"/>
        </w:rPr>
        <w:t>BMC Medicine</w:t>
      </w:r>
      <w:r w:rsidRPr="00856562">
        <w:rPr>
          <w:rFonts w:ascii="Arial" w:hAnsi="Arial"/>
          <w:sz w:val="22"/>
        </w:rPr>
        <w:t xml:space="preserve">. Available at: https://doi.org/10.1186/s12916-023-03124-x </w:t>
      </w:r>
      <w:hyperlink w:tgtFrame="_blank" w:tooltip="www.bing.com" w:history="1" r:id="rId10">
        <w:r w:rsidRPr="00856562">
          <w:rPr>
            <w:rStyle w:val="Hyperlink"/>
            <w:rFonts w:ascii="Arial" w:hAnsi="Arial"/>
            <w:sz w:val="22"/>
          </w:rPr>
          <w:t>(doi.org in Bing)</w:t>
        </w:r>
      </w:hyperlink>
    </w:p>
    <w:p w:rsidRPr="00856562" w:rsidR="00856562" w:rsidP="00856562" w:rsidRDefault="00856562" w14:paraId="7A8C80E6" w14:textId="77777777">
      <w:pPr>
        <w:spacing w:after="200" w:line="480" w:lineRule="auto"/>
        <w:rPr>
          <w:rFonts w:ascii="Arial" w:hAnsi="Arial"/>
          <w:sz w:val="22"/>
        </w:rPr>
      </w:pPr>
      <w:r w:rsidRPr="00856562">
        <w:rPr>
          <w:rFonts w:ascii="Arial" w:hAnsi="Arial"/>
          <w:sz w:val="22"/>
        </w:rPr>
        <w:t>Health and Care Act (2022) (c. 31). London: The Stationery Office.</w:t>
      </w:r>
    </w:p>
    <w:p w:rsidRPr="00856562" w:rsidR="00856562" w:rsidP="00856562" w:rsidRDefault="00856562" w14:paraId="7B39EA7E" w14:textId="77777777">
      <w:pPr>
        <w:spacing w:after="200" w:line="480" w:lineRule="auto"/>
        <w:rPr>
          <w:rFonts w:ascii="Arial" w:hAnsi="Arial"/>
          <w:sz w:val="22"/>
        </w:rPr>
      </w:pPr>
      <w:r w:rsidRPr="00856562">
        <w:rPr>
          <w:rFonts w:ascii="Arial" w:hAnsi="Arial"/>
          <w:sz w:val="22"/>
        </w:rPr>
        <w:t xml:space="preserve">Institute for Fiscal Studies (2024) </w:t>
      </w:r>
      <w:r w:rsidRPr="00856562">
        <w:rPr>
          <w:rFonts w:ascii="Arial" w:hAnsi="Arial"/>
          <w:i/>
          <w:iCs/>
          <w:sz w:val="22"/>
        </w:rPr>
        <w:t>The costs of obesity – an update</w:t>
      </w:r>
      <w:r w:rsidRPr="00856562">
        <w:rPr>
          <w:rFonts w:ascii="Arial" w:hAnsi="Arial"/>
          <w:sz w:val="22"/>
        </w:rPr>
        <w:t xml:space="preserve">. London: Institute for Fiscal Studies. Available at: https://ifs.org.uk/publications/costs-obesity </w:t>
      </w:r>
      <w:hyperlink w:tgtFrame="_blank" w:tooltip="www.bing.com" w:history="1" r:id="rId11">
        <w:r w:rsidRPr="00856562">
          <w:rPr>
            <w:rStyle w:val="Hyperlink"/>
            <w:rFonts w:ascii="Arial" w:hAnsi="Arial"/>
            <w:sz w:val="22"/>
          </w:rPr>
          <w:t>(ifs.org.uk in Bing)</w:t>
        </w:r>
      </w:hyperlink>
    </w:p>
    <w:p w:rsidRPr="00856562" w:rsidR="00856562" w:rsidP="00856562" w:rsidRDefault="00856562" w14:paraId="77E5D630" w14:textId="77777777">
      <w:pPr>
        <w:spacing w:after="200" w:line="480" w:lineRule="auto"/>
        <w:rPr>
          <w:rFonts w:ascii="Arial" w:hAnsi="Arial"/>
          <w:sz w:val="22"/>
        </w:rPr>
      </w:pPr>
      <w:r w:rsidRPr="00856562">
        <w:rPr>
          <w:rFonts w:ascii="Arial" w:hAnsi="Arial"/>
          <w:sz w:val="22"/>
        </w:rPr>
        <w:t xml:space="preserve">Local Government Association (2024) </w:t>
      </w:r>
      <w:r w:rsidRPr="00856562">
        <w:rPr>
          <w:rFonts w:ascii="Arial" w:hAnsi="Arial"/>
          <w:i/>
          <w:iCs/>
          <w:sz w:val="22"/>
        </w:rPr>
        <w:t>Towards a healthy weight: Local government action to improve children’s health</w:t>
      </w:r>
      <w:r w:rsidRPr="00856562">
        <w:rPr>
          <w:rFonts w:ascii="Arial" w:hAnsi="Arial"/>
          <w:sz w:val="22"/>
        </w:rPr>
        <w:t xml:space="preserve">. Local Government Association. Available at: https://www.local.gov.uk/publications/towards-healthy-weight-local-government-action-improve-childrens-health </w:t>
      </w:r>
      <w:hyperlink w:tgtFrame="_blank" w:tooltip="www.bing.com" w:history="1" r:id="rId12">
        <w:r w:rsidRPr="00856562">
          <w:rPr>
            <w:rStyle w:val="Hyperlink"/>
            <w:rFonts w:ascii="Arial" w:hAnsi="Arial"/>
            <w:sz w:val="22"/>
          </w:rPr>
          <w:t>(local.gov.uk in Bing)</w:t>
        </w:r>
      </w:hyperlink>
    </w:p>
    <w:p w:rsidRPr="00856562" w:rsidR="00856562" w:rsidP="00856562" w:rsidRDefault="00856562" w14:paraId="4756D75D" w14:textId="77777777">
      <w:pPr>
        <w:spacing w:after="200" w:line="480" w:lineRule="auto"/>
        <w:rPr>
          <w:rFonts w:ascii="Arial" w:hAnsi="Arial"/>
          <w:sz w:val="22"/>
        </w:rPr>
      </w:pPr>
      <w:r w:rsidRPr="00856562">
        <w:rPr>
          <w:rFonts w:ascii="Arial" w:hAnsi="Arial"/>
          <w:sz w:val="22"/>
        </w:rPr>
        <w:t xml:space="preserve">Marmot, M. et al. (2020) </w:t>
      </w:r>
      <w:r w:rsidRPr="00856562">
        <w:rPr>
          <w:rFonts w:ascii="Arial" w:hAnsi="Arial"/>
          <w:i/>
          <w:iCs/>
          <w:sz w:val="22"/>
        </w:rPr>
        <w:t>Health Equity in England: The Marmot Review ten years on</w:t>
      </w:r>
      <w:r w:rsidRPr="00856562">
        <w:rPr>
          <w:rFonts w:ascii="Arial" w:hAnsi="Arial"/>
          <w:sz w:val="22"/>
        </w:rPr>
        <w:t xml:space="preserve">. London: Institute of Health Equity. Available at: https://www.health.org.uk/publications/reports/the-marmot-review-10-years-on </w:t>
      </w:r>
      <w:hyperlink w:tgtFrame="_blank" w:tooltip="www.bing.com" w:history="1" r:id="rId13">
        <w:r w:rsidRPr="00856562">
          <w:rPr>
            <w:rStyle w:val="Hyperlink"/>
            <w:rFonts w:ascii="Arial" w:hAnsi="Arial"/>
            <w:sz w:val="22"/>
          </w:rPr>
          <w:t>(health.org.uk in Bing)</w:t>
        </w:r>
      </w:hyperlink>
    </w:p>
    <w:p w:rsidRPr="00856562" w:rsidR="00856562" w:rsidP="00856562" w:rsidRDefault="00856562" w14:paraId="6990E239" w14:textId="77777777">
      <w:pPr>
        <w:spacing w:after="200" w:line="480" w:lineRule="auto"/>
        <w:rPr>
          <w:rFonts w:ascii="Arial" w:hAnsi="Arial"/>
          <w:sz w:val="22"/>
        </w:rPr>
      </w:pPr>
      <w:r w:rsidRPr="00856562">
        <w:rPr>
          <w:rFonts w:ascii="Arial" w:hAnsi="Arial"/>
          <w:sz w:val="22"/>
        </w:rPr>
        <w:t xml:space="preserve">NHS England (2023) </w:t>
      </w:r>
      <w:r w:rsidRPr="00856562">
        <w:rPr>
          <w:rFonts w:ascii="Arial" w:hAnsi="Arial"/>
          <w:i/>
          <w:iCs/>
          <w:sz w:val="22"/>
        </w:rPr>
        <w:t>NHS to open new specialist clinics for obese children and young people</w:t>
      </w:r>
      <w:r w:rsidRPr="00856562">
        <w:rPr>
          <w:rFonts w:ascii="Arial" w:hAnsi="Arial"/>
          <w:sz w:val="22"/>
        </w:rPr>
        <w:t xml:space="preserve">. NHS England. Available at: https://www.england.nhs.uk/2023/nhs-to-open-new-specialist-clinics-for-obese-children-and-young-people </w:t>
      </w:r>
      <w:hyperlink w:tgtFrame="_blank" w:tooltip="www.bing.com" w:history="1" r:id="rId14">
        <w:r w:rsidRPr="00856562">
          <w:rPr>
            <w:rStyle w:val="Hyperlink"/>
            <w:rFonts w:ascii="Arial" w:hAnsi="Arial"/>
            <w:sz w:val="22"/>
          </w:rPr>
          <w:t>(england.nhs.uk in Bing)</w:t>
        </w:r>
      </w:hyperlink>
    </w:p>
    <w:p w:rsidRPr="00856562" w:rsidR="00856562" w:rsidP="00856562" w:rsidRDefault="00856562" w14:paraId="7643A3EF" w14:textId="77777777">
      <w:pPr>
        <w:spacing w:after="200" w:line="480" w:lineRule="auto"/>
        <w:rPr>
          <w:rFonts w:ascii="Arial" w:hAnsi="Arial"/>
          <w:sz w:val="22"/>
        </w:rPr>
      </w:pPr>
      <w:r w:rsidRPr="00856562">
        <w:rPr>
          <w:rFonts w:ascii="Arial" w:hAnsi="Arial"/>
          <w:sz w:val="22"/>
        </w:rPr>
        <w:t xml:space="preserve">NHS England Digital (2024) </w:t>
      </w:r>
      <w:r w:rsidRPr="00856562">
        <w:rPr>
          <w:rFonts w:ascii="Arial" w:hAnsi="Arial"/>
          <w:i/>
          <w:iCs/>
          <w:sz w:val="22"/>
        </w:rPr>
        <w:t>National Child Measurement Programme: England 2024/25</w:t>
      </w:r>
      <w:r w:rsidRPr="00856562">
        <w:rPr>
          <w:rFonts w:ascii="Arial" w:hAnsi="Arial"/>
          <w:sz w:val="22"/>
        </w:rPr>
        <w:t>. NHS England Digital.</w:t>
      </w:r>
    </w:p>
    <w:p w:rsidRPr="00856562" w:rsidR="00856562" w:rsidP="00856562" w:rsidRDefault="00856562" w14:paraId="1BF4F200" w14:textId="77777777">
      <w:pPr>
        <w:spacing w:after="200" w:line="480" w:lineRule="auto"/>
        <w:rPr>
          <w:rFonts w:ascii="Arial" w:hAnsi="Arial"/>
          <w:sz w:val="22"/>
        </w:rPr>
      </w:pPr>
      <w:r w:rsidRPr="00856562">
        <w:rPr>
          <w:rFonts w:ascii="Arial" w:hAnsi="Arial"/>
          <w:sz w:val="22"/>
        </w:rPr>
        <w:t xml:space="preserve">Nuffield Trust (2025) </w:t>
      </w:r>
      <w:r w:rsidRPr="00856562">
        <w:rPr>
          <w:rFonts w:ascii="Arial" w:hAnsi="Arial"/>
          <w:i/>
          <w:iCs/>
          <w:sz w:val="22"/>
        </w:rPr>
        <w:t>Public health funding and obesity prevention</w:t>
      </w:r>
      <w:r w:rsidRPr="00856562">
        <w:rPr>
          <w:rFonts w:ascii="Arial" w:hAnsi="Arial"/>
          <w:sz w:val="22"/>
        </w:rPr>
        <w:t>. Nuffield Trust.</w:t>
      </w:r>
    </w:p>
    <w:p w:rsidRPr="00856562" w:rsidR="00856562" w:rsidP="00856562" w:rsidRDefault="00856562" w14:paraId="1EF4AC50" w14:textId="77777777">
      <w:pPr>
        <w:spacing w:after="200" w:line="480" w:lineRule="auto"/>
        <w:rPr>
          <w:rFonts w:ascii="Arial" w:hAnsi="Arial"/>
          <w:sz w:val="22"/>
        </w:rPr>
      </w:pPr>
      <w:r w:rsidRPr="00856562">
        <w:rPr>
          <w:rFonts w:ascii="Arial" w:hAnsi="Arial"/>
          <w:sz w:val="22"/>
        </w:rPr>
        <w:t xml:space="preserve">Obesity Health Alliance (2024) </w:t>
      </w:r>
      <w:r w:rsidRPr="00856562">
        <w:rPr>
          <w:rFonts w:ascii="Arial" w:hAnsi="Arial"/>
          <w:i/>
          <w:iCs/>
          <w:sz w:val="22"/>
        </w:rPr>
        <w:t>Campaigning for stronger action on childhood obesity</w:t>
      </w:r>
      <w:r w:rsidRPr="00856562">
        <w:rPr>
          <w:rFonts w:ascii="Arial" w:hAnsi="Arial"/>
          <w:sz w:val="22"/>
        </w:rPr>
        <w:t>. Obesity Health Alliance.</w:t>
      </w:r>
    </w:p>
    <w:p w:rsidRPr="00856562" w:rsidR="00856562" w:rsidP="00856562" w:rsidRDefault="00856562" w14:paraId="2B834963" w14:textId="77777777">
      <w:pPr>
        <w:spacing w:after="200" w:line="480" w:lineRule="auto"/>
        <w:rPr>
          <w:rFonts w:ascii="Arial" w:hAnsi="Arial"/>
          <w:sz w:val="22"/>
        </w:rPr>
      </w:pPr>
      <w:r w:rsidRPr="00856562">
        <w:rPr>
          <w:rFonts w:ascii="Arial" w:hAnsi="Arial"/>
          <w:sz w:val="22"/>
        </w:rPr>
        <w:t xml:space="preserve">Public Health England (2021) </w:t>
      </w:r>
      <w:r w:rsidRPr="00856562">
        <w:rPr>
          <w:rFonts w:ascii="Arial" w:hAnsi="Arial"/>
          <w:i/>
          <w:iCs/>
          <w:sz w:val="22"/>
        </w:rPr>
        <w:t>Sugar reduction: report on progress between 2015 and 2019</w:t>
      </w:r>
      <w:r w:rsidRPr="00856562">
        <w:rPr>
          <w:rFonts w:ascii="Arial" w:hAnsi="Arial"/>
          <w:sz w:val="22"/>
        </w:rPr>
        <w:t>. Public Health England.</w:t>
      </w:r>
    </w:p>
    <w:p w:rsidRPr="00856562" w:rsidR="00856562" w:rsidP="00856562" w:rsidRDefault="00856562" w14:paraId="66A32A03" w14:textId="77777777">
      <w:pPr>
        <w:spacing w:after="200" w:line="480" w:lineRule="auto"/>
        <w:rPr>
          <w:rFonts w:ascii="Arial" w:hAnsi="Arial"/>
          <w:sz w:val="22"/>
        </w:rPr>
      </w:pPr>
      <w:r w:rsidRPr="00856562">
        <w:rPr>
          <w:rFonts w:ascii="Arial" w:hAnsi="Arial"/>
          <w:sz w:val="22"/>
        </w:rPr>
        <w:t>Rahilly, S., Cortina</w:t>
      </w:r>
      <w:r w:rsidRPr="00856562">
        <w:rPr>
          <w:rFonts w:ascii="Arial" w:hAnsi="Arial"/>
          <w:sz w:val="22"/>
        </w:rPr>
        <w:noBreakHyphen/>
      </w:r>
      <w:r w:rsidRPr="00856562">
        <w:rPr>
          <w:rFonts w:ascii="Arial" w:hAnsi="Arial"/>
          <w:sz w:val="22"/>
        </w:rPr>
        <w:t xml:space="preserve">Borja, M. and </w:t>
      </w:r>
      <w:proofErr w:type="spellStart"/>
      <w:r w:rsidRPr="00856562">
        <w:rPr>
          <w:rFonts w:ascii="Arial" w:hAnsi="Arial"/>
          <w:sz w:val="22"/>
        </w:rPr>
        <w:t>Mytton</w:t>
      </w:r>
      <w:proofErr w:type="spellEnd"/>
      <w:r w:rsidRPr="00856562">
        <w:rPr>
          <w:rFonts w:ascii="Arial" w:hAnsi="Arial"/>
          <w:sz w:val="22"/>
        </w:rPr>
        <w:t xml:space="preserve">, O. (2025) ‘Socioeconomic trajectories and childhood obesity in England: latent trajectory analysis across 150 local authorities’, </w:t>
      </w:r>
      <w:r w:rsidRPr="00856562">
        <w:rPr>
          <w:rFonts w:ascii="Arial" w:hAnsi="Arial"/>
          <w:i/>
          <w:iCs/>
          <w:sz w:val="22"/>
        </w:rPr>
        <w:t>Journal of Public Health</w:t>
      </w:r>
      <w:r w:rsidRPr="00856562">
        <w:rPr>
          <w:rFonts w:ascii="Arial" w:hAnsi="Arial"/>
          <w:sz w:val="22"/>
        </w:rPr>
        <w:t>, 47(2), pp. 215</w:t>
      </w:r>
      <w:r w:rsidRPr="00856562">
        <w:rPr>
          <w:rFonts w:ascii="Arial" w:hAnsi="Arial"/>
          <w:sz w:val="22"/>
        </w:rPr>
        <w:noBreakHyphen/>
      </w:r>
      <w:r w:rsidRPr="00856562">
        <w:rPr>
          <w:rFonts w:ascii="Arial" w:hAnsi="Arial"/>
          <w:sz w:val="22"/>
        </w:rPr>
        <w:t>227.</w:t>
      </w:r>
    </w:p>
    <w:p w:rsidRPr="00856562" w:rsidR="00856562" w:rsidP="00856562" w:rsidRDefault="00856562" w14:paraId="1C8FA722" w14:textId="77777777">
      <w:pPr>
        <w:spacing w:after="200" w:line="480" w:lineRule="auto"/>
        <w:rPr>
          <w:rFonts w:ascii="Arial" w:hAnsi="Arial"/>
          <w:sz w:val="22"/>
        </w:rPr>
      </w:pPr>
      <w:r w:rsidRPr="00856562">
        <w:rPr>
          <w:rFonts w:ascii="Arial" w:hAnsi="Arial"/>
          <w:sz w:val="22"/>
        </w:rPr>
        <w:t xml:space="preserve">Rogers, N.T., Adams, J., Scarborough, P. and </w:t>
      </w:r>
      <w:proofErr w:type="spellStart"/>
      <w:r w:rsidRPr="00856562">
        <w:rPr>
          <w:rFonts w:ascii="Arial" w:hAnsi="Arial"/>
          <w:sz w:val="22"/>
        </w:rPr>
        <w:t>Cobiac</w:t>
      </w:r>
      <w:proofErr w:type="spellEnd"/>
      <w:r w:rsidRPr="00856562">
        <w:rPr>
          <w:rFonts w:ascii="Arial" w:hAnsi="Arial"/>
          <w:sz w:val="22"/>
        </w:rPr>
        <w:t xml:space="preserve">, L.J. (2023) ‘Evaluating the impact of the UK soft drinks industry levy on childhood obesity prevalence: interrupted time series analysis’, </w:t>
      </w:r>
      <w:r w:rsidRPr="00856562">
        <w:rPr>
          <w:rFonts w:ascii="Arial" w:hAnsi="Arial"/>
          <w:i/>
          <w:iCs/>
          <w:sz w:val="22"/>
        </w:rPr>
        <w:t>Lancet Public Health</w:t>
      </w:r>
      <w:r w:rsidRPr="00856562">
        <w:rPr>
          <w:rFonts w:ascii="Arial" w:hAnsi="Arial"/>
          <w:sz w:val="22"/>
        </w:rPr>
        <w:t>, 8(4), pp. 312</w:t>
      </w:r>
      <w:r w:rsidRPr="00856562">
        <w:rPr>
          <w:rFonts w:ascii="Arial" w:hAnsi="Arial"/>
          <w:sz w:val="22"/>
        </w:rPr>
        <w:noBreakHyphen/>
      </w:r>
      <w:r w:rsidRPr="00856562">
        <w:rPr>
          <w:rFonts w:ascii="Arial" w:hAnsi="Arial"/>
          <w:sz w:val="22"/>
        </w:rPr>
        <w:t>320.</w:t>
      </w:r>
    </w:p>
    <w:p w:rsidRPr="00856562" w:rsidR="00856562" w:rsidP="00856562" w:rsidRDefault="00856562" w14:paraId="4E0B885C" w14:textId="77777777">
      <w:pPr>
        <w:spacing w:after="200" w:line="480" w:lineRule="auto"/>
        <w:rPr>
          <w:rFonts w:ascii="Arial" w:hAnsi="Arial"/>
          <w:sz w:val="22"/>
        </w:rPr>
      </w:pPr>
      <w:r w:rsidRPr="00856562">
        <w:rPr>
          <w:rFonts w:ascii="Arial" w:hAnsi="Arial"/>
          <w:sz w:val="22"/>
        </w:rPr>
        <w:t xml:space="preserve">Royal College of Paediatrics and Child Health (2025) </w:t>
      </w:r>
      <w:r w:rsidRPr="00856562">
        <w:rPr>
          <w:rFonts w:ascii="Arial" w:hAnsi="Arial"/>
          <w:i/>
          <w:iCs/>
          <w:sz w:val="22"/>
        </w:rPr>
        <w:t>Child health services and obesity prevention: policy briefing</w:t>
      </w:r>
      <w:r w:rsidRPr="00856562">
        <w:rPr>
          <w:rFonts w:ascii="Arial" w:hAnsi="Arial"/>
          <w:sz w:val="22"/>
        </w:rPr>
        <w:t>. RCPCH.</w:t>
      </w:r>
    </w:p>
    <w:p w:rsidRPr="00856562" w:rsidR="00856562" w:rsidP="00856562" w:rsidRDefault="00856562" w14:paraId="2B7B166D" w14:textId="77777777">
      <w:pPr>
        <w:spacing w:after="200" w:line="480" w:lineRule="auto"/>
        <w:rPr>
          <w:rFonts w:ascii="Arial" w:hAnsi="Arial"/>
          <w:sz w:val="22"/>
        </w:rPr>
      </w:pPr>
      <w:r w:rsidRPr="00856562">
        <w:rPr>
          <w:rFonts w:ascii="Arial" w:hAnsi="Arial"/>
          <w:sz w:val="22"/>
        </w:rPr>
        <w:t xml:space="preserve">Royal College of Paediatrics and Child Health (2026) </w:t>
      </w:r>
      <w:r w:rsidRPr="00856562">
        <w:rPr>
          <w:rFonts w:ascii="Arial" w:hAnsi="Arial"/>
          <w:i/>
          <w:iCs/>
          <w:sz w:val="22"/>
        </w:rPr>
        <w:t>State of Child Health Report 2026</w:t>
      </w:r>
      <w:r w:rsidRPr="00856562">
        <w:rPr>
          <w:rFonts w:ascii="Arial" w:hAnsi="Arial"/>
          <w:sz w:val="22"/>
        </w:rPr>
        <w:t>. RCPCH.</w:t>
      </w:r>
    </w:p>
    <w:p w:rsidRPr="00856562" w:rsidR="00856562" w:rsidP="00856562" w:rsidRDefault="00856562" w14:paraId="2C1827BE" w14:textId="77777777">
      <w:pPr>
        <w:spacing w:after="200" w:line="480" w:lineRule="auto"/>
        <w:rPr>
          <w:rFonts w:ascii="Arial" w:hAnsi="Arial"/>
          <w:sz w:val="22"/>
        </w:rPr>
      </w:pPr>
      <w:r w:rsidRPr="00856562">
        <w:rPr>
          <w:rFonts w:ascii="Arial" w:hAnsi="Arial"/>
          <w:sz w:val="22"/>
        </w:rPr>
        <w:t xml:space="preserve">Royal Society for Public Health (2023) </w:t>
      </w:r>
      <w:r w:rsidRPr="00856562">
        <w:rPr>
          <w:rFonts w:ascii="Arial" w:hAnsi="Arial"/>
          <w:i/>
          <w:iCs/>
          <w:sz w:val="22"/>
        </w:rPr>
        <w:t>Voluntary sector contributions to tackling childhood obesity</w:t>
      </w:r>
      <w:r w:rsidRPr="00856562">
        <w:rPr>
          <w:rFonts w:ascii="Arial" w:hAnsi="Arial"/>
          <w:sz w:val="22"/>
        </w:rPr>
        <w:t>. RSPH.</w:t>
      </w:r>
    </w:p>
    <w:p w:rsidRPr="00856562" w:rsidR="00856562" w:rsidP="00856562" w:rsidRDefault="00856562" w14:paraId="35B97D30" w14:textId="77777777">
      <w:pPr>
        <w:spacing w:after="200" w:line="480" w:lineRule="auto"/>
        <w:rPr>
          <w:rFonts w:ascii="Arial" w:hAnsi="Arial"/>
          <w:sz w:val="22"/>
        </w:rPr>
      </w:pPr>
      <w:r w:rsidRPr="00856562">
        <w:rPr>
          <w:rFonts w:ascii="Arial" w:hAnsi="Arial"/>
          <w:sz w:val="22"/>
        </w:rPr>
        <w:t>Titis, A., Di Salvatore, E. and Procter, R. (2023) ‘Supermarket access, income and childhood obesity in England: urban</w:t>
      </w:r>
      <w:r w:rsidRPr="00856562">
        <w:rPr>
          <w:rFonts w:ascii="Arial" w:hAnsi="Arial"/>
          <w:sz w:val="22"/>
        </w:rPr>
        <w:noBreakHyphen/>
      </w:r>
      <w:r w:rsidRPr="00856562">
        <w:rPr>
          <w:rFonts w:ascii="Arial" w:hAnsi="Arial"/>
          <w:sz w:val="22"/>
        </w:rPr>
        <w:t xml:space="preserve">rural contrasts’, </w:t>
      </w:r>
      <w:r w:rsidRPr="00856562">
        <w:rPr>
          <w:rFonts w:ascii="Arial" w:hAnsi="Arial"/>
          <w:i/>
          <w:iCs/>
          <w:sz w:val="22"/>
        </w:rPr>
        <w:t>Health &amp; Place</w:t>
      </w:r>
      <w:r w:rsidRPr="00856562">
        <w:rPr>
          <w:rFonts w:ascii="Arial" w:hAnsi="Arial"/>
          <w:sz w:val="22"/>
        </w:rPr>
        <w:t>, 79, 102987.</w:t>
      </w:r>
    </w:p>
    <w:p w:rsidRPr="00856562" w:rsidR="00233CC7" w:rsidP="00233CC7" w:rsidRDefault="00233CC7" w14:paraId="45ACF75D" w14:textId="77777777">
      <w:pPr>
        <w:spacing w:after="200" w:line="480" w:lineRule="auto"/>
        <w:jc w:val="both"/>
        <w:rPr>
          <w:rFonts w:ascii="Arial" w:hAnsi="Arial"/>
          <w:sz w:val="22"/>
        </w:rPr>
      </w:pPr>
    </w:p>
    <w:sectPr w:rsidRPr="00856562" w:rsidR="00233CC7">
      <w:pgSz w:w="11906" w:h="16838" w:orient="portrait"/>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C86B26"/>
    <w:multiLevelType w:val="hybridMultilevel"/>
    <w:tmpl w:val="CBF05A9A"/>
    <w:lvl w:ilvl="0" w:tplc="18BC607C">
      <w:start w:val="1"/>
      <w:numFmt w:val="bullet"/>
      <w:lvlText w:val="●"/>
      <w:lvlJc w:val="left"/>
      <w:pPr>
        <w:ind w:left="720" w:hanging="360"/>
      </w:pPr>
    </w:lvl>
    <w:lvl w:ilvl="1" w:tplc="E90279B4">
      <w:start w:val="1"/>
      <w:numFmt w:val="bullet"/>
      <w:lvlText w:val="○"/>
      <w:lvlJc w:val="left"/>
      <w:pPr>
        <w:ind w:left="1440" w:hanging="360"/>
      </w:pPr>
    </w:lvl>
    <w:lvl w:ilvl="2" w:tplc="5B5AE42C">
      <w:start w:val="1"/>
      <w:numFmt w:val="bullet"/>
      <w:lvlText w:val="■"/>
      <w:lvlJc w:val="left"/>
      <w:pPr>
        <w:ind w:left="2160" w:hanging="360"/>
      </w:pPr>
    </w:lvl>
    <w:lvl w:ilvl="3" w:tplc="E72883B8">
      <w:start w:val="1"/>
      <w:numFmt w:val="bullet"/>
      <w:lvlText w:val="●"/>
      <w:lvlJc w:val="left"/>
      <w:pPr>
        <w:ind w:left="2880" w:hanging="360"/>
      </w:pPr>
    </w:lvl>
    <w:lvl w:ilvl="4" w:tplc="8CFADF26">
      <w:start w:val="1"/>
      <w:numFmt w:val="bullet"/>
      <w:lvlText w:val="○"/>
      <w:lvlJc w:val="left"/>
      <w:pPr>
        <w:ind w:left="3600" w:hanging="360"/>
      </w:pPr>
    </w:lvl>
    <w:lvl w:ilvl="5" w:tplc="73ECAEDC">
      <w:start w:val="1"/>
      <w:numFmt w:val="bullet"/>
      <w:lvlText w:val="■"/>
      <w:lvlJc w:val="left"/>
      <w:pPr>
        <w:ind w:left="4320" w:hanging="360"/>
      </w:pPr>
    </w:lvl>
    <w:lvl w:ilvl="6" w:tplc="9B081B6A">
      <w:start w:val="1"/>
      <w:numFmt w:val="bullet"/>
      <w:lvlText w:val="●"/>
      <w:lvlJc w:val="left"/>
      <w:pPr>
        <w:ind w:left="5040" w:hanging="360"/>
      </w:pPr>
    </w:lvl>
    <w:lvl w:ilvl="7" w:tplc="FC364020">
      <w:start w:val="1"/>
      <w:numFmt w:val="bullet"/>
      <w:lvlText w:val="●"/>
      <w:lvlJc w:val="left"/>
      <w:pPr>
        <w:ind w:left="5760" w:hanging="360"/>
      </w:pPr>
    </w:lvl>
    <w:lvl w:ilvl="8" w:tplc="A06E02DC">
      <w:start w:val="1"/>
      <w:numFmt w:val="bullet"/>
      <w:lvlText w:val="●"/>
      <w:lvlJc w:val="left"/>
      <w:pPr>
        <w:ind w:left="6480" w:hanging="360"/>
      </w:pPr>
    </w:lvl>
  </w:abstractNum>
  <w:abstractNum w:abstractNumId="1" w15:restartNumberingAfterBreak="0">
    <w:nsid w:val="68781C18"/>
    <w:multiLevelType w:val="multilevel"/>
    <w:tmpl w:val="D2FEE0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186627466">
    <w:abstractNumId w:val="0"/>
    <w:lvlOverride w:ilvl="0">
      <w:startOverride w:val="1"/>
    </w:lvlOverride>
  </w:num>
  <w:num w:numId="2" w16cid:durableId="719668378">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displayBackgroundShape/>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473A"/>
    <w:rsid w:val="00000000"/>
    <w:rsid w:val="000659FA"/>
    <w:rsid w:val="00233CC7"/>
    <w:rsid w:val="00856562"/>
    <w:rsid w:val="00B7473A"/>
    <w:rsid w:val="00D10E78"/>
    <w:rsid w:val="00EF1333"/>
    <w:rsid w:val="00FE1A8D"/>
    <w:rsid w:val="0744915D"/>
    <w:rsid w:val="08C001D0"/>
    <w:rsid w:val="0D7057A7"/>
    <w:rsid w:val="111549B0"/>
    <w:rsid w:val="20EE10AF"/>
    <w:rsid w:val="22D94CD1"/>
    <w:rsid w:val="24149AE2"/>
    <w:rsid w:val="3DBA49AC"/>
    <w:rsid w:val="4E073AFA"/>
    <w:rsid w:val="5705781E"/>
    <w:rsid w:val="6E55E7A3"/>
    <w:rsid w:val="7A042861"/>
    <w:rsid w:val="7C5DD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4CB5B"/>
  <w15:docId w15:val="{5A549E74-1393-4B5F-B0D5-9FADC0035B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styleId="EndnoteTextChar" w:customStyle="1">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233CC7"/>
    <w:rPr>
      <w:color w:val="605E5C"/>
      <w:shd w:val="clear" w:color="auto" w:fill="E1DFDD"/>
    </w:rPr>
  </w:style>
  <w:style w:type="paragraph" w:styleId="TOCHeading">
    <w:name w:val="TOC Heading"/>
    <w:basedOn w:val="Heading1"/>
    <w:next w:val="Normal"/>
    <w:uiPriority w:val="39"/>
    <w:unhideWhenUsed/>
    <w:qFormat/>
    <w:rsid w:val="00D10E78"/>
    <w:pPr>
      <w:keepNext/>
      <w:keepLines/>
      <w:spacing w:before="240" w:line="259" w:lineRule="auto"/>
      <w:outlineLvl w:val="9"/>
    </w:pPr>
    <w:rPr>
      <w:rFonts w:asciiTheme="majorHAnsi" w:hAnsiTheme="majorHAnsi" w:eastAsiaTheme="majorEastAsia" w:cstheme="majorBidi"/>
      <w:color w:val="2F5496" w:themeColor="accent1" w:themeShade="BF"/>
      <w:lang w:val="en-US" w:eastAsia="en-US"/>
    </w:rPr>
  </w:style>
  <w:style w:type="paragraph" w:styleId="TOC1">
    <w:name w:val="toc 1"/>
    <w:basedOn w:val="Normal"/>
    <w:next w:val="Normal"/>
    <w:autoRedefine/>
    <w:uiPriority w:val="39"/>
    <w:unhideWhenUsed/>
    <w:rsid w:val="00D10E78"/>
    <w:pPr>
      <w:spacing w:after="100"/>
    </w:pPr>
  </w:style>
  <w:style w:type="paragraph" w:styleId="TOC2">
    <w:name w:val="toc 2"/>
    <w:basedOn w:val="Normal"/>
    <w:next w:val="Normal"/>
    <w:autoRedefine/>
    <w:uiPriority w:val="39"/>
    <w:unhideWhenUsed/>
    <w:rsid w:val="00D10E78"/>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bing.com/search?q=%22https%3A%2F%2Fwww.gov.uk%2Fgovernment%2Fpublications%2Fschool-food-standards-resources-for-schools%22&amp;utm_source=copilot.com" TargetMode="External" Id="rId8" /><Relationship Type="http://schemas.openxmlformats.org/officeDocument/2006/relationships/hyperlink" Target="https://www.bing.com/search?q=%22https%3A%2F%2Fwww.health.org.uk%2Fpublications%2Freports%2Fthe-marmot-review-10-years-on%22&amp;utm_source=copilot.com" TargetMode="External" Id="rId13" /><Relationship Type="http://schemas.openxmlformats.org/officeDocument/2006/relationships/styles" Target="styles.xml" Id="rId3" /><Relationship Type="http://schemas.openxmlformats.org/officeDocument/2006/relationships/hyperlink" Target="https://www.bing.com/search?q=%22https%3A%2F%2Fdoi.org%2F10.1136%2Fbmjopen-2023-076479%22&amp;utm_source=copilot.com" TargetMode="External" Id="rId7" /><Relationship Type="http://schemas.openxmlformats.org/officeDocument/2006/relationships/hyperlink" Target="https://www.bing.com/search?q=%22https%3A%2F%2Fwww.local.gov.uk%2Fpublications%2Ftowards-healthy-weight-local-government-action-improve-childrens-health%22&amp;utm_source=copilot.com" TargetMode="Externa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hyperlink" Target="https://www.bing.com/search?q=%22https%3A%2F%2Fifs.org.uk%2Fpublications%2Fcosts-obesity%22&amp;utm_source=copilot.com" TargetMode="Externa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yperlink" Target="https://www.bing.com/search?q=%22https%3A%2F%2Fdoi.org%2F10.1186%2Fs12916-023-03124-x%22&amp;utm_source=copilot.com" TargetMode="External" Id="rId10" /><Relationship Type="http://schemas.openxmlformats.org/officeDocument/2006/relationships/settings" Target="settings.xml" Id="rId4" /><Relationship Type="http://schemas.openxmlformats.org/officeDocument/2006/relationships/hyperlink" Target="https://www.bing.com/search?q=%22https%3A%2F%2Fwww.ethnicity-facts-figures.service.gov.uk%2Fhealth%2Fdiet-and-exercise%2Foverweight-children%2Flatest%2F%22&amp;utm_source=copilot.com" TargetMode="External" Id="rId9" /><Relationship Type="http://schemas.openxmlformats.org/officeDocument/2006/relationships/hyperlink" Target="https://www.bing.com/search?q=%22https%3A%2F%2Fwww.england.nhs.uk%2F2023%2Fnhs-to-open-new-specialist-clinics-for-obese-children-and-young-people%22&amp;utm_source=copilot.com"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AD0FA7-DCEB-46CE-82D4-4301C5E6C8C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Huma Zafar (2324433)</lastModifiedBy>
  <revision>3</revision>
  <dcterms:created xsi:type="dcterms:W3CDTF">2026-07-21T12:50:00.0000000Z</dcterms:created>
  <dcterms:modified xsi:type="dcterms:W3CDTF">2026-07-22T12:11:55.8914649Z</dcterms:modified>
</coreProperties>
</file>