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CE5949" w14:textId="77777777" w:rsidR="005C43AD" w:rsidRPr="005D7DD1" w:rsidRDefault="00DD3A57" w:rsidP="005D7DD1">
      <w:pPr>
        <w:spacing w:before="120" w:after="120" w:line="360" w:lineRule="auto"/>
        <w:jc w:val="center"/>
        <w:rPr>
          <w:rFonts w:ascii="Arial" w:hAnsi="Arial" w:cs="Arial"/>
          <w:sz w:val="32"/>
          <w:szCs w:val="32"/>
        </w:rPr>
      </w:pPr>
      <w:r w:rsidRPr="005D7DD1">
        <w:rPr>
          <w:rFonts w:ascii="Arial" w:eastAsia="Arial" w:hAnsi="Arial" w:cs="Arial"/>
          <w:b/>
          <w:bCs/>
          <w:sz w:val="32"/>
          <w:szCs w:val="32"/>
        </w:rPr>
        <w:t>MSc Public Health and Social Care in Practice</w:t>
      </w:r>
    </w:p>
    <w:p w14:paraId="1ACE594A" w14:textId="77777777" w:rsidR="005C43AD" w:rsidRDefault="005C43AD" w:rsidP="005D7DD1">
      <w:pPr>
        <w:spacing w:line="360" w:lineRule="auto"/>
        <w:jc w:val="center"/>
        <w:rPr>
          <w:rFonts w:ascii="Arial" w:hAnsi="Arial" w:cs="Arial"/>
          <w:sz w:val="32"/>
          <w:szCs w:val="32"/>
        </w:rPr>
      </w:pPr>
    </w:p>
    <w:p w14:paraId="687EADD2" w14:textId="77777777" w:rsidR="005D7DD1" w:rsidRPr="005D7DD1" w:rsidRDefault="005D7DD1" w:rsidP="005D7DD1">
      <w:pPr>
        <w:spacing w:line="360" w:lineRule="auto"/>
        <w:jc w:val="center"/>
        <w:rPr>
          <w:rFonts w:ascii="Arial" w:hAnsi="Arial" w:cs="Arial"/>
          <w:sz w:val="32"/>
          <w:szCs w:val="32"/>
        </w:rPr>
      </w:pPr>
    </w:p>
    <w:p w14:paraId="1ACE594B" w14:textId="77777777" w:rsidR="005C43AD" w:rsidRPr="005D7DD1" w:rsidRDefault="00DD3A57" w:rsidP="005D7DD1">
      <w:pPr>
        <w:spacing w:before="120" w:after="120" w:line="360" w:lineRule="auto"/>
        <w:jc w:val="center"/>
        <w:rPr>
          <w:rFonts w:ascii="Arial" w:hAnsi="Arial" w:cs="Arial"/>
          <w:sz w:val="32"/>
          <w:szCs w:val="32"/>
        </w:rPr>
      </w:pPr>
      <w:r w:rsidRPr="005D7DD1">
        <w:rPr>
          <w:rFonts w:ascii="Arial" w:eastAsia="Arial" w:hAnsi="Arial" w:cs="Arial"/>
          <w:sz w:val="32"/>
          <w:szCs w:val="32"/>
        </w:rPr>
        <w:t>Module: Service Integration and Partnership Working</w:t>
      </w:r>
    </w:p>
    <w:p w14:paraId="1ACE594C" w14:textId="77777777" w:rsidR="005C43AD" w:rsidRPr="005D7DD1" w:rsidRDefault="00DD3A57" w:rsidP="005D7DD1">
      <w:pPr>
        <w:spacing w:before="120" w:after="120" w:line="360" w:lineRule="auto"/>
        <w:jc w:val="center"/>
        <w:rPr>
          <w:rFonts w:ascii="Arial" w:hAnsi="Arial" w:cs="Arial"/>
          <w:sz w:val="32"/>
          <w:szCs w:val="32"/>
        </w:rPr>
      </w:pPr>
      <w:r w:rsidRPr="005D7DD1">
        <w:rPr>
          <w:rFonts w:ascii="Arial" w:eastAsia="Arial" w:hAnsi="Arial" w:cs="Arial"/>
          <w:sz w:val="32"/>
          <w:szCs w:val="32"/>
        </w:rPr>
        <w:t>Module Code: LCHS7005</w:t>
      </w:r>
    </w:p>
    <w:p w14:paraId="1ACE594D" w14:textId="77777777" w:rsidR="005C43AD" w:rsidRPr="005D7DD1" w:rsidRDefault="00DD3A57" w:rsidP="005D7DD1">
      <w:pPr>
        <w:spacing w:before="120" w:after="120" w:line="360" w:lineRule="auto"/>
        <w:jc w:val="center"/>
        <w:rPr>
          <w:rFonts w:ascii="Arial" w:hAnsi="Arial" w:cs="Arial"/>
          <w:sz w:val="32"/>
          <w:szCs w:val="32"/>
        </w:rPr>
      </w:pPr>
      <w:r w:rsidRPr="005D7DD1">
        <w:rPr>
          <w:rFonts w:ascii="Arial" w:eastAsia="Arial" w:hAnsi="Arial" w:cs="Arial"/>
          <w:sz w:val="32"/>
          <w:szCs w:val="32"/>
        </w:rPr>
        <w:t>Lecturer: Diola Bijlhout</w:t>
      </w:r>
    </w:p>
    <w:p w14:paraId="1ACE594E" w14:textId="77777777" w:rsidR="005C43AD" w:rsidRDefault="005C43AD" w:rsidP="005D7DD1">
      <w:pPr>
        <w:spacing w:line="360" w:lineRule="auto"/>
        <w:jc w:val="center"/>
        <w:rPr>
          <w:rFonts w:ascii="Arial" w:hAnsi="Arial" w:cs="Arial"/>
          <w:sz w:val="32"/>
          <w:szCs w:val="32"/>
        </w:rPr>
      </w:pPr>
    </w:p>
    <w:p w14:paraId="376E8A25" w14:textId="77777777" w:rsidR="005D7DD1" w:rsidRPr="005D7DD1" w:rsidRDefault="005D7DD1" w:rsidP="005D7DD1">
      <w:pPr>
        <w:spacing w:line="360" w:lineRule="auto"/>
        <w:jc w:val="center"/>
        <w:rPr>
          <w:rFonts w:ascii="Arial" w:hAnsi="Arial" w:cs="Arial"/>
          <w:sz w:val="32"/>
          <w:szCs w:val="32"/>
        </w:rPr>
      </w:pPr>
    </w:p>
    <w:p w14:paraId="1ACE594F" w14:textId="77777777" w:rsidR="005C43AD" w:rsidRPr="005D7DD1" w:rsidRDefault="00DD3A57" w:rsidP="005D7DD1">
      <w:pPr>
        <w:spacing w:before="120" w:after="120" w:line="360" w:lineRule="auto"/>
        <w:jc w:val="center"/>
        <w:rPr>
          <w:rFonts w:ascii="Arial" w:hAnsi="Arial" w:cs="Arial"/>
          <w:sz w:val="32"/>
          <w:szCs w:val="32"/>
        </w:rPr>
      </w:pPr>
      <w:r w:rsidRPr="005D7DD1">
        <w:rPr>
          <w:rFonts w:ascii="Arial" w:eastAsia="Arial" w:hAnsi="Arial" w:cs="Arial"/>
          <w:b/>
          <w:bCs/>
          <w:sz w:val="32"/>
          <w:szCs w:val="32"/>
        </w:rPr>
        <w:t>Assignment Title: Component 2 — Reflective Report</w:t>
      </w:r>
    </w:p>
    <w:p w14:paraId="1ACE5951" w14:textId="77777777" w:rsidR="005C43AD" w:rsidRDefault="005C43AD" w:rsidP="005D7DD1">
      <w:pPr>
        <w:spacing w:line="360" w:lineRule="auto"/>
        <w:jc w:val="center"/>
        <w:rPr>
          <w:rFonts w:ascii="Arial" w:hAnsi="Arial" w:cs="Arial"/>
          <w:sz w:val="32"/>
          <w:szCs w:val="32"/>
        </w:rPr>
      </w:pPr>
    </w:p>
    <w:p w14:paraId="43B2C3DB" w14:textId="77777777" w:rsidR="005D7DD1" w:rsidRPr="005D7DD1" w:rsidRDefault="005D7DD1" w:rsidP="005D7DD1">
      <w:pPr>
        <w:spacing w:line="360" w:lineRule="auto"/>
        <w:jc w:val="center"/>
        <w:rPr>
          <w:rFonts w:ascii="Arial" w:hAnsi="Arial" w:cs="Arial"/>
          <w:sz w:val="32"/>
          <w:szCs w:val="32"/>
        </w:rPr>
      </w:pPr>
    </w:p>
    <w:p w14:paraId="1ACE5952" w14:textId="77777777" w:rsidR="005C43AD" w:rsidRPr="005D7DD1" w:rsidRDefault="00DD3A57" w:rsidP="005D7DD1">
      <w:pPr>
        <w:spacing w:before="120" w:after="120" w:line="360" w:lineRule="auto"/>
        <w:jc w:val="center"/>
        <w:rPr>
          <w:rFonts w:ascii="Arial" w:hAnsi="Arial" w:cs="Arial"/>
          <w:sz w:val="32"/>
          <w:szCs w:val="32"/>
        </w:rPr>
      </w:pPr>
      <w:r w:rsidRPr="005D7DD1">
        <w:rPr>
          <w:rFonts w:ascii="Arial" w:eastAsia="Arial" w:hAnsi="Arial" w:cs="Arial"/>
          <w:sz w:val="32"/>
          <w:szCs w:val="32"/>
        </w:rPr>
        <w:t>Student Name: Krishna Snehalgiri Goswami</w:t>
      </w:r>
    </w:p>
    <w:p w14:paraId="1ACE5953" w14:textId="77777777" w:rsidR="005C43AD" w:rsidRPr="005D7DD1" w:rsidRDefault="00DD3A57" w:rsidP="005D7DD1">
      <w:pPr>
        <w:spacing w:before="120" w:after="120" w:line="360" w:lineRule="auto"/>
        <w:jc w:val="center"/>
        <w:rPr>
          <w:rFonts w:ascii="Arial" w:hAnsi="Arial" w:cs="Arial"/>
          <w:sz w:val="32"/>
          <w:szCs w:val="32"/>
        </w:rPr>
      </w:pPr>
      <w:r w:rsidRPr="005D7DD1">
        <w:rPr>
          <w:rFonts w:ascii="Arial" w:eastAsia="Arial" w:hAnsi="Arial" w:cs="Arial"/>
          <w:sz w:val="32"/>
          <w:szCs w:val="32"/>
        </w:rPr>
        <w:t>Student Number: 2436890</w:t>
      </w:r>
    </w:p>
    <w:p w14:paraId="1ACE5955" w14:textId="5932DC17" w:rsidR="005C43AD" w:rsidRPr="00E34333" w:rsidRDefault="00DD3A57" w:rsidP="002C71F6">
      <w:pPr>
        <w:spacing w:before="120" w:after="120" w:line="360" w:lineRule="auto"/>
        <w:jc w:val="center"/>
        <w:rPr>
          <w:rFonts w:ascii="Arial" w:hAnsi="Arial" w:cs="Arial"/>
          <w:sz w:val="22"/>
          <w:szCs w:val="22"/>
        </w:rPr>
      </w:pPr>
      <w:r w:rsidRPr="005D7DD1">
        <w:rPr>
          <w:rFonts w:ascii="Arial" w:eastAsia="Arial" w:hAnsi="Arial" w:cs="Arial"/>
          <w:sz w:val="32"/>
          <w:szCs w:val="32"/>
        </w:rPr>
        <w:t>Submission Date: 27th April 2026</w:t>
      </w:r>
    </w:p>
    <w:p w14:paraId="2DA5AEB8" w14:textId="77777777" w:rsidR="00620C69" w:rsidRPr="00E34333" w:rsidRDefault="00620C69" w:rsidP="00BD46EF">
      <w:pPr>
        <w:spacing w:line="360" w:lineRule="auto"/>
        <w:jc w:val="both"/>
        <w:rPr>
          <w:rFonts w:ascii="Arial" w:eastAsia="Arial" w:hAnsi="Arial" w:cs="Arial"/>
          <w:b/>
          <w:bCs/>
          <w:sz w:val="22"/>
          <w:szCs w:val="22"/>
          <w:u w:val="single"/>
        </w:rPr>
      </w:pPr>
      <w:r w:rsidRPr="00E34333">
        <w:rPr>
          <w:rFonts w:ascii="Arial" w:eastAsia="Arial" w:hAnsi="Arial" w:cs="Arial"/>
          <w:b/>
          <w:bCs/>
          <w:sz w:val="22"/>
          <w:szCs w:val="22"/>
          <w:u w:val="single"/>
        </w:rPr>
        <w:br w:type="page"/>
      </w:r>
    </w:p>
    <w:p w14:paraId="1ACE5956" w14:textId="4FD61C1E" w:rsidR="005C43AD" w:rsidRPr="00E34333" w:rsidRDefault="00DD3A57" w:rsidP="00BD46EF">
      <w:pPr>
        <w:pStyle w:val="Heading1"/>
      </w:pPr>
      <w:r w:rsidRPr="00E34333">
        <w:lastRenderedPageBreak/>
        <w:t>INTRODUCTION</w:t>
      </w:r>
    </w:p>
    <w:p w14:paraId="1ACE5957" w14:textId="19B2A184" w:rsidR="005C43AD" w:rsidRPr="00E34333" w:rsidRDefault="00B63CF1" w:rsidP="00BD46EF">
      <w:pPr>
        <w:spacing w:after="160" w:line="360" w:lineRule="auto"/>
        <w:jc w:val="both"/>
        <w:rPr>
          <w:rFonts w:ascii="Arial" w:hAnsi="Arial" w:cs="Arial"/>
          <w:sz w:val="22"/>
          <w:szCs w:val="22"/>
        </w:rPr>
      </w:pPr>
      <w:r w:rsidRPr="00E34333">
        <w:rPr>
          <w:rFonts w:ascii="Arial" w:eastAsia="Arial" w:hAnsi="Arial" w:cs="Arial"/>
          <w:sz w:val="22"/>
          <w:szCs w:val="22"/>
        </w:rPr>
        <w:t xml:space="preserve">Service integration and partnership working </w:t>
      </w:r>
      <w:r w:rsidR="00156383" w:rsidRPr="00156383">
        <w:rPr>
          <w:rFonts w:ascii="Arial" w:eastAsia="Arial" w:hAnsi="Arial" w:cs="Arial"/>
          <w:sz w:val="22"/>
          <w:szCs w:val="22"/>
        </w:rPr>
        <w:t>have become defining priorities</w:t>
      </w:r>
      <w:r w:rsidRPr="00E34333">
        <w:rPr>
          <w:rFonts w:ascii="Arial" w:eastAsia="Arial" w:hAnsi="Arial" w:cs="Arial"/>
          <w:sz w:val="22"/>
          <w:szCs w:val="22"/>
        </w:rPr>
        <w:t xml:space="preserve"> </w:t>
      </w:r>
      <w:r w:rsidR="00D258A2">
        <w:rPr>
          <w:rFonts w:ascii="Arial" w:eastAsia="Arial" w:hAnsi="Arial" w:cs="Arial"/>
          <w:sz w:val="22"/>
          <w:szCs w:val="22"/>
        </w:rPr>
        <w:t>in the modern policy for health and social care (HSC) in England, as long-term conditions have grown in number and long-standing fragmentation persists</w:t>
      </w:r>
      <w:r w:rsidRPr="00E34333">
        <w:rPr>
          <w:rFonts w:ascii="Arial" w:eastAsia="Arial" w:hAnsi="Arial" w:cs="Arial"/>
          <w:sz w:val="22"/>
          <w:szCs w:val="22"/>
        </w:rPr>
        <w:t xml:space="preserve"> across organisational boundaries (NHS England, 2019). </w:t>
      </w:r>
      <w:r w:rsidR="00E33A37" w:rsidRPr="00E33A37">
        <w:rPr>
          <w:rFonts w:ascii="Arial" w:eastAsia="Arial" w:hAnsi="Arial" w:cs="Arial"/>
          <w:sz w:val="22"/>
          <w:szCs w:val="22"/>
        </w:rPr>
        <w:t>This reflective report</w:t>
      </w:r>
      <w:r w:rsidRPr="00E34333">
        <w:rPr>
          <w:rFonts w:ascii="Arial" w:eastAsia="Arial" w:hAnsi="Arial" w:cs="Arial"/>
          <w:sz w:val="22"/>
          <w:szCs w:val="22"/>
        </w:rPr>
        <w:t xml:space="preserve"> critically evaluates my learning during the LCHS7005 module based on my experience as Group Leader in the development of DiaWell LU4 - proposed integrated diabetes care and prevention centre serving </w:t>
      </w:r>
      <w:r w:rsidR="005C7F87">
        <w:rPr>
          <w:rFonts w:ascii="Arial" w:eastAsia="Arial" w:hAnsi="Arial" w:cs="Arial"/>
          <w:sz w:val="22"/>
          <w:szCs w:val="22"/>
        </w:rPr>
        <w:t xml:space="preserve">the </w:t>
      </w:r>
      <w:r w:rsidRPr="00E34333">
        <w:rPr>
          <w:rFonts w:ascii="Arial" w:eastAsia="Arial" w:hAnsi="Arial" w:cs="Arial"/>
          <w:sz w:val="22"/>
          <w:szCs w:val="22"/>
        </w:rPr>
        <w:t>community of LU4 in Luton</w:t>
      </w:r>
      <w:r w:rsidR="005C7F87">
        <w:rPr>
          <w:rFonts w:ascii="Arial" w:eastAsia="Arial" w:hAnsi="Arial" w:cs="Arial"/>
          <w:sz w:val="22"/>
          <w:szCs w:val="22"/>
        </w:rPr>
        <w:t>,</w:t>
      </w:r>
      <w:r w:rsidRPr="00E34333">
        <w:rPr>
          <w:rFonts w:ascii="Arial" w:eastAsia="Arial" w:hAnsi="Arial" w:cs="Arial"/>
          <w:sz w:val="22"/>
          <w:szCs w:val="22"/>
        </w:rPr>
        <w:t xml:space="preserve"> which is a partnership between the NHS and Luton Borough Council. The sample population included </w:t>
      </w:r>
      <w:r w:rsidR="00D258A2" w:rsidRPr="00D258A2">
        <w:rPr>
          <w:rFonts w:ascii="Arial" w:eastAsia="Arial" w:hAnsi="Arial" w:cs="Arial"/>
          <w:sz w:val="22"/>
          <w:szCs w:val="22"/>
        </w:rPr>
        <w:t>adults aged 17 and above living with, or at risk of, Type 2 diabetes in Luton</w:t>
      </w:r>
      <w:r w:rsidRPr="00E34333">
        <w:rPr>
          <w:rFonts w:ascii="Arial" w:eastAsia="Arial" w:hAnsi="Arial" w:cs="Arial"/>
          <w:sz w:val="22"/>
          <w:szCs w:val="22"/>
        </w:rPr>
        <w:t>, where the prevalence of diabetes has been 9.6% compared with 7.5% nationally (Luton Borough Council, 2024).</w:t>
      </w:r>
    </w:p>
    <w:p w14:paraId="1ACE5958" w14:textId="32FDCFEB" w:rsidR="005C43AD" w:rsidRPr="00E34333" w:rsidRDefault="008E4C50" w:rsidP="00BD46EF">
      <w:pPr>
        <w:spacing w:after="160" w:line="360" w:lineRule="auto"/>
        <w:jc w:val="both"/>
        <w:rPr>
          <w:rFonts w:ascii="Arial" w:hAnsi="Arial" w:cs="Arial"/>
          <w:sz w:val="22"/>
          <w:szCs w:val="22"/>
        </w:rPr>
      </w:pPr>
      <w:r w:rsidRPr="00E34333">
        <w:rPr>
          <w:rFonts w:ascii="Arial" w:eastAsia="Arial" w:hAnsi="Arial" w:cs="Arial"/>
          <w:sz w:val="22"/>
          <w:szCs w:val="22"/>
        </w:rPr>
        <w:t xml:space="preserve">This report is structured according to </w:t>
      </w:r>
      <w:r w:rsidR="00D258A2">
        <w:rPr>
          <w:rFonts w:ascii="Arial" w:eastAsia="Arial" w:hAnsi="Arial" w:cs="Arial"/>
          <w:sz w:val="22"/>
          <w:szCs w:val="22"/>
        </w:rPr>
        <w:t>Gibbs' (1988) Reflective Cycle form of analysis and critically reflects on the context of population need, the principles and frameworks underpinning integration, collaborative group-working dynamics,</w:t>
      </w:r>
      <w:r w:rsidRPr="00E34333">
        <w:rPr>
          <w:rFonts w:ascii="Arial" w:eastAsia="Arial" w:hAnsi="Arial" w:cs="Arial"/>
          <w:sz w:val="22"/>
          <w:szCs w:val="22"/>
        </w:rPr>
        <w:t xml:space="preserve"> and the competencies needed by professionals to work efficiently in integrated care. Throughout</w:t>
      </w:r>
      <w:r w:rsidR="005C7F87">
        <w:rPr>
          <w:rFonts w:ascii="Arial" w:eastAsia="Arial" w:hAnsi="Arial" w:cs="Arial"/>
          <w:sz w:val="22"/>
          <w:szCs w:val="22"/>
        </w:rPr>
        <w:t xml:space="preserve"> the</w:t>
      </w:r>
      <w:r w:rsidRPr="00E34333">
        <w:rPr>
          <w:rFonts w:ascii="Arial" w:eastAsia="Arial" w:hAnsi="Arial" w:cs="Arial"/>
          <w:sz w:val="22"/>
          <w:szCs w:val="22"/>
        </w:rPr>
        <w:t xml:space="preserve"> academic literature, national policy, and professional observation are relied on to </w:t>
      </w:r>
      <w:r w:rsidR="009B7763" w:rsidRPr="009B7763">
        <w:rPr>
          <w:rFonts w:ascii="Arial" w:eastAsia="Arial" w:hAnsi="Arial" w:cs="Arial"/>
          <w:sz w:val="22"/>
          <w:szCs w:val="22"/>
        </w:rPr>
        <w:t>produce an honest and analytically informed account</w:t>
      </w:r>
      <w:r w:rsidRPr="00E34333">
        <w:rPr>
          <w:rFonts w:ascii="Arial" w:eastAsia="Arial" w:hAnsi="Arial" w:cs="Arial"/>
          <w:sz w:val="22"/>
          <w:szCs w:val="22"/>
        </w:rPr>
        <w:t xml:space="preserve"> </w:t>
      </w:r>
      <w:r w:rsidR="00952F2F">
        <w:rPr>
          <w:rFonts w:ascii="Arial" w:eastAsia="Arial" w:hAnsi="Arial" w:cs="Arial"/>
          <w:sz w:val="22"/>
          <w:szCs w:val="22"/>
        </w:rPr>
        <w:t>of</w:t>
      </w:r>
      <w:r w:rsidRPr="00E34333">
        <w:rPr>
          <w:rFonts w:ascii="Arial" w:eastAsia="Arial" w:hAnsi="Arial" w:cs="Arial"/>
          <w:sz w:val="22"/>
          <w:szCs w:val="22"/>
        </w:rPr>
        <w:t xml:space="preserve"> my development.</w:t>
      </w:r>
    </w:p>
    <w:p w14:paraId="1ACE5959" w14:textId="6B2D680E" w:rsidR="005C43AD" w:rsidRPr="00E34333" w:rsidRDefault="00DD3A57" w:rsidP="00BD46EF">
      <w:pPr>
        <w:pStyle w:val="Heading1"/>
      </w:pPr>
      <w:r w:rsidRPr="00E34333">
        <w:t>CONTEXT</w:t>
      </w:r>
    </w:p>
    <w:p w14:paraId="1ACE595A" w14:textId="7A201DCE" w:rsidR="005C43AD" w:rsidRPr="00E34333" w:rsidRDefault="00C419BE" w:rsidP="00BD46EF">
      <w:pPr>
        <w:spacing w:after="160" w:line="360" w:lineRule="auto"/>
        <w:jc w:val="both"/>
        <w:rPr>
          <w:rFonts w:ascii="Arial" w:hAnsi="Arial" w:cs="Arial"/>
          <w:sz w:val="22"/>
          <w:szCs w:val="22"/>
        </w:rPr>
      </w:pPr>
      <w:r w:rsidRPr="00E34333">
        <w:rPr>
          <w:rFonts w:ascii="Arial" w:eastAsia="Arial" w:hAnsi="Arial" w:cs="Arial"/>
          <w:sz w:val="22"/>
          <w:szCs w:val="22"/>
        </w:rPr>
        <w:t xml:space="preserve">When </w:t>
      </w:r>
      <w:r w:rsidR="0008614F" w:rsidRPr="0008614F">
        <w:rPr>
          <w:rFonts w:ascii="Arial" w:eastAsia="Arial" w:hAnsi="Arial" w:cs="Arial"/>
          <w:sz w:val="22"/>
          <w:szCs w:val="22"/>
        </w:rPr>
        <w:t>reflecting</w:t>
      </w:r>
      <w:r w:rsidRPr="00E34333">
        <w:rPr>
          <w:rFonts w:ascii="Arial" w:eastAsia="Arial" w:hAnsi="Arial" w:cs="Arial"/>
          <w:sz w:val="22"/>
          <w:szCs w:val="22"/>
        </w:rPr>
        <w:t xml:space="preserve"> </w:t>
      </w:r>
      <w:r w:rsidR="00952F2F">
        <w:rPr>
          <w:rFonts w:ascii="Arial" w:eastAsia="Arial" w:hAnsi="Arial" w:cs="Arial"/>
          <w:sz w:val="22"/>
          <w:szCs w:val="22"/>
        </w:rPr>
        <w:t>on</w:t>
      </w:r>
      <w:r w:rsidRPr="00E34333">
        <w:rPr>
          <w:rFonts w:ascii="Arial" w:eastAsia="Arial" w:hAnsi="Arial" w:cs="Arial"/>
          <w:sz w:val="22"/>
          <w:szCs w:val="22"/>
        </w:rPr>
        <w:t xml:space="preserve"> the first phases of the DiaWell LU4 project, I understand that the need identification was the initial step</w:t>
      </w:r>
      <w:r w:rsidR="005C7F87">
        <w:rPr>
          <w:rFonts w:ascii="Arial" w:eastAsia="Arial" w:hAnsi="Arial" w:cs="Arial"/>
          <w:sz w:val="22"/>
          <w:szCs w:val="22"/>
        </w:rPr>
        <w:t>,</w:t>
      </w:r>
      <w:r w:rsidRPr="00E34333">
        <w:rPr>
          <w:rFonts w:ascii="Arial" w:eastAsia="Arial" w:hAnsi="Arial" w:cs="Arial"/>
          <w:sz w:val="22"/>
          <w:szCs w:val="22"/>
        </w:rPr>
        <w:t xml:space="preserve"> which provided our proposed service with its legitimacy, as well as with its strategic orientation. Before creating any form of partnership structure or integration framework, our group conducted an extensive analysis of the Luton Joint Strategic Needs Assessment (JSNA) that was used to present a rather depressing and grim situation of unmet need. Luton had a higher incidence of diabetes (9.6 among adults) than the national average (7.5) and, when compared with comparably local authorities using the CIPFA nearest neighbours analysis, Luton came twelfth out of sixteen, which not only indicates a neglect of a health practice but also is a visible sign of a systemic failure </w:t>
      </w:r>
      <w:r w:rsidR="00030948" w:rsidRPr="00030948">
        <w:rPr>
          <w:rFonts w:ascii="Arial" w:eastAsia="Arial" w:hAnsi="Arial" w:cs="Arial"/>
          <w:sz w:val="22"/>
          <w:szCs w:val="22"/>
        </w:rPr>
        <w:t>(Luton Borough Council, 2024; Office for Health Improvement and Disparities, 2023). Nationally, over 4.3 million people are currently living with diabetes in the UK, with a further 850,000 estimated to be undiagnosed — figures that underscore the urgency of proactive, community-based prevention strategies of the kind DiaWell LU4 sought to deliver (Diabetes UK, 2023</w:t>
      </w:r>
      <w:r w:rsidR="00030948">
        <w:rPr>
          <w:rFonts w:ascii="Arial" w:eastAsia="Arial" w:hAnsi="Arial" w:cs="Arial"/>
          <w:sz w:val="22"/>
          <w:szCs w:val="22"/>
        </w:rPr>
        <w:t>).</w:t>
      </w:r>
    </w:p>
    <w:p w14:paraId="1ACE595B" w14:textId="21EEBD82" w:rsidR="005C43AD" w:rsidRPr="00E34333" w:rsidRDefault="00156383" w:rsidP="00BD46EF">
      <w:pPr>
        <w:spacing w:after="160" w:line="360" w:lineRule="auto"/>
        <w:jc w:val="both"/>
        <w:rPr>
          <w:rFonts w:ascii="Arial" w:hAnsi="Arial" w:cs="Arial"/>
          <w:sz w:val="22"/>
          <w:szCs w:val="22"/>
        </w:rPr>
      </w:pPr>
      <w:r w:rsidRPr="00156383">
        <w:rPr>
          <w:rFonts w:ascii="Arial" w:eastAsia="Arial" w:hAnsi="Arial" w:cs="Arial"/>
          <w:sz w:val="22"/>
          <w:szCs w:val="22"/>
        </w:rPr>
        <w:t>What struck me most profoundly</w:t>
      </w:r>
      <w:r w:rsidR="00A70299" w:rsidRPr="00E34333">
        <w:rPr>
          <w:rFonts w:ascii="Arial" w:eastAsia="Arial" w:hAnsi="Arial" w:cs="Arial"/>
          <w:sz w:val="22"/>
          <w:szCs w:val="22"/>
        </w:rPr>
        <w:t xml:space="preserve"> about this stage was not the fact itself that prevalence was high in this way</w:t>
      </w:r>
      <w:r w:rsidR="005C7F87">
        <w:rPr>
          <w:rFonts w:ascii="Arial" w:eastAsia="Arial" w:hAnsi="Arial" w:cs="Arial"/>
          <w:sz w:val="22"/>
          <w:szCs w:val="22"/>
        </w:rPr>
        <w:t>,</w:t>
      </w:r>
      <w:r w:rsidR="00A70299" w:rsidRPr="00E34333">
        <w:rPr>
          <w:rFonts w:ascii="Arial" w:eastAsia="Arial" w:hAnsi="Arial" w:cs="Arial"/>
          <w:sz w:val="22"/>
          <w:szCs w:val="22"/>
        </w:rPr>
        <w:t xml:space="preserve"> but the circumstances under which it </w:t>
      </w:r>
      <w:r w:rsidR="005C7F87">
        <w:rPr>
          <w:rFonts w:ascii="Arial" w:eastAsia="Arial" w:hAnsi="Arial" w:cs="Arial"/>
          <w:sz w:val="22"/>
          <w:szCs w:val="22"/>
        </w:rPr>
        <w:t>prevailed</w:t>
      </w:r>
      <w:r w:rsidR="00A70299" w:rsidRPr="00E34333">
        <w:rPr>
          <w:rFonts w:ascii="Arial" w:eastAsia="Arial" w:hAnsi="Arial" w:cs="Arial"/>
          <w:sz w:val="22"/>
          <w:szCs w:val="22"/>
        </w:rPr>
        <w:t xml:space="preserve">. </w:t>
      </w:r>
      <w:r w:rsidR="000471D4" w:rsidRPr="000471D4">
        <w:rPr>
          <w:rFonts w:ascii="Arial" w:eastAsia="Arial" w:hAnsi="Arial" w:cs="Arial"/>
          <w:sz w:val="22"/>
          <w:szCs w:val="22"/>
        </w:rPr>
        <w:t xml:space="preserve">The JSNA revealed that 63.4% of adults in Luton are classified as overweight or obese — comparable to the national </w:t>
      </w:r>
      <w:r w:rsidR="000471D4" w:rsidRPr="000471D4">
        <w:rPr>
          <w:rFonts w:ascii="Arial" w:eastAsia="Arial" w:hAnsi="Arial" w:cs="Arial"/>
          <w:sz w:val="22"/>
          <w:szCs w:val="22"/>
        </w:rPr>
        <w:lastRenderedPageBreak/>
        <w:t>figure of 64.0% — alongside poor prevention programmes, a massively isolated primary care system against the backdrop of social care and community support system</w:t>
      </w:r>
      <w:r w:rsidR="00A70299" w:rsidRPr="00E34333">
        <w:rPr>
          <w:rFonts w:ascii="Arial" w:eastAsia="Arial" w:hAnsi="Arial" w:cs="Arial"/>
          <w:sz w:val="22"/>
          <w:szCs w:val="22"/>
        </w:rPr>
        <w:t xml:space="preserve"> (Luton Borough Council, 2024; Lippman et al., 2024). Such fragmentation was consistent with Glasby and </w:t>
      </w:r>
      <w:r w:rsidR="005C7F87">
        <w:rPr>
          <w:rFonts w:ascii="Arial" w:eastAsia="Arial" w:hAnsi="Arial" w:cs="Arial"/>
          <w:sz w:val="22"/>
          <w:szCs w:val="22"/>
        </w:rPr>
        <w:t>Dickinson's</w:t>
      </w:r>
      <w:r w:rsidR="00A70299" w:rsidRPr="00E34333">
        <w:rPr>
          <w:rFonts w:ascii="Arial" w:eastAsia="Arial" w:hAnsi="Arial" w:cs="Arial"/>
          <w:sz w:val="22"/>
          <w:szCs w:val="22"/>
        </w:rPr>
        <w:t xml:space="preserve"> (2014) concept of one of the most perennial failures in English HSC delivery</w:t>
      </w:r>
      <w:r w:rsidR="005C7F87">
        <w:rPr>
          <w:rFonts w:ascii="Arial" w:eastAsia="Arial" w:hAnsi="Arial" w:cs="Arial"/>
          <w:sz w:val="22"/>
          <w:szCs w:val="22"/>
        </w:rPr>
        <w:t>,</w:t>
      </w:r>
      <w:r w:rsidR="00A70299" w:rsidRPr="00E34333">
        <w:rPr>
          <w:rFonts w:ascii="Arial" w:eastAsia="Arial" w:hAnsi="Arial" w:cs="Arial"/>
          <w:sz w:val="22"/>
          <w:szCs w:val="22"/>
        </w:rPr>
        <w:t xml:space="preserve"> the disjointed organisational and professional silos that do not allow individuals to receive consistent, coherent care. I also realized that diabetes management is not an exclusively clinical issue, but that it is also unavoidably connected with the social determinants such as housing, employment, diet, and physical activity that require a multi-agency approach (Gunter et al., 2023).</w:t>
      </w:r>
    </w:p>
    <w:p w14:paraId="1ACE595C" w14:textId="3E3AC678" w:rsidR="005C43AD" w:rsidRPr="00E34333" w:rsidRDefault="00FE36CC" w:rsidP="00BD46EF">
      <w:pPr>
        <w:spacing w:after="160" w:line="360" w:lineRule="auto"/>
        <w:jc w:val="both"/>
        <w:rPr>
          <w:rFonts w:ascii="Arial" w:hAnsi="Arial" w:cs="Arial"/>
          <w:sz w:val="22"/>
          <w:szCs w:val="22"/>
        </w:rPr>
      </w:pPr>
      <w:r w:rsidRPr="00E34333">
        <w:rPr>
          <w:rFonts w:ascii="Arial" w:eastAsia="Arial" w:hAnsi="Arial" w:cs="Arial"/>
          <w:sz w:val="22"/>
          <w:szCs w:val="22"/>
        </w:rPr>
        <w:t>To this, our group has developed clear goals and objectives of DiaWell LU4. The ultimate goal was to transform reactive clinical care to proactive, community-based prevention by providing coordinated, person-centred</w:t>
      </w:r>
      <w:r w:rsidR="005C7F87">
        <w:rPr>
          <w:rFonts w:ascii="Arial" w:eastAsia="Arial" w:hAnsi="Arial" w:cs="Arial"/>
          <w:sz w:val="22"/>
          <w:szCs w:val="22"/>
        </w:rPr>
        <w:t>,</w:t>
      </w:r>
      <w:r w:rsidRPr="00E34333">
        <w:rPr>
          <w:rFonts w:ascii="Arial" w:eastAsia="Arial" w:hAnsi="Arial" w:cs="Arial"/>
          <w:sz w:val="22"/>
          <w:szCs w:val="22"/>
        </w:rPr>
        <w:t xml:space="preserve"> integrated care to adults over 17 years (World Health Organization, 2016). The concrete targets were to raise the uptake of holistic care plans by 10% in the first year, narrow the prevalence difference between Luton and the national average by initiating early intervention, and </w:t>
      </w:r>
      <w:r w:rsidR="005C7F87">
        <w:rPr>
          <w:rFonts w:ascii="Arial" w:eastAsia="Arial" w:hAnsi="Arial" w:cs="Arial"/>
          <w:sz w:val="22"/>
          <w:szCs w:val="22"/>
        </w:rPr>
        <w:t xml:space="preserve">implement </w:t>
      </w:r>
      <w:r w:rsidRPr="00E34333">
        <w:rPr>
          <w:rFonts w:ascii="Arial" w:eastAsia="Arial" w:hAnsi="Arial" w:cs="Arial"/>
          <w:sz w:val="22"/>
          <w:szCs w:val="22"/>
        </w:rPr>
        <w:t>a digital records system uniting partner organisations to eradicate data fragmentation (NHS England, 2019). This needs analysis stage was a strong reminder to me</w:t>
      </w:r>
      <w:r w:rsidR="005C7F87">
        <w:rPr>
          <w:rFonts w:ascii="Arial" w:eastAsia="Arial" w:hAnsi="Arial" w:cs="Arial"/>
          <w:sz w:val="22"/>
          <w:szCs w:val="22"/>
        </w:rPr>
        <w:t>,</w:t>
      </w:r>
      <w:r w:rsidRPr="00E34333">
        <w:rPr>
          <w:rFonts w:ascii="Arial" w:eastAsia="Arial" w:hAnsi="Arial" w:cs="Arial"/>
          <w:sz w:val="22"/>
          <w:szCs w:val="22"/>
        </w:rPr>
        <w:t xml:space="preserve"> as Group Leader</w:t>
      </w:r>
      <w:r w:rsidR="005C7F87">
        <w:rPr>
          <w:rFonts w:ascii="Arial" w:eastAsia="Arial" w:hAnsi="Arial" w:cs="Arial"/>
          <w:sz w:val="22"/>
          <w:szCs w:val="22"/>
        </w:rPr>
        <w:t>,</w:t>
      </w:r>
      <w:r w:rsidRPr="00E34333">
        <w:rPr>
          <w:rFonts w:ascii="Arial" w:eastAsia="Arial" w:hAnsi="Arial" w:cs="Arial"/>
          <w:sz w:val="22"/>
          <w:szCs w:val="22"/>
        </w:rPr>
        <w:t xml:space="preserve"> of how deeply significant a service design should be based on solid epidemiological evidence, as opposed to presumption.</w:t>
      </w:r>
    </w:p>
    <w:p w14:paraId="1ACE595D" w14:textId="6F769EEB" w:rsidR="005C43AD" w:rsidRPr="00E34333" w:rsidRDefault="00DD3A57" w:rsidP="00BD46EF">
      <w:pPr>
        <w:pStyle w:val="Heading1"/>
      </w:pPr>
      <w:r w:rsidRPr="00E34333">
        <w:t>INPUT</w:t>
      </w:r>
    </w:p>
    <w:p w14:paraId="1ACE595E" w14:textId="5D095A4F" w:rsidR="005C43AD" w:rsidRPr="00E34333" w:rsidRDefault="009C22E7" w:rsidP="00BD46EF">
      <w:pPr>
        <w:spacing w:after="160" w:line="360" w:lineRule="auto"/>
        <w:jc w:val="both"/>
        <w:rPr>
          <w:rFonts w:ascii="Arial" w:hAnsi="Arial" w:cs="Arial"/>
          <w:sz w:val="22"/>
          <w:szCs w:val="22"/>
        </w:rPr>
      </w:pPr>
      <w:r w:rsidRPr="00E34333">
        <w:rPr>
          <w:rFonts w:ascii="Arial" w:eastAsia="Arial" w:hAnsi="Arial" w:cs="Arial"/>
          <w:sz w:val="22"/>
          <w:szCs w:val="22"/>
        </w:rPr>
        <w:t xml:space="preserve">The Input phase of my reflection, having provided the context of need, is focused on the theoretical frameworks, partnership forms, </w:t>
      </w:r>
      <w:r w:rsidR="005C7F87">
        <w:rPr>
          <w:rFonts w:ascii="Arial" w:eastAsia="Arial" w:hAnsi="Arial" w:cs="Arial"/>
          <w:sz w:val="22"/>
          <w:szCs w:val="22"/>
        </w:rPr>
        <w:t>resource</w:t>
      </w:r>
      <w:r w:rsidRPr="00E34333">
        <w:rPr>
          <w:rFonts w:ascii="Arial" w:eastAsia="Arial" w:hAnsi="Arial" w:cs="Arial"/>
          <w:sz w:val="22"/>
          <w:szCs w:val="22"/>
        </w:rPr>
        <w:t xml:space="preserve"> needs, and obstacles that contributed to the design of DiaWell LU4 - the most intellectually stimulating aspect of my learning during this module.</w:t>
      </w:r>
    </w:p>
    <w:p w14:paraId="1ACE595F" w14:textId="77777777" w:rsidR="005C43AD" w:rsidRPr="00E34333" w:rsidRDefault="00DD3A57" w:rsidP="00BD46EF">
      <w:pPr>
        <w:spacing w:before="200" w:after="80" w:line="360" w:lineRule="auto"/>
        <w:jc w:val="both"/>
        <w:rPr>
          <w:rFonts w:ascii="Arial" w:hAnsi="Arial" w:cs="Arial"/>
          <w:sz w:val="22"/>
          <w:szCs w:val="22"/>
        </w:rPr>
      </w:pPr>
      <w:r w:rsidRPr="00E34333">
        <w:rPr>
          <w:rFonts w:ascii="Arial" w:eastAsia="Arial" w:hAnsi="Arial" w:cs="Arial"/>
          <w:b/>
          <w:bCs/>
          <w:sz w:val="22"/>
          <w:szCs w:val="22"/>
        </w:rPr>
        <w:t>Frameworks and Principles of Integration</w:t>
      </w:r>
    </w:p>
    <w:p w14:paraId="1ACE5960" w14:textId="654B1683" w:rsidR="005C43AD" w:rsidRPr="00E34333" w:rsidRDefault="009B2251" w:rsidP="00BD46EF">
      <w:pPr>
        <w:spacing w:after="160" w:line="360" w:lineRule="auto"/>
        <w:jc w:val="both"/>
        <w:rPr>
          <w:rFonts w:ascii="Arial" w:hAnsi="Arial" w:cs="Arial"/>
          <w:sz w:val="22"/>
          <w:szCs w:val="22"/>
        </w:rPr>
      </w:pPr>
      <w:r w:rsidRPr="00E34333">
        <w:rPr>
          <w:rFonts w:ascii="Arial" w:eastAsia="Arial" w:hAnsi="Arial" w:cs="Arial"/>
          <w:sz w:val="22"/>
          <w:szCs w:val="22"/>
        </w:rPr>
        <w:t xml:space="preserve">At the heart of our group design was the Rainbow Model of Integrated care (Valentijn et al. 2013) that conceptualises integration over six dimensions that are interconnected, namely clinical, professional, organisational, functional, normative, and systemic. Viewing this framework in its entirety transformed my prior, slightly limited view of integrated care, and showed me that normative alignment - the alignment of values, vision, and culture between organisations - is the hardest aspect to realise in practice (Valentijn et al., 2013). Leutz (1999) also considers that integration should be tuned to the complexity of service user </w:t>
      </w:r>
      <w:r w:rsidR="005C7F87">
        <w:rPr>
          <w:rFonts w:ascii="Arial" w:eastAsia="Arial" w:hAnsi="Arial" w:cs="Arial"/>
          <w:sz w:val="22"/>
          <w:szCs w:val="22"/>
        </w:rPr>
        <w:t>needs,</w:t>
      </w:r>
      <w:r w:rsidRPr="00E34333">
        <w:rPr>
          <w:rFonts w:ascii="Arial" w:eastAsia="Arial" w:hAnsi="Arial" w:cs="Arial"/>
          <w:sz w:val="22"/>
          <w:szCs w:val="22"/>
        </w:rPr>
        <w:t xml:space="preserve"> and that is why the compounding vulnerabilities of the target population were compounding</w:t>
      </w:r>
      <w:r w:rsidR="005C7F87">
        <w:rPr>
          <w:rFonts w:ascii="Arial" w:eastAsia="Arial" w:hAnsi="Arial" w:cs="Arial"/>
          <w:sz w:val="22"/>
          <w:szCs w:val="22"/>
        </w:rPr>
        <w:t>,</w:t>
      </w:r>
      <w:r w:rsidRPr="00E34333">
        <w:rPr>
          <w:rFonts w:ascii="Arial" w:eastAsia="Arial" w:hAnsi="Arial" w:cs="Arial"/>
          <w:sz w:val="22"/>
          <w:szCs w:val="22"/>
        </w:rPr>
        <w:t xml:space="preserve"> such that the most holistic approach to integration was required.</w:t>
      </w:r>
    </w:p>
    <w:p w14:paraId="1ACE5961" w14:textId="77777777" w:rsidR="005C43AD" w:rsidRPr="00E34333" w:rsidRDefault="00DD3A57" w:rsidP="00BD46EF">
      <w:pPr>
        <w:spacing w:before="200" w:after="80" w:line="360" w:lineRule="auto"/>
        <w:jc w:val="both"/>
        <w:rPr>
          <w:rFonts w:ascii="Arial" w:hAnsi="Arial" w:cs="Arial"/>
          <w:sz w:val="22"/>
          <w:szCs w:val="22"/>
        </w:rPr>
      </w:pPr>
      <w:r w:rsidRPr="00E34333">
        <w:rPr>
          <w:rFonts w:ascii="Arial" w:eastAsia="Arial" w:hAnsi="Arial" w:cs="Arial"/>
          <w:b/>
          <w:bCs/>
          <w:sz w:val="22"/>
          <w:szCs w:val="22"/>
        </w:rPr>
        <w:t>Partners, Resources, and Strategies</w:t>
      </w:r>
    </w:p>
    <w:p w14:paraId="1ACE5962" w14:textId="07B785D2" w:rsidR="005C43AD" w:rsidRPr="00E34333" w:rsidRDefault="009B7763" w:rsidP="00BD46EF">
      <w:pPr>
        <w:spacing w:after="160" w:line="360" w:lineRule="auto"/>
        <w:jc w:val="both"/>
        <w:rPr>
          <w:rFonts w:ascii="Arial" w:hAnsi="Arial" w:cs="Arial"/>
          <w:sz w:val="22"/>
          <w:szCs w:val="22"/>
        </w:rPr>
      </w:pPr>
      <w:r w:rsidRPr="009B7763">
        <w:rPr>
          <w:rFonts w:ascii="Arial" w:eastAsia="Arial" w:hAnsi="Arial" w:cs="Arial"/>
          <w:sz w:val="22"/>
          <w:szCs w:val="22"/>
        </w:rPr>
        <w:lastRenderedPageBreak/>
        <w:t>DiaWell LU4 identified four core partners</w:t>
      </w:r>
      <w:r w:rsidR="0057432B" w:rsidRPr="00E34333">
        <w:rPr>
          <w:rFonts w:ascii="Arial" w:eastAsia="Arial" w:hAnsi="Arial" w:cs="Arial"/>
          <w:sz w:val="22"/>
          <w:szCs w:val="22"/>
        </w:rPr>
        <w:t xml:space="preserve">: LU4 GP Consortia, Luton Borough Council, Bedfordshire, Luton and Milton Keynes Integrated Care Board (ICB), and Active Luton and the voluntary sector (NHS England, 2022). The Integrated Care System (ICS) architecture, which was formally put in place by these statutes by the Health and Care Act 2022, constituted the statutory means of place-based integrated commissioning as its foundations (Department of Health and Social Care, 2022; The King’s Fund, 2022). Noticeably, best practice in the prevailing English system also demonstrates the significance of Integrated Care Partnerships (ICPs) - statutory committees provided by the Health and Care Act 2022, and integrating NHS, local government, and voluntary, community and social enterprise (VCSE) sector organisations to co-create integrated care strategies at </w:t>
      </w:r>
      <w:r w:rsidR="005C7F87">
        <w:rPr>
          <w:rFonts w:ascii="Arial" w:eastAsia="Arial" w:hAnsi="Arial" w:cs="Arial"/>
          <w:sz w:val="22"/>
          <w:szCs w:val="22"/>
        </w:rPr>
        <w:t xml:space="preserve">the </w:t>
      </w:r>
      <w:r w:rsidR="0057432B" w:rsidRPr="00E34333">
        <w:rPr>
          <w:rFonts w:ascii="Arial" w:eastAsia="Arial" w:hAnsi="Arial" w:cs="Arial"/>
          <w:sz w:val="22"/>
          <w:szCs w:val="22"/>
        </w:rPr>
        <w:t>place level (The King’s Fund, 2022). DiaWell LU4 model is close to this architecture of the ICP, with reflective considerations of national best practice in integrated commissioning.</w:t>
      </w:r>
    </w:p>
    <w:p w14:paraId="1ACE5963" w14:textId="06AEA40D" w:rsidR="005C43AD" w:rsidRPr="00E34333" w:rsidRDefault="002B2E86" w:rsidP="00BD46EF">
      <w:pPr>
        <w:spacing w:after="160" w:line="360" w:lineRule="auto"/>
        <w:jc w:val="both"/>
        <w:rPr>
          <w:rFonts w:ascii="Arial" w:hAnsi="Arial" w:cs="Arial"/>
          <w:sz w:val="22"/>
          <w:szCs w:val="22"/>
        </w:rPr>
      </w:pPr>
      <w:r w:rsidRPr="00E34333">
        <w:rPr>
          <w:rFonts w:ascii="Arial" w:eastAsia="Arial" w:hAnsi="Arial" w:cs="Arial"/>
          <w:sz w:val="22"/>
          <w:szCs w:val="22"/>
        </w:rPr>
        <w:t xml:space="preserve">The estimated operational cost of </w:t>
      </w:r>
      <w:r w:rsidR="00FA7702" w:rsidRPr="00FA7702">
        <w:rPr>
          <w:rFonts w:ascii="Arial" w:eastAsia="Arial" w:hAnsi="Arial" w:cs="Arial"/>
          <w:sz w:val="22"/>
          <w:szCs w:val="22"/>
        </w:rPr>
        <w:t>£1.5–2.5 million</w:t>
      </w:r>
      <w:r w:rsidRPr="00E34333">
        <w:rPr>
          <w:rFonts w:ascii="Arial" w:eastAsia="Arial" w:hAnsi="Arial" w:cs="Arial"/>
          <w:sz w:val="22"/>
          <w:szCs w:val="22"/>
        </w:rPr>
        <w:t xml:space="preserve"> a year was </w:t>
      </w:r>
      <w:r w:rsidR="005C7F87">
        <w:rPr>
          <w:rFonts w:ascii="Arial" w:eastAsia="Arial" w:hAnsi="Arial" w:cs="Arial"/>
          <w:sz w:val="22"/>
          <w:szCs w:val="22"/>
        </w:rPr>
        <w:t xml:space="preserve">for </w:t>
      </w:r>
      <w:r w:rsidRPr="00E34333">
        <w:rPr>
          <w:rFonts w:ascii="Arial" w:eastAsia="Arial" w:hAnsi="Arial" w:cs="Arial"/>
          <w:sz w:val="22"/>
          <w:szCs w:val="22"/>
        </w:rPr>
        <w:t xml:space="preserve">a General Practitioner, Diabetes Specialist Nurses, dietitians, podiatrists, social workers and community wellbeing officers. The clinical service delivery was </w:t>
      </w:r>
      <w:r w:rsidR="005C7F87">
        <w:rPr>
          <w:rFonts w:ascii="Arial" w:eastAsia="Arial" w:hAnsi="Arial" w:cs="Arial"/>
          <w:sz w:val="22"/>
          <w:szCs w:val="22"/>
        </w:rPr>
        <w:t>modelled</w:t>
      </w:r>
      <w:r w:rsidRPr="00E34333">
        <w:rPr>
          <w:rFonts w:ascii="Arial" w:eastAsia="Arial" w:hAnsi="Arial" w:cs="Arial"/>
          <w:sz w:val="22"/>
          <w:szCs w:val="22"/>
        </w:rPr>
        <w:t xml:space="preserve"> as per the NICE (2022) sets of Type 2 diabetes management in adults</w:t>
      </w:r>
      <w:r w:rsidR="005C7F87">
        <w:rPr>
          <w:rFonts w:ascii="Arial" w:eastAsia="Arial" w:hAnsi="Arial" w:cs="Arial"/>
          <w:sz w:val="22"/>
          <w:szCs w:val="22"/>
        </w:rPr>
        <w:t>,</w:t>
      </w:r>
      <w:r w:rsidRPr="00E34333">
        <w:rPr>
          <w:rFonts w:ascii="Arial" w:eastAsia="Arial" w:hAnsi="Arial" w:cs="Arial"/>
          <w:sz w:val="22"/>
          <w:szCs w:val="22"/>
        </w:rPr>
        <w:t xml:space="preserve"> namely structured education programmes, individualised care planning, and regular HbA1c checks as the key elements of effective diabetes management. Considering this, I felt the pressure of tension between the aspiration of the integrated care and fiscal limits within which NHS commissioners are forced to work, which Khatri et al. (2023) point to as one of the most consistent barriers to successful care coordination.</w:t>
      </w:r>
    </w:p>
    <w:p w14:paraId="1ACE5964" w14:textId="77777777" w:rsidR="005C43AD" w:rsidRPr="00E34333" w:rsidRDefault="00DD3A57" w:rsidP="00BD46EF">
      <w:pPr>
        <w:spacing w:before="200" w:after="80" w:line="360" w:lineRule="auto"/>
        <w:jc w:val="both"/>
        <w:rPr>
          <w:rFonts w:ascii="Arial" w:hAnsi="Arial" w:cs="Arial"/>
          <w:sz w:val="22"/>
          <w:szCs w:val="22"/>
        </w:rPr>
      </w:pPr>
      <w:r w:rsidRPr="00E34333">
        <w:rPr>
          <w:rFonts w:ascii="Arial" w:eastAsia="Arial" w:hAnsi="Arial" w:cs="Arial"/>
          <w:b/>
          <w:bCs/>
          <w:sz w:val="22"/>
          <w:szCs w:val="22"/>
        </w:rPr>
        <w:t>Barriers to Integration</w:t>
      </w:r>
    </w:p>
    <w:p w14:paraId="1ACE5965" w14:textId="3D2451B6" w:rsidR="005C43AD" w:rsidRPr="00E34333" w:rsidRDefault="00404B8B" w:rsidP="00BD46EF">
      <w:pPr>
        <w:spacing w:after="160" w:line="360" w:lineRule="auto"/>
        <w:jc w:val="both"/>
        <w:rPr>
          <w:rFonts w:ascii="Arial" w:hAnsi="Arial" w:cs="Arial"/>
          <w:sz w:val="22"/>
          <w:szCs w:val="22"/>
        </w:rPr>
      </w:pPr>
      <w:r w:rsidRPr="00E34333">
        <w:rPr>
          <w:rFonts w:ascii="Arial" w:eastAsia="Arial" w:hAnsi="Arial" w:cs="Arial"/>
          <w:sz w:val="22"/>
          <w:szCs w:val="22"/>
        </w:rPr>
        <w:t>The most useful thing I learned was critically engaging with barriers to integration. Ling et al. (2012) distinguish three main categories, namely, cultural, structural, and financial categories</w:t>
      </w:r>
      <w:r w:rsidR="005C7F87">
        <w:rPr>
          <w:rFonts w:ascii="Arial" w:eastAsia="Arial" w:hAnsi="Arial" w:cs="Arial"/>
          <w:sz w:val="22"/>
          <w:szCs w:val="22"/>
        </w:rPr>
        <w:t>,</w:t>
      </w:r>
      <w:r w:rsidRPr="00E34333">
        <w:rPr>
          <w:rFonts w:ascii="Arial" w:eastAsia="Arial" w:hAnsi="Arial" w:cs="Arial"/>
          <w:sz w:val="22"/>
          <w:szCs w:val="22"/>
        </w:rPr>
        <w:t xml:space="preserve"> that all exist and are interrelated in DiaWell LU4. There was </w:t>
      </w:r>
      <w:r w:rsidR="005C7F87">
        <w:rPr>
          <w:rFonts w:ascii="Arial" w:eastAsia="Arial" w:hAnsi="Arial" w:cs="Arial"/>
          <w:sz w:val="22"/>
          <w:szCs w:val="22"/>
        </w:rPr>
        <w:t xml:space="preserve">a </w:t>
      </w:r>
      <w:r w:rsidRPr="00E34333">
        <w:rPr>
          <w:rFonts w:ascii="Arial" w:eastAsia="Arial" w:hAnsi="Arial" w:cs="Arial"/>
          <w:sz w:val="22"/>
          <w:szCs w:val="22"/>
        </w:rPr>
        <w:t xml:space="preserve">high risk of misalignment between </w:t>
      </w:r>
      <w:r w:rsidR="005C7F87">
        <w:rPr>
          <w:rFonts w:ascii="Arial" w:eastAsia="Arial" w:hAnsi="Arial" w:cs="Arial"/>
          <w:sz w:val="22"/>
          <w:szCs w:val="22"/>
        </w:rPr>
        <w:t xml:space="preserve">the </w:t>
      </w:r>
      <w:r w:rsidRPr="00E34333">
        <w:rPr>
          <w:rFonts w:ascii="Arial" w:eastAsia="Arial" w:hAnsi="Arial" w:cs="Arial"/>
          <w:sz w:val="22"/>
          <w:szCs w:val="22"/>
        </w:rPr>
        <w:t xml:space="preserve">NHS provider and </w:t>
      </w:r>
      <w:r w:rsidR="00952F2F">
        <w:rPr>
          <w:rFonts w:ascii="Arial" w:eastAsia="Arial" w:hAnsi="Arial" w:cs="Arial"/>
          <w:sz w:val="22"/>
          <w:szCs w:val="22"/>
        </w:rPr>
        <w:t xml:space="preserve">the </w:t>
      </w:r>
      <w:r w:rsidRPr="00E34333">
        <w:rPr>
          <w:rFonts w:ascii="Arial" w:eastAsia="Arial" w:hAnsi="Arial" w:cs="Arial"/>
          <w:sz w:val="22"/>
          <w:szCs w:val="22"/>
        </w:rPr>
        <w:t>local authority social care team because of cultural differences between the professionals</w:t>
      </w:r>
      <w:r w:rsidR="00DD3A57" w:rsidRPr="00E34333">
        <w:rPr>
          <w:rFonts w:ascii="Arial" w:eastAsia="Arial" w:hAnsi="Arial" w:cs="Arial"/>
          <w:sz w:val="22"/>
          <w:szCs w:val="22"/>
        </w:rPr>
        <w:t xml:space="preserve">. </w:t>
      </w:r>
      <w:r w:rsidR="00A6059A" w:rsidRPr="00E34333">
        <w:rPr>
          <w:rFonts w:ascii="Arial" w:eastAsia="Arial" w:hAnsi="Arial" w:cs="Arial"/>
          <w:sz w:val="22"/>
          <w:szCs w:val="22"/>
        </w:rPr>
        <w:t>Being the Achilles heel of partnership working, interprofessional tensions</w:t>
      </w:r>
      <w:r w:rsidR="005C7F87">
        <w:rPr>
          <w:rFonts w:ascii="Arial" w:eastAsia="Arial" w:hAnsi="Arial" w:cs="Arial"/>
          <w:sz w:val="22"/>
          <w:szCs w:val="22"/>
        </w:rPr>
        <w:t>,</w:t>
      </w:r>
      <w:r w:rsidR="00A6059A" w:rsidRPr="00E34333">
        <w:rPr>
          <w:rFonts w:ascii="Arial" w:eastAsia="Arial" w:hAnsi="Arial" w:cs="Arial"/>
          <w:sz w:val="22"/>
          <w:szCs w:val="22"/>
        </w:rPr>
        <w:t xml:space="preserve"> as argued by Hudson (2002)</w:t>
      </w:r>
      <w:r w:rsidR="005C7F87">
        <w:rPr>
          <w:rFonts w:ascii="Arial" w:eastAsia="Arial" w:hAnsi="Arial" w:cs="Arial"/>
          <w:sz w:val="22"/>
          <w:szCs w:val="22"/>
        </w:rPr>
        <w:t>,</w:t>
      </w:r>
      <w:r w:rsidR="00A6059A" w:rsidRPr="00E34333">
        <w:rPr>
          <w:rFonts w:ascii="Arial" w:eastAsia="Arial" w:hAnsi="Arial" w:cs="Arial"/>
          <w:sz w:val="22"/>
          <w:szCs w:val="22"/>
        </w:rPr>
        <w:t xml:space="preserve"> are entrenched in professional ideologies that cannot be sorted out by structural reform alone. Such </w:t>
      </w:r>
      <w:r w:rsidR="005C7F87">
        <w:rPr>
          <w:rFonts w:ascii="Arial" w:eastAsia="Arial" w:hAnsi="Arial" w:cs="Arial"/>
          <w:sz w:val="22"/>
          <w:szCs w:val="22"/>
        </w:rPr>
        <w:t xml:space="preserve">an </w:t>
      </w:r>
      <w:r w:rsidR="00A6059A" w:rsidRPr="00E34333">
        <w:rPr>
          <w:rFonts w:ascii="Arial" w:eastAsia="Arial" w:hAnsi="Arial" w:cs="Arial"/>
          <w:sz w:val="22"/>
          <w:szCs w:val="22"/>
        </w:rPr>
        <w:t xml:space="preserve">issue is especially acute in the environment of different urban communities like Luton, where Khan et al. (2023) discovered </w:t>
      </w:r>
      <w:r w:rsidR="005C7F87">
        <w:rPr>
          <w:rFonts w:ascii="Arial" w:eastAsia="Arial" w:hAnsi="Arial" w:cs="Arial"/>
          <w:sz w:val="22"/>
          <w:szCs w:val="22"/>
        </w:rPr>
        <w:t xml:space="preserve">that </w:t>
      </w:r>
      <w:r w:rsidR="00A6059A" w:rsidRPr="00E34333">
        <w:rPr>
          <w:rFonts w:ascii="Arial" w:eastAsia="Arial" w:hAnsi="Arial" w:cs="Arial"/>
          <w:sz w:val="22"/>
          <w:szCs w:val="22"/>
        </w:rPr>
        <w:t xml:space="preserve">the development of policies of integrated care was strongly pre-determined by cultural and linguistic specifics that formal governance structures could often overlook. Structurally, harmonizing the digital records of organisations with dissimilar data governance systems presented significant GDPR-related demands that need clearly defined data-sharing agreements - components often overlooked during integration planning (Goodwin, 2016). Both </w:t>
      </w:r>
      <w:r w:rsidR="005D7DD1">
        <w:rPr>
          <w:rFonts w:ascii="Arial" w:eastAsia="Arial" w:hAnsi="Arial" w:cs="Arial"/>
          <w:sz w:val="22"/>
          <w:szCs w:val="22"/>
        </w:rPr>
        <w:lastRenderedPageBreak/>
        <w:t xml:space="preserve">the </w:t>
      </w:r>
      <w:r w:rsidR="00A6059A" w:rsidRPr="00E34333">
        <w:rPr>
          <w:rFonts w:ascii="Arial" w:eastAsia="Arial" w:hAnsi="Arial" w:cs="Arial"/>
          <w:sz w:val="22"/>
          <w:szCs w:val="22"/>
        </w:rPr>
        <w:t>NHS and social care workforce shortages posed financial challenges to the sustainability of any staffing-based integrated model (NHS England, 2023).</w:t>
      </w:r>
    </w:p>
    <w:p w14:paraId="1ACE5966" w14:textId="77777777" w:rsidR="005C43AD" w:rsidRPr="00E34333" w:rsidRDefault="00DD3A57" w:rsidP="00BD46EF">
      <w:pPr>
        <w:spacing w:before="200" w:after="80" w:line="360" w:lineRule="auto"/>
        <w:jc w:val="both"/>
        <w:rPr>
          <w:rFonts w:ascii="Arial" w:hAnsi="Arial" w:cs="Arial"/>
          <w:sz w:val="22"/>
          <w:szCs w:val="22"/>
        </w:rPr>
      </w:pPr>
      <w:r w:rsidRPr="00E34333">
        <w:rPr>
          <w:rFonts w:ascii="Arial" w:eastAsia="Arial" w:hAnsi="Arial" w:cs="Arial"/>
          <w:b/>
          <w:bCs/>
          <w:sz w:val="22"/>
          <w:szCs w:val="22"/>
        </w:rPr>
        <w:t>Recommendations and Contrasting Perspectives</w:t>
      </w:r>
    </w:p>
    <w:p w14:paraId="1ACE5967" w14:textId="6D07598C" w:rsidR="005C43AD" w:rsidRPr="00E34333" w:rsidRDefault="0070647B" w:rsidP="00BD46EF">
      <w:pPr>
        <w:spacing w:after="160" w:line="360" w:lineRule="auto"/>
        <w:jc w:val="both"/>
        <w:rPr>
          <w:rFonts w:ascii="Arial" w:hAnsi="Arial" w:cs="Arial"/>
          <w:sz w:val="22"/>
          <w:szCs w:val="22"/>
        </w:rPr>
      </w:pPr>
      <w:r w:rsidRPr="00E34333">
        <w:rPr>
          <w:rFonts w:ascii="Arial" w:eastAsia="Arial" w:hAnsi="Arial" w:cs="Arial"/>
          <w:sz w:val="22"/>
          <w:szCs w:val="22"/>
        </w:rPr>
        <w:t xml:space="preserve">With this analysis, I can suggest that the future integrated service models focus more on normative integration preceding structural mechanisms, where strong workforce planning should be implemented at </w:t>
      </w:r>
      <w:r w:rsidR="005D7DD1">
        <w:rPr>
          <w:rFonts w:ascii="Arial" w:eastAsia="Arial" w:hAnsi="Arial" w:cs="Arial"/>
          <w:sz w:val="22"/>
          <w:szCs w:val="22"/>
        </w:rPr>
        <w:t xml:space="preserve">the </w:t>
      </w:r>
      <w:r w:rsidRPr="00E34333">
        <w:rPr>
          <w:rFonts w:ascii="Arial" w:eastAsia="Arial" w:hAnsi="Arial" w:cs="Arial"/>
          <w:sz w:val="22"/>
          <w:szCs w:val="22"/>
        </w:rPr>
        <w:t>commissioning stage (NHS England, 2023; Skills for Care, 2023).</w:t>
      </w:r>
      <w:r w:rsidR="00B85FF8">
        <w:rPr>
          <w:rFonts w:ascii="Arial" w:eastAsia="Arial" w:hAnsi="Arial" w:cs="Arial"/>
          <w:sz w:val="22"/>
          <w:szCs w:val="22"/>
        </w:rPr>
        <w:t xml:space="preserve"> </w:t>
      </w:r>
      <w:r w:rsidR="00B85FF8" w:rsidRPr="00B85FF8">
        <w:rPr>
          <w:rFonts w:ascii="Arial" w:eastAsia="Arial" w:hAnsi="Arial" w:cs="Arial"/>
          <w:sz w:val="22"/>
          <w:szCs w:val="22"/>
        </w:rPr>
        <w:t>The NHS Long Term Plan (NHS England, 2019) offers the national framework, underpinning this integrated approach, where prevention and coordinated care are included as central aims.</w:t>
      </w:r>
      <w:r w:rsidR="00C32F63">
        <w:rPr>
          <w:rFonts w:ascii="Arial" w:eastAsia="Arial" w:hAnsi="Arial" w:cs="Arial"/>
          <w:sz w:val="22"/>
          <w:szCs w:val="22"/>
        </w:rPr>
        <w:t xml:space="preserve"> </w:t>
      </w:r>
      <w:r w:rsidRPr="00E34333">
        <w:rPr>
          <w:rFonts w:ascii="Arial" w:eastAsia="Arial" w:hAnsi="Arial" w:cs="Arial"/>
          <w:sz w:val="22"/>
          <w:szCs w:val="22"/>
        </w:rPr>
        <w:t xml:space="preserve">More importantly, the literature is based on two opposing opinions on the most successful way of integration. The former is a top-down, managerialist approach, embodied by the ICS framework and the Health and Care Act 2022, with statutory framework and performance accountability being the top drivers of integration (Department of Health and Social Care, 2022). The latter is a bottom-up approach, which is relational, as presented by Hudson (2002) and Glasby and Dickinson (2014), contends that sustainable integration concerns primarily a human action, namely being based on trust, shared values, and interprofessional respect, and not on restructuring per se. When critically reflecting on DiaWell LU4, I would believe the relational perspective could work more; although the ICS was an imperative strategic platform, the quality of relationships amidst partner organisations would conclusively determine the viability of integration in practice. </w:t>
      </w:r>
      <w:r w:rsidR="001F70BD" w:rsidRPr="001F70BD">
        <w:rPr>
          <w:rFonts w:ascii="Arial" w:eastAsia="Arial" w:hAnsi="Arial" w:cs="Arial"/>
          <w:sz w:val="22"/>
          <w:szCs w:val="22"/>
        </w:rPr>
        <w:t>Neither perspective alone is sufficient</w:t>
      </w:r>
      <w:r w:rsidRPr="00E34333">
        <w:rPr>
          <w:rFonts w:ascii="Arial" w:eastAsia="Arial" w:hAnsi="Arial" w:cs="Arial"/>
          <w:sz w:val="22"/>
          <w:szCs w:val="22"/>
        </w:rPr>
        <w:t>, and both structural enablers and relational investment working jointly are needed to enable effective integrated care.</w:t>
      </w:r>
    </w:p>
    <w:p w14:paraId="1ACE5968" w14:textId="296C22E5" w:rsidR="005C43AD" w:rsidRPr="00E34333" w:rsidRDefault="00DD3A57" w:rsidP="00BD46EF">
      <w:pPr>
        <w:pStyle w:val="Heading1"/>
      </w:pPr>
      <w:r w:rsidRPr="00E34333">
        <w:t>PROCESS</w:t>
      </w:r>
    </w:p>
    <w:p w14:paraId="1ACE5969" w14:textId="111886C3" w:rsidR="005C43AD" w:rsidRPr="00E34333" w:rsidRDefault="00FD36C8" w:rsidP="00BD46EF">
      <w:pPr>
        <w:spacing w:after="160" w:line="360" w:lineRule="auto"/>
        <w:jc w:val="both"/>
        <w:rPr>
          <w:rFonts w:ascii="Arial" w:hAnsi="Arial" w:cs="Arial"/>
          <w:sz w:val="22"/>
          <w:szCs w:val="22"/>
        </w:rPr>
      </w:pPr>
      <w:r w:rsidRPr="00E34333">
        <w:rPr>
          <w:rFonts w:ascii="Arial" w:eastAsia="Arial" w:hAnsi="Arial" w:cs="Arial"/>
          <w:sz w:val="22"/>
          <w:szCs w:val="22"/>
        </w:rPr>
        <w:t xml:space="preserve">Considering the experience </w:t>
      </w:r>
      <w:r w:rsidR="005D7DD1">
        <w:rPr>
          <w:rFonts w:ascii="Arial" w:eastAsia="Arial" w:hAnsi="Arial" w:cs="Arial"/>
          <w:sz w:val="22"/>
          <w:szCs w:val="22"/>
        </w:rPr>
        <w:t>of</w:t>
      </w:r>
      <w:r w:rsidRPr="00E34333">
        <w:rPr>
          <w:rFonts w:ascii="Arial" w:eastAsia="Arial" w:hAnsi="Arial" w:cs="Arial"/>
          <w:sz w:val="22"/>
          <w:szCs w:val="22"/>
        </w:rPr>
        <w:t xml:space="preserve"> working in a group that was the basis of DiaWell LU4, this stage of the project is the most self-discovering aspect of my learning. Being Group Leader, I had to ensure the coordination of five individuals in the entire width of the presentation</w:t>
      </w:r>
      <w:r w:rsidR="005D7DD1">
        <w:rPr>
          <w:rFonts w:ascii="Arial" w:eastAsia="Arial" w:hAnsi="Arial" w:cs="Arial"/>
          <w:sz w:val="22"/>
          <w:szCs w:val="22"/>
        </w:rPr>
        <w:t>,</w:t>
      </w:r>
      <w:r w:rsidRPr="00E34333">
        <w:rPr>
          <w:rFonts w:ascii="Arial" w:eastAsia="Arial" w:hAnsi="Arial" w:cs="Arial"/>
          <w:sz w:val="22"/>
          <w:szCs w:val="22"/>
        </w:rPr>
        <w:t xml:space="preserve"> that is, the Introduction, Partnership working, Service Integration, Strategy and Leadership and Management, with the individual contribution being coherent, complementary and aligned to the collective vision of the service model. Practically</w:t>
      </w:r>
      <w:r w:rsidR="005D7DD1">
        <w:rPr>
          <w:rFonts w:ascii="Arial" w:eastAsia="Arial" w:hAnsi="Arial" w:cs="Arial"/>
          <w:sz w:val="22"/>
          <w:szCs w:val="22"/>
        </w:rPr>
        <w:t>,</w:t>
      </w:r>
      <w:r w:rsidRPr="00E34333">
        <w:rPr>
          <w:rFonts w:ascii="Arial" w:eastAsia="Arial" w:hAnsi="Arial" w:cs="Arial"/>
          <w:sz w:val="22"/>
          <w:szCs w:val="22"/>
        </w:rPr>
        <w:t xml:space="preserve"> this meant holding regular weekly planning meetings and sharing out drafting tasks based on individual strengths and going through cross-section reviews to achieve uniformity of argument and tone.</w:t>
      </w:r>
    </w:p>
    <w:p w14:paraId="1ACE596A" w14:textId="0176F2CA" w:rsidR="005C43AD" w:rsidRPr="00E34333" w:rsidRDefault="00081D1D" w:rsidP="00BD46EF">
      <w:pPr>
        <w:spacing w:after="160" w:line="360" w:lineRule="auto"/>
        <w:jc w:val="both"/>
        <w:rPr>
          <w:rFonts w:ascii="Arial" w:hAnsi="Arial" w:cs="Arial"/>
          <w:sz w:val="22"/>
          <w:szCs w:val="22"/>
        </w:rPr>
      </w:pPr>
      <w:r w:rsidRPr="00E34333">
        <w:rPr>
          <w:rFonts w:ascii="Arial" w:eastAsia="Arial" w:hAnsi="Arial" w:cs="Arial"/>
          <w:sz w:val="22"/>
          <w:szCs w:val="22"/>
        </w:rPr>
        <w:t xml:space="preserve">Having a group was much more complicated than I thought. Although the whole group was genuinely interested in the project, dissimilar academic </w:t>
      </w:r>
      <w:r w:rsidR="005D7DD1">
        <w:rPr>
          <w:rFonts w:ascii="Arial" w:eastAsia="Arial" w:hAnsi="Arial" w:cs="Arial"/>
          <w:sz w:val="22"/>
          <w:szCs w:val="22"/>
        </w:rPr>
        <w:t>bases</w:t>
      </w:r>
      <w:r w:rsidRPr="00E34333">
        <w:rPr>
          <w:rFonts w:ascii="Arial" w:eastAsia="Arial" w:hAnsi="Arial" w:cs="Arial"/>
          <w:sz w:val="22"/>
          <w:szCs w:val="22"/>
        </w:rPr>
        <w:t xml:space="preserve">, communication patterns and attitudes towards integration formed initial tension in our working process. My original hope was that the section responsibilities were to be defined so that we would be guaranteed of </w:t>
      </w:r>
      <w:r w:rsidRPr="00E34333">
        <w:rPr>
          <w:rFonts w:ascii="Arial" w:eastAsia="Arial" w:hAnsi="Arial" w:cs="Arial"/>
          <w:sz w:val="22"/>
          <w:szCs w:val="22"/>
        </w:rPr>
        <w:lastRenderedPageBreak/>
        <w:t>cohesion, but it was soon obvious that structural division of labour in itself would not generate integrated thinking, the lesson which made a direct reflection of the barriers to working together we were learning in theory. Hudson (2002) reports that to make collaboration effective, the division of roles is not enough; mutual trust, the common purpose, and continual relational investment across professional boundaries are essential issues.</w:t>
      </w:r>
    </w:p>
    <w:p w14:paraId="1ACE596B" w14:textId="355F7FEB" w:rsidR="005C43AD" w:rsidRPr="00E34333" w:rsidRDefault="00DD3A57" w:rsidP="00BD46EF">
      <w:pPr>
        <w:spacing w:after="160" w:line="360" w:lineRule="auto"/>
        <w:jc w:val="both"/>
        <w:rPr>
          <w:rFonts w:ascii="Arial" w:hAnsi="Arial" w:cs="Arial"/>
          <w:sz w:val="22"/>
          <w:szCs w:val="22"/>
        </w:rPr>
      </w:pPr>
      <w:r w:rsidRPr="00E34333">
        <w:rPr>
          <w:rFonts w:ascii="Arial" w:eastAsia="Arial" w:hAnsi="Arial" w:cs="Arial"/>
          <w:sz w:val="22"/>
          <w:szCs w:val="22"/>
        </w:rPr>
        <w:t xml:space="preserve">To address these challenges, I introduced regular group review sessions and established a shared document framework to facilitate transparent communication. </w:t>
      </w:r>
      <w:r w:rsidR="00052E0B" w:rsidRPr="00E34333">
        <w:rPr>
          <w:rFonts w:ascii="Arial" w:eastAsia="Arial" w:hAnsi="Arial" w:cs="Arial"/>
          <w:sz w:val="22"/>
          <w:szCs w:val="22"/>
        </w:rPr>
        <w:t xml:space="preserve">A more facilitative approach to leadership, based on the ideas of shared responsibility, eventually resulted in more cohesive and consistent deliverables (NHS England, 2022). How </w:t>
      </w:r>
      <w:r w:rsidR="005D7DD1">
        <w:rPr>
          <w:rFonts w:ascii="Arial" w:eastAsia="Arial" w:hAnsi="Arial" w:cs="Arial"/>
          <w:sz w:val="22"/>
          <w:szCs w:val="22"/>
        </w:rPr>
        <w:t>many</w:t>
      </w:r>
      <w:r w:rsidR="00052E0B" w:rsidRPr="00E34333">
        <w:rPr>
          <w:rFonts w:ascii="Arial" w:eastAsia="Arial" w:hAnsi="Arial" w:cs="Arial"/>
          <w:sz w:val="22"/>
          <w:szCs w:val="22"/>
        </w:rPr>
        <w:t xml:space="preserve"> members embraced and performed their duties changed over time during the project; one incident that was experienced was during the drafting process</w:t>
      </w:r>
      <w:r w:rsidR="005D7DD1">
        <w:rPr>
          <w:rFonts w:ascii="Arial" w:eastAsia="Arial" w:hAnsi="Arial" w:cs="Arial"/>
          <w:sz w:val="22"/>
          <w:szCs w:val="22"/>
        </w:rPr>
        <w:t>,</w:t>
      </w:r>
      <w:r w:rsidR="00052E0B" w:rsidRPr="00E34333">
        <w:rPr>
          <w:rFonts w:ascii="Arial" w:eastAsia="Arial" w:hAnsi="Arial" w:cs="Arial"/>
          <w:sz w:val="22"/>
          <w:szCs w:val="22"/>
        </w:rPr>
        <w:t xml:space="preserve"> whereby different members had different interpretations of the integration framework</w:t>
      </w:r>
      <w:r w:rsidR="00952F2F">
        <w:rPr>
          <w:rFonts w:ascii="Arial" w:eastAsia="Arial" w:hAnsi="Arial" w:cs="Arial"/>
          <w:sz w:val="22"/>
          <w:szCs w:val="22"/>
        </w:rPr>
        <w:t>,</w:t>
      </w:r>
      <w:r w:rsidR="00052E0B" w:rsidRPr="00E34333">
        <w:rPr>
          <w:rFonts w:ascii="Arial" w:eastAsia="Arial" w:hAnsi="Arial" w:cs="Arial"/>
          <w:sz w:val="22"/>
          <w:szCs w:val="22"/>
        </w:rPr>
        <w:t xml:space="preserve"> necessitating me to organize a group discussion in a structured manner to achieve a common ground</w:t>
      </w:r>
      <w:r w:rsidRPr="00E34333">
        <w:rPr>
          <w:rFonts w:ascii="Arial" w:eastAsia="Arial" w:hAnsi="Arial" w:cs="Arial"/>
          <w:sz w:val="22"/>
          <w:szCs w:val="22"/>
        </w:rPr>
        <w:t>. Rather than viewing this as a failure of group dynamics, I now interpret it through the lens of Glasby and Dickinson (2014), who argue that effective partnership working requires sustained investment in relationships and cannot be assumed simply because a formal structure is in place.</w:t>
      </w:r>
    </w:p>
    <w:p w14:paraId="016A125E" w14:textId="5816795B" w:rsidR="00EA63FC" w:rsidRPr="00E34333" w:rsidRDefault="00EA63FC" w:rsidP="00BD46EF">
      <w:pPr>
        <w:pStyle w:val="Heading1"/>
      </w:pPr>
      <w:r w:rsidRPr="00E34333">
        <w:t>PRODUCT</w:t>
      </w:r>
    </w:p>
    <w:p w14:paraId="5D4F4ED4" w14:textId="40C1D6AE" w:rsidR="00EA63FC" w:rsidRPr="00E34333" w:rsidRDefault="00096110" w:rsidP="00BD46EF">
      <w:pPr>
        <w:spacing w:after="160" w:line="360" w:lineRule="auto"/>
        <w:jc w:val="both"/>
        <w:rPr>
          <w:rFonts w:ascii="Arial" w:hAnsi="Arial" w:cs="Arial"/>
          <w:sz w:val="22"/>
          <w:szCs w:val="22"/>
        </w:rPr>
      </w:pPr>
      <w:r w:rsidRPr="00E34333">
        <w:rPr>
          <w:rFonts w:ascii="Arial" w:hAnsi="Arial" w:cs="Arial"/>
          <w:sz w:val="22"/>
          <w:szCs w:val="22"/>
        </w:rPr>
        <w:t>Considering the end result of our joint effort, in my opinion, the DiaWell LU4 was a plausible, empirically supported, practically based solution to the specified population need in Luton. The team was able to develop an all-encompassing integrated service framework that simultaneously included a clinical, social and community aspect relating to diabetes care - a feat that necessitated more than just academic knowledge but the ability to make complex and competing organisational vantage points into a whole.</w:t>
      </w:r>
    </w:p>
    <w:p w14:paraId="468FFB13" w14:textId="0E64E134" w:rsidR="00EA63FC" w:rsidRPr="00E34333" w:rsidRDefault="004D707F" w:rsidP="00BD46EF">
      <w:pPr>
        <w:spacing w:after="160" w:line="360" w:lineRule="auto"/>
        <w:jc w:val="both"/>
        <w:rPr>
          <w:rFonts w:ascii="Arial" w:hAnsi="Arial" w:cs="Arial"/>
          <w:sz w:val="22"/>
          <w:szCs w:val="22"/>
        </w:rPr>
      </w:pPr>
      <w:r w:rsidRPr="00E34333">
        <w:rPr>
          <w:rFonts w:ascii="Arial" w:hAnsi="Arial" w:cs="Arial"/>
          <w:sz w:val="22"/>
          <w:szCs w:val="22"/>
        </w:rPr>
        <w:t xml:space="preserve">Regarding the effectiveness of the group task, </w:t>
      </w:r>
      <w:r w:rsidR="005D7DD1">
        <w:rPr>
          <w:rFonts w:ascii="Arial" w:hAnsi="Arial" w:cs="Arial"/>
          <w:sz w:val="22"/>
          <w:szCs w:val="22"/>
        </w:rPr>
        <w:t xml:space="preserve">the </w:t>
      </w:r>
      <w:r w:rsidRPr="00E34333">
        <w:rPr>
          <w:rFonts w:ascii="Arial" w:hAnsi="Arial" w:cs="Arial"/>
          <w:sz w:val="22"/>
          <w:szCs w:val="22"/>
        </w:rPr>
        <w:t xml:space="preserve">DiaWell LU4 model proved to be perfectly consistent with the main principles of person-centred, holistic care as defined by the World Health Organization (2016) and operationalised by the ICS framework introduced according to the Health and Care Act 2022. The suggested tri-sector partnership, multi-disciplinary team model, shared digital infrastructure and community hub model were all indicators of an advanced grasp of the types of integration needed at strategic and operational levels. The presence of quantifiable goals like </w:t>
      </w:r>
      <w:r w:rsidR="00532652" w:rsidRPr="00532652">
        <w:rPr>
          <w:rFonts w:ascii="Arial" w:hAnsi="Arial" w:cs="Arial"/>
          <w:sz w:val="22"/>
          <w:szCs w:val="22"/>
        </w:rPr>
        <w:t>increasing holistic care plan uptake by 10% within the first year</w:t>
      </w:r>
      <w:r w:rsidRPr="00E34333">
        <w:rPr>
          <w:rFonts w:ascii="Arial" w:hAnsi="Arial" w:cs="Arial"/>
          <w:sz w:val="22"/>
          <w:szCs w:val="22"/>
        </w:rPr>
        <w:t xml:space="preserve"> and narrowing down to a specified difference between the Luton and national prevalence rates showed an understanding of accountability and outcome-focusedness, which is important in modern HSC commissioning (NHS England, 2019).</w:t>
      </w:r>
    </w:p>
    <w:p w14:paraId="1C9FE7F7" w14:textId="48DA2143" w:rsidR="00EA63FC" w:rsidRPr="00E34333" w:rsidRDefault="00CF2F37" w:rsidP="00BD46EF">
      <w:pPr>
        <w:spacing w:after="160" w:line="360" w:lineRule="auto"/>
        <w:jc w:val="both"/>
        <w:rPr>
          <w:rFonts w:ascii="Arial" w:hAnsi="Arial" w:cs="Arial"/>
          <w:sz w:val="22"/>
          <w:szCs w:val="22"/>
        </w:rPr>
      </w:pPr>
      <w:r w:rsidRPr="00E34333">
        <w:rPr>
          <w:rFonts w:ascii="Arial" w:hAnsi="Arial" w:cs="Arial"/>
          <w:sz w:val="22"/>
          <w:szCs w:val="22"/>
        </w:rPr>
        <w:lastRenderedPageBreak/>
        <w:t>But honest reflection requires that the problems of what we created be recognized. DiaWell LU4 (as a suggested model and not a delivered service) also did not adequately tackle those granular operational tasks that were bound to be difficult to accomplish in practice. Chen et al. (2024) note that person-centred models of integrated care often have considerable failure points between theory and practice</w:t>
      </w:r>
      <w:r w:rsidR="005D7DD1">
        <w:rPr>
          <w:rFonts w:ascii="Arial" w:hAnsi="Arial" w:cs="Arial"/>
          <w:sz w:val="22"/>
          <w:szCs w:val="22"/>
        </w:rPr>
        <w:t>,</w:t>
      </w:r>
      <w:r w:rsidRPr="00E34333">
        <w:rPr>
          <w:rFonts w:ascii="Arial" w:hAnsi="Arial" w:cs="Arial"/>
          <w:sz w:val="22"/>
          <w:szCs w:val="22"/>
        </w:rPr>
        <w:t xml:space="preserve"> and </w:t>
      </w:r>
      <w:r w:rsidR="00877297" w:rsidRPr="00877297">
        <w:rPr>
          <w:rFonts w:ascii="Arial" w:hAnsi="Arial" w:cs="Arial"/>
          <w:sz w:val="22"/>
          <w:szCs w:val="22"/>
        </w:rPr>
        <w:t>our proposal would face the threat of falling into the same pit</w:t>
      </w:r>
      <w:r w:rsidRPr="00E34333">
        <w:rPr>
          <w:rFonts w:ascii="Arial" w:hAnsi="Arial" w:cs="Arial"/>
          <w:sz w:val="22"/>
          <w:szCs w:val="22"/>
        </w:rPr>
        <w:t>. This issue is also supported by the Care Quality Commission (2023), which</w:t>
      </w:r>
      <w:r w:rsidR="005D7DD1">
        <w:rPr>
          <w:rFonts w:ascii="Arial" w:hAnsi="Arial" w:cs="Arial"/>
          <w:sz w:val="22"/>
          <w:szCs w:val="22"/>
        </w:rPr>
        <w:t>,</w:t>
      </w:r>
      <w:r w:rsidRPr="00E34333">
        <w:rPr>
          <w:rFonts w:ascii="Arial" w:hAnsi="Arial" w:cs="Arial"/>
          <w:sz w:val="22"/>
          <w:szCs w:val="22"/>
        </w:rPr>
        <w:t xml:space="preserve"> in its annual state of care report</w:t>
      </w:r>
      <w:r w:rsidR="005D7DD1">
        <w:rPr>
          <w:rFonts w:ascii="Arial" w:hAnsi="Arial" w:cs="Arial"/>
          <w:sz w:val="22"/>
          <w:szCs w:val="22"/>
        </w:rPr>
        <w:t>,</w:t>
      </w:r>
      <w:r w:rsidRPr="00E34333">
        <w:rPr>
          <w:rFonts w:ascii="Arial" w:hAnsi="Arial" w:cs="Arial"/>
          <w:sz w:val="22"/>
          <w:szCs w:val="22"/>
        </w:rPr>
        <w:t xml:space="preserve"> identified the implementation inconsistency as one of the highest risks facing integrated care systems in the whole of England and especially in </w:t>
      </w:r>
      <w:r w:rsidR="00952F2F">
        <w:rPr>
          <w:rFonts w:ascii="Arial" w:hAnsi="Arial" w:cs="Arial"/>
          <w:sz w:val="22"/>
          <w:szCs w:val="22"/>
        </w:rPr>
        <w:t>highly deprived</w:t>
      </w:r>
      <w:r w:rsidRPr="00E34333">
        <w:rPr>
          <w:rFonts w:ascii="Arial" w:hAnsi="Arial" w:cs="Arial"/>
          <w:sz w:val="22"/>
          <w:szCs w:val="22"/>
        </w:rPr>
        <w:t xml:space="preserve"> and population-needs complex areas.</w:t>
      </w:r>
    </w:p>
    <w:p w14:paraId="1ACE596F" w14:textId="4059E62D" w:rsidR="005C43AD" w:rsidRPr="00E34333" w:rsidRDefault="0007500E" w:rsidP="00BD46EF">
      <w:pPr>
        <w:spacing w:after="160" w:line="360" w:lineRule="auto"/>
        <w:jc w:val="both"/>
        <w:rPr>
          <w:rFonts w:ascii="Arial" w:hAnsi="Arial" w:cs="Arial"/>
          <w:sz w:val="22"/>
          <w:szCs w:val="22"/>
        </w:rPr>
      </w:pPr>
      <w:r w:rsidRPr="00E34333">
        <w:rPr>
          <w:rFonts w:ascii="Arial" w:hAnsi="Arial" w:cs="Arial"/>
          <w:sz w:val="22"/>
          <w:szCs w:val="22"/>
        </w:rPr>
        <w:t xml:space="preserve">This module has greatly increased my awareness of the skills I need to provide effective integrated care in terms of professional competencies. According to Liapi et al (2025), relational competence, inter-organisational communication, and systems thinking are the three most vital skills that the HSC professionals should have in the integrated settings. My strengths as </w:t>
      </w:r>
      <w:r w:rsidR="005D7DD1">
        <w:rPr>
          <w:rFonts w:ascii="Arial" w:hAnsi="Arial" w:cs="Arial"/>
          <w:sz w:val="22"/>
          <w:szCs w:val="22"/>
        </w:rPr>
        <w:t>a group leader</w:t>
      </w:r>
      <w:r w:rsidRPr="00E34333">
        <w:rPr>
          <w:rFonts w:ascii="Arial" w:hAnsi="Arial" w:cs="Arial"/>
          <w:sz w:val="22"/>
          <w:szCs w:val="22"/>
        </w:rPr>
        <w:t xml:space="preserve"> include strategic coordination and support of leadership, but I recognize cultural competence and data governance literacy as areas where additional growth is desirable, which I will achieve through additional professional development based on Skills for </w:t>
      </w:r>
      <w:r w:rsidR="00952F2F">
        <w:rPr>
          <w:rFonts w:ascii="Arial" w:hAnsi="Arial" w:cs="Arial"/>
          <w:sz w:val="22"/>
          <w:szCs w:val="22"/>
        </w:rPr>
        <w:t>Care's</w:t>
      </w:r>
      <w:r w:rsidRPr="00E34333">
        <w:rPr>
          <w:rFonts w:ascii="Arial" w:hAnsi="Arial" w:cs="Arial"/>
          <w:sz w:val="22"/>
          <w:szCs w:val="22"/>
        </w:rPr>
        <w:t xml:space="preserve"> (2023) workforce pathway. Considering </w:t>
      </w:r>
      <w:r w:rsidR="00952F2F" w:rsidRPr="00952F2F">
        <w:rPr>
          <w:rFonts w:ascii="Arial" w:hAnsi="Arial" w:cs="Arial"/>
          <w:sz w:val="22"/>
          <w:szCs w:val="22"/>
        </w:rPr>
        <w:t>Gibbs' (1988)</w:t>
      </w:r>
      <w:r w:rsidRPr="00E34333">
        <w:rPr>
          <w:rFonts w:ascii="Arial" w:hAnsi="Arial" w:cs="Arial"/>
          <w:sz w:val="22"/>
          <w:szCs w:val="22"/>
        </w:rPr>
        <w:t xml:space="preserve"> cycles, I am now less uncertain about my whole experience at the beginning of the project, and more confident and critically informed about my understanding of service integration, which I will apply to my professional practice in future.</w:t>
      </w:r>
    </w:p>
    <w:p w14:paraId="1ACE5970" w14:textId="2EB29CAF" w:rsidR="005C43AD" w:rsidRPr="00E34333" w:rsidRDefault="00DD3A57" w:rsidP="00BD46EF">
      <w:pPr>
        <w:pStyle w:val="Heading1"/>
      </w:pPr>
      <w:r w:rsidRPr="00E34333">
        <w:t>CONCLUSION</w:t>
      </w:r>
    </w:p>
    <w:p w14:paraId="1ACE5971" w14:textId="586539C6" w:rsidR="005C43AD" w:rsidRPr="00E34333" w:rsidRDefault="009F3A6E" w:rsidP="00BD46EF">
      <w:pPr>
        <w:spacing w:after="160" w:line="360" w:lineRule="auto"/>
        <w:jc w:val="both"/>
        <w:rPr>
          <w:rFonts w:ascii="Arial" w:hAnsi="Arial" w:cs="Arial"/>
          <w:sz w:val="22"/>
          <w:szCs w:val="22"/>
        </w:rPr>
      </w:pPr>
      <w:r w:rsidRPr="00E34333">
        <w:rPr>
          <w:rFonts w:ascii="Arial" w:eastAsia="Arial" w:hAnsi="Arial" w:cs="Arial"/>
          <w:sz w:val="22"/>
          <w:szCs w:val="22"/>
        </w:rPr>
        <w:t xml:space="preserve">This reflective report critically discussed my learning and development during the LCHS7005 module using the four domains of context, input, process, and product, which have a theoretical underpinning of the Reflective Cycle by </w:t>
      </w:r>
      <w:r w:rsidR="00952F2F">
        <w:rPr>
          <w:rFonts w:ascii="Arial" w:eastAsia="Arial" w:hAnsi="Arial" w:cs="Arial"/>
          <w:sz w:val="22"/>
          <w:szCs w:val="22"/>
        </w:rPr>
        <w:t>Gibbs</w:t>
      </w:r>
      <w:r w:rsidR="00AD234E" w:rsidRPr="00AD234E">
        <w:rPr>
          <w:rFonts w:ascii="Arial" w:eastAsia="Arial" w:hAnsi="Arial" w:cs="Arial"/>
          <w:sz w:val="22"/>
          <w:szCs w:val="22"/>
        </w:rPr>
        <w:t xml:space="preserve"> (1988)</w:t>
      </w:r>
      <w:r w:rsidRPr="00E34333">
        <w:rPr>
          <w:rFonts w:ascii="Arial" w:eastAsia="Arial" w:hAnsi="Arial" w:cs="Arial"/>
          <w:sz w:val="22"/>
          <w:szCs w:val="22"/>
        </w:rPr>
        <w:t>. By creating DiaWell LU4, I have learned that much more intimately and more critically, informed, of what service integration and collaboration actually needs, not just on the level of policy possibilities, but on the level of relationship, culture and operational practice.</w:t>
      </w:r>
    </w:p>
    <w:p w14:paraId="1ACE5972" w14:textId="6372EF92" w:rsidR="005C43AD" w:rsidRPr="00E34333" w:rsidRDefault="008D3834" w:rsidP="00BD46EF">
      <w:pPr>
        <w:spacing w:after="160" w:line="360" w:lineRule="auto"/>
        <w:jc w:val="both"/>
        <w:rPr>
          <w:rFonts w:ascii="Arial" w:hAnsi="Arial" w:cs="Arial"/>
          <w:sz w:val="22"/>
          <w:szCs w:val="22"/>
        </w:rPr>
      </w:pPr>
      <w:r w:rsidRPr="00E34333">
        <w:rPr>
          <w:rFonts w:ascii="Arial" w:eastAsia="Arial" w:hAnsi="Arial" w:cs="Arial"/>
          <w:sz w:val="22"/>
          <w:szCs w:val="22"/>
        </w:rPr>
        <w:t xml:space="preserve">The greatest lesson I </w:t>
      </w:r>
      <w:r w:rsidR="005D7DD1">
        <w:rPr>
          <w:rFonts w:ascii="Arial" w:eastAsia="Arial" w:hAnsi="Arial" w:cs="Arial"/>
          <w:sz w:val="22"/>
          <w:szCs w:val="22"/>
        </w:rPr>
        <w:t>learned</w:t>
      </w:r>
      <w:r w:rsidRPr="00E34333">
        <w:rPr>
          <w:rFonts w:ascii="Arial" w:eastAsia="Arial" w:hAnsi="Arial" w:cs="Arial"/>
          <w:sz w:val="22"/>
          <w:szCs w:val="22"/>
        </w:rPr>
        <w:t xml:space="preserve"> in this experience is that structural reform is not enough to bring about effective integration. The nature of sustainable partnership working, as revealed by the theoretical literature and my own experience of working in a group, is </w:t>
      </w:r>
      <w:r w:rsidR="00E33A37" w:rsidRPr="00E33A37">
        <w:rPr>
          <w:rFonts w:ascii="Arial" w:eastAsia="Arial" w:hAnsi="Arial" w:cs="Arial"/>
          <w:sz w:val="22"/>
          <w:szCs w:val="22"/>
        </w:rPr>
        <w:t>dependent upon</w:t>
      </w:r>
      <w:r w:rsidRPr="00E34333">
        <w:rPr>
          <w:rFonts w:ascii="Arial" w:eastAsia="Arial" w:hAnsi="Arial" w:cs="Arial"/>
          <w:sz w:val="22"/>
          <w:szCs w:val="22"/>
        </w:rPr>
        <w:t xml:space="preserve"> the development of common values, trust, and </w:t>
      </w:r>
      <w:r w:rsidR="00773C80" w:rsidRPr="00773C80">
        <w:rPr>
          <w:rFonts w:ascii="Arial" w:eastAsia="Arial" w:hAnsi="Arial" w:cs="Arial"/>
          <w:sz w:val="22"/>
          <w:szCs w:val="22"/>
        </w:rPr>
        <w:t xml:space="preserve">long-term investment </w:t>
      </w:r>
      <w:r w:rsidR="00773C80" w:rsidRPr="00773C80">
        <w:rPr>
          <w:rFonts w:ascii="Arial" w:eastAsia="Arial" w:hAnsi="Arial" w:cs="Arial"/>
          <w:b/>
          <w:bCs/>
          <w:sz w:val="22"/>
          <w:szCs w:val="22"/>
        </w:rPr>
        <w:t>across</w:t>
      </w:r>
      <w:r w:rsidR="00773C80" w:rsidRPr="00773C80">
        <w:rPr>
          <w:rFonts w:ascii="Arial" w:eastAsia="Arial" w:hAnsi="Arial" w:cs="Arial"/>
          <w:sz w:val="22"/>
          <w:szCs w:val="22"/>
        </w:rPr>
        <w:t xml:space="preserve"> organisational boundaries</w:t>
      </w:r>
      <w:r w:rsidRPr="00E34333">
        <w:rPr>
          <w:rFonts w:ascii="Arial" w:eastAsia="Arial" w:hAnsi="Arial" w:cs="Arial"/>
          <w:sz w:val="22"/>
          <w:szCs w:val="22"/>
        </w:rPr>
        <w:t xml:space="preserve"> (Hudson, 2002; Glasby and Dickinson, 2014). Health and Care Act 2022 and ICS framework offer a valuable legislative and strategic platform, but fail to address the interprofessional tension, data governance challenges and workforce pressures that have been the most intractable obstacles to practice integration (Ling et al., 2012; NHS England, </w:t>
      </w:r>
      <w:r w:rsidRPr="00E34333">
        <w:rPr>
          <w:rFonts w:ascii="Arial" w:eastAsia="Arial" w:hAnsi="Arial" w:cs="Arial"/>
          <w:sz w:val="22"/>
          <w:szCs w:val="22"/>
        </w:rPr>
        <w:lastRenderedPageBreak/>
        <w:t>2023). The direct purpose of Integrated Care Partnerships (ICPs) linking statutory and voluntary sector organisations further highlights that successful integration requires constant relational investment past compliance with legislation (The King’s Fund, 2022).</w:t>
      </w:r>
    </w:p>
    <w:p w14:paraId="342EFDE3" w14:textId="5C160597" w:rsidR="00DA22FA" w:rsidRPr="00E34333" w:rsidRDefault="00DA22FA" w:rsidP="00BD46EF">
      <w:pPr>
        <w:spacing w:after="160" w:line="360" w:lineRule="auto"/>
        <w:jc w:val="both"/>
        <w:rPr>
          <w:rFonts w:ascii="Arial" w:hAnsi="Arial" w:cs="Arial"/>
          <w:sz w:val="22"/>
          <w:szCs w:val="22"/>
        </w:rPr>
      </w:pPr>
      <w:r w:rsidRPr="00E34333">
        <w:rPr>
          <w:rFonts w:ascii="Arial" w:eastAsia="Arial" w:hAnsi="Arial" w:cs="Arial"/>
          <w:sz w:val="22"/>
          <w:szCs w:val="22"/>
        </w:rPr>
        <w:t>In the future, I will strive to acquire competencies that would ensure successful integrated care, namely cultural competence, data governance literacy, and systems thinking</w:t>
      </w:r>
      <w:r w:rsidR="005D7DD1">
        <w:rPr>
          <w:rFonts w:ascii="Arial" w:eastAsia="Arial" w:hAnsi="Arial" w:cs="Arial"/>
          <w:sz w:val="22"/>
          <w:szCs w:val="22"/>
        </w:rPr>
        <w:t>,</w:t>
      </w:r>
      <w:r w:rsidRPr="00E34333">
        <w:rPr>
          <w:rFonts w:ascii="Arial" w:eastAsia="Arial" w:hAnsi="Arial" w:cs="Arial"/>
          <w:sz w:val="22"/>
          <w:szCs w:val="22"/>
        </w:rPr>
        <w:t xml:space="preserve"> by engaging in lifelong learning as suggested by Skills for Care (2023) and NHS Long Term Workforce Plan (NHS England, 2023). Not only has this module broadened my scholarly base, but it has also profoundly influenced my approach to working collaboratively, service design, and leadership in professional practice</w:t>
      </w:r>
      <w:r w:rsidR="005D7DD1">
        <w:rPr>
          <w:rFonts w:ascii="Arial" w:eastAsia="Arial" w:hAnsi="Arial" w:cs="Arial"/>
          <w:sz w:val="22"/>
          <w:szCs w:val="22"/>
        </w:rPr>
        <w:t>,</w:t>
      </w:r>
      <w:r w:rsidRPr="00E34333">
        <w:rPr>
          <w:rFonts w:ascii="Arial" w:eastAsia="Arial" w:hAnsi="Arial" w:cs="Arial"/>
          <w:sz w:val="22"/>
          <w:szCs w:val="22"/>
        </w:rPr>
        <w:t xml:space="preserve"> and I bring all that with a sense of confidence and critical self-awareness forward.</w:t>
      </w:r>
    </w:p>
    <w:p w14:paraId="2B31BB36" w14:textId="77777777" w:rsidR="00854CA1" w:rsidRPr="00E34333" w:rsidRDefault="00854CA1" w:rsidP="00BD46EF">
      <w:pPr>
        <w:spacing w:line="360" w:lineRule="auto"/>
        <w:jc w:val="both"/>
        <w:rPr>
          <w:rFonts w:ascii="Arial" w:eastAsia="Arial" w:hAnsi="Arial" w:cs="Arial"/>
          <w:b/>
          <w:bCs/>
          <w:sz w:val="22"/>
          <w:szCs w:val="22"/>
          <w:u w:val="single"/>
        </w:rPr>
      </w:pPr>
      <w:r w:rsidRPr="00E34333">
        <w:rPr>
          <w:rFonts w:ascii="Arial" w:eastAsia="Arial" w:hAnsi="Arial" w:cs="Arial"/>
          <w:b/>
          <w:bCs/>
          <w:sz w:val="22"/>
          <w:szCs w:val="22"/>
          <w:u w:val="single"/>
        </w:rPr>
        <w:br w:type="page"/>
      </w:r>
    </w:p>
    <w:p w14:paraId="1ACE5975" w14:textId="67BBD044" w:rsidR="005C43AD" w:rsidRPr="00E34333" w:rsidRDefault="00DD3A57" w:rsidP="006D434F">
      <w:pPr>
        <w:pStyle w:val="Heading1"/>
      </w:pPr>
      <w:r w:rsidRPr="00E34333">
        <w:lastRenderedPageBreak/>
        <w:t>REFERENCES</w:t>
      </w:r>
    </w:p>
    <w:p w14:paraId="1A4CD4C4" w14:textId="62F8A5A6" w:rsidR="004003A3" w:rsidRPr="00045372" w:rsidRDefault="00CE13DD"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Care Quality Commission (2023) </w:t>
      </w:r>
      <w:r w:rsidRPr="00045372">
        <w:rPr>
          <w:rFonts w:ascii="Arial" w:eastAsia="Arial" w:hAnsi="Arial" w:cs="Arial"/>
          <w:i/>
          <w:iCs/>
          <w:sz w:val="22"/>
          <w:szCs w:val="22"/>
        </w:rPr>
        <w:t>The state of health care and adult social care in England 2022/23</w:t>
      </w:r>
      <w:r w:rsidRPr="00045372">
        <w:rPr>
          <w:rFonts w:ascii="Arial" w:eastAsia="Arial" w:hAnsi="Arial" w:cs="Arial"/>
          <w:sz w:val="22"/>
          <w:szCs w:val="22"/>
        </w:rPr>
        <w:t xml:space="preserve">. London: CQC. Available at: </w:t>
      </w:r>
      <w:hyperlink r:id="rId8" w:history="1">
        <w:r w:rsidRPr="00045372">
          <w:rPr>
            <w:rStyle w:val="Hyperlink"/>
            <w:rFonts w:ascii="Arial" w:eastAsia="Arial" w:hAnsi="Arial" w:cs="Arial"/>
            <w:sz w:val="22"/>
            <w:szCs w:val="22"/>
          </w:rPr>
          <w:t>https://www.cqc.org.uk/publications/major-report/state-care/2022-2023</w:t>
        </w:r>
      </w:hyperlink>
      <w:r w:rsidRPr="00045372">
        <w:rPr>
          <w:rFonts w:ascii="Arial" w:eastAsia="Arial" w:hAnsi="Arial" w:cs="Arial"/>
          <w:sz w:val="22"/>
          <w:szCs w:val="22"/>
        </w:rPr>
        <w:t xml:space="preserve"> (Accessed:  </w:t>
      </w:r>
      <w:r w:rsidR="0086395E" w:rsidRPr="00045372">
        <w:rPr>
          <w:rFonts w:ascii="Arial" w:eastAsia="Arial" w:hAnsi="Arial" w:cs="Arial"/>
          <w:sz w:val="22"/>
          <w:szCs w:val="22"/>
        </w:rPr>
        <w:t>1</w:t>
      </w:r>
      <w:r w:rsidR="000530B7">
        <w:rPr>
          <w:rFonts w:ascii="Arial" w:eastAsia="Arial" w:hAnsi="Arial" w:cs="Arial"/>
          <w:sz w:val="22"/>
          <w:szCs w:val="22"/>
        </w:rPr>
        <w:t>0</w:t>
      </w:r>
      <w:r w:rsidR="0086395E" w:rsidRPr="00045372">
        <w:rPr>
          <w:rFonts w:ascii="Arial" w:eastAsia="Arial" w:hAnsi="Arial" w:cs="Arial"/>
          <w:sz w:val="22"/>
          <w:szCs w:val="22"/>
        </w:rPr>
        <w:t xml:space="preserve"> April</w:t>
      </w:r>
      <w:r w:rsidRPr="00045372">
        <w:rPr>
          <w:rFonts w:ascii="Arial" w:eastAsia="Arial" w:hAnsi="Arial" w:cs="Arial"/>
          <w:sz w:val="22"/>
          <w:szCs w:val="22"/>
        </w:rPr>
        <w:t xml:space="preserve"> 2026).</w:t>
      </w:r>
      <w:r w:rsidR="00D61DF7" w:rsidRPr="00045372">
        <w:rPr>
          <w:rFonts w:ascii="Arial" w:eastAsia="Arial" w:hAnsi="Arial" w:cs="Arial"/>
          <w:sz w:val="22"/>
          <w:szCs w:val="22"/>
        </w:rPr>
        <w:t> </w:t>
      </w:r>
    </w:p>
    <w:p w14:paraId="108B1B54" w14:textId="064C9CFA"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Chen, T.T., Su, W.C. and Liu, M.I. (2024) 'Patient-centered care in diabetes care — concepts, relationships and practice', </w:t>
      </w:r>
      <w:r w:rsidRPr="00045372">
        <w:rPr>
          <w:rFonts w:ascii="Arial" w:eastAsia="Arial" w:hAnsi="Arial" w:cs="Arial"/>
          <w:i/>
          <w:iCs/>
          <w:sz w:val="22"/>
          <w:szCs w:val="22"/>
        </w:rPr>
        <w:t>World Journal of Diabetes</w:t>
      </w:r>
      <w:r w:rsidRPr="00045372">
        <w:rPr>
          <w:rFonts w:ascii="Arial" w:eastAsia="Arial" w:hAnsi="Arial" w:cs="Arial"/>
          <w:sz w:val="22"/>
          <w:szCs w:val="22"/>
        </w:rPr>
        <w:t>, 15(7), p. 1417</w:t>
      </w:r>
      <w:r w:rsidR="005C2D01" w:rsidRPr="00045372">
        <w:rPr>
          <w:rFonts w:ascii="Arial" w:eastAsia="Arial" w:hAnsi="Arial" w:cs="Arial"/>
          <w:sz w:val="22"/>
          <w:szCs w:val="22"/>
        </w:rPr>
        <w:t>-</w:t>
      </w:r>
      <w:r w:rsidR="000A02A6" w:rsidRPr="00045372">
        <w:rPr>
          <w:rFonts w:ascii="Arial" w:eastAsia="Arial" w:hAnsi="Arial" w:cs="Arial"/>
          <w:sz w:val="22"/>
          <w:szCs w:val="22"/>
        </w:rPr>
        <w:t>1429</w:t>
      </w:r>
      <w:r w:rsidRPr="00045372">
        <w:rPr>
          <w:rFonts w:ascii="Arial" w:eastAsia="Arial" w:hAnsi="Arial" w:cs="Arial"/>
          <w:sz w:val="22"/>
          <w:szCs w:val="22"/>
        </w:rPr>
        <w:t xml:space="preserve">. </w:t>
      </w:r>
    </w:p>
    <w:p w14:paraId="43A41ADD" w14:textId="35F90FE3" w:rsidR="004003A3" w:rsidRPr="00045372" w:rsidRDefault="00F15299" w:rsidP="00045372">
      <w:pPr>
        <w:spacing w:after="120" w:line="360" w:lineRule="auto"/>
        <w:jc w:val="both"/>
        <w:rPr>
          <w:rFonts w:ascii="Arial" w:eastAsia="Arial" w:hAnsi="Arial" w:cs="Arial"/>
          <w:sz w:val="22"/>
          <w:szCs w:val="22"/>
        </w:rPr>
      </w:pPr>
      <w:r w:rsidRPr="00045372">
        <w:rPr>
          <w:rFonts w:ascii="Arial" w:eastAsia="Arial" w:hAnsi="Arial" w:cs="Arial"/>
          <w:i/>
          <w:iCs/>
          <w:sz w:val="22"/>
          <w:szCs w:val="22"/>
        </w:rPr>
        <w:t>Health and Care Act 2022, c. 31</w:t>
      </w:r>
      <w:r w:rsidRPr="00045372">
        <w:rPr>
          <w:rFonts w:ascii="Arial" w:eastAsia="Arial" w:hAnsi="Arial" w:cs="Arial"/>
          <w:sz w:val="22"/>
          <w:szCs w:val="22"/>
        </w:rPr>
        <w:t xml:space="preserve">. Available at: </w:t>
      </w:r>
      <w:hyperlink r:id="rId9" w:history="1">
        <w:r w:rsidRPr="00045372">
          <w:rPr>
            <w:rStyle w:val="Hyperlink"/>
            <w:rFonts w:ascii="Arial" w:eastAsia="Arial" w:hAnsi="Arial" w:cs="Arial"/>
            <w:sz w:val="22"/>
            <w:szCs w:val="22"/>
          </w:rPr>
          <w:t>https://www.legislation.gov.uk/ukpga/2022/31</w:t>
        </w:r>
      </w:hyperlink>
      <w:r w:rsidRPr="00045372">
        <w:rPr>
          <w:rFonts w:ascii="Arial" w:eastAsia="Arial" w:hAnsi="Arial" w:cs="Arial"/>
          <w:sz w:val="22"/>
          <w:szCs w:val="22"/>
        </w:rPr>
        <w:t xml:space="preserve"> (Accessed: 11 March 2026).</w:t>
      </w:r>
    </w:p>
    <w:p w14:paraId="09A776B7" w14:textId="77777777"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Diabetes UK (2023) </w:t>
      </w:r>
      <w:r w:rsidRPr="00045372">
        <w:rPr>
          <w:rFonts w:ascii="Arial" w:eastAsia="Arial" w:hAnsi="Arial" w:cs="Arial"/>
          <w:i/>
          <w:iCs/>
          <w:sz w:val="22"/>
          <w:szCs w:val="22"/>
        </w:rPr>
        <w:t>How many people in the UK have diabetes?</w:t>
      </w:r>
      <w:r w:rsidRPr="00045372">
        <w:rPr>
          <w:rFonts w:ascii="Arial" w:eastAsia="Arial" w:hAnsi="Arial" w:cs="Arial"/>
          <w:sz w:val="22"/>
          <w:szCs w:val="22"/>
        </w:rPr>
        <w:t xml:space="preserve"> Available at: </w:t>
      </w:r>
      <w:hyperlink r:id="rId10" w:history="1">
        <w:r w:rsidRPr="00045372">
          <w:rPr>
            <w:rStyle w:val="Hyperlink"/>
            <w:rFonts w:ascii="Arial" w:eastAsia="Arial" w:hAnsi="Arial" w:cs="Arial"/>
            <w:sz w:val="22"/>
            <w:szCs w:val="22"/>
          </w:rPr>
          <w:t>https://www.diabetes.org.uk/about-us/about-the-charity/our-strategy/statistics</w:t>
        </w:r>
      </w:hyperlink>
      <w:r w:rsidRPr="00045372">
        <w:rPr>
          <w:rFonts w:ascii="Arial" w:eastAsia="Arial" w:hAnsi="Arial" w:cs="Arial"/>
          <w:sz w:val="22"/>
          <w:szCs w:val="22"/>
        </w:rPr>
        <w:t xml:space="preserve"> (Accessed: 19 March 2026).</w:t>
      </w:r>
    </w:p>
    <w:p w14:paraId="78820991" w14:textId="77777777"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Gibbs, G. (1988) </w:t>
      </w:r>
      <w:r w:rsidRPr="00045372">
        <w:rPr>
          <w:rFonts w:ascii="Arial" w:eastAsia="Arial" w:hAnsi="Arial" w:cs="Arial"/>
          <w:i/>
          <w:iCs/>
          <w:sz w:val="22"/>
          <w:szCs w:val="22"/>
        </w:rPr>
        <w:t>Learning by doing: a guide to teaching and learning methods.</w:t>
      </w:r>
      <w:r w:rsidRPr="00045372">
        <w:rPr>
          <w:rFonts w:ascii="Arial" w:eastAsia="Arial" w:hAnsi="Arial" w:cs="Arial"/>
          <w:sz w:val="22"/>
          <w:szCs w:val="22"/>
        </w:rPr>
        <w:t xml:space="preserve"> Oxford: Further Education Unit, Oxford Polytechnic.</w:t>
      </w:r>
    </w:p>
    <w:p w14:paraId="2FB5FDA2" w14:textId="77777777"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Glasby, J. and Dickinson, H. (2014) </w:t>
      </w:r>
      <w:r w:rsidRPr="00045372">
        <w:rPr>
          <w:rFonts w:ascii="Arial" w:eastAsia="Arial" w:hAnsi="Arial" w:cs="Arial"/>
          <w:i/>
          <w:iCs/>
          <w:sz w:val="22"/>
          <w:szCs w:val="22"/>
        </w:rPr>
        <w:t>Partnership working in health and social care: what is integrated care and how can we deliver it?</w:t>
      </w:r>
      <w:r w:rsidRPr="00045372">
        <w:rPr>
          <w:rFonts w:ascii="Arial" w:eastAsia="Arial" w:hAnsi="Arial" w:cs="Arial"/>
          <w:sz w:val="22"/>
          <w:szCs w:val="22"/>
        </w:rPr>
        <w:t xml:space="preserve"> 2nd edn. Bristol: Policy Press.</w:t>
      </w:r>
    </w:p>
    <w:p w14:paraId="73CFF05D" w14:textId="77777777"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Goodwin, N. (2016) 'Understanding integrated care: a complex process, a fundamental principle', </w:t>
      </w:r>
      <w:r w:rsidRPr="00045372">
        <w:rPr>
          <w:rFonts w:ascii="Arial" w:eastAsia="Arial" w:hAnsi="Arial" w:cs="Arial"/>
          <w:i/>
          <w:iCs/>
          <w:sz w:val="22"/>
          <w:szCs w:val="22"/>
        </w:rPr>
        <w:t>International Journal of Integrated Care</w:t>
      </w:r>
      <w:r w:rsidRPr="00045372">
        <w:rPr>
          <w:rFonts w:ascii="Arial" w:eastAsia="Arial" w:hAnsi="Arial" w:cs="Arial"/>
          <w:sz w:val="22"/>
          <w:szCs w:val="22"/>
        </w:rPr>
        <w:t>, 16(4), pp. 1–4.</w:t>
      </w:r>
    </w:p>
    <w:p w14:paraId="0B4508B0" w14:textId="4F9F59B8"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Gunter, K.E., Tanumihardjo, J.P., O'Neal, Y., Peek, M.E. and Chin, M.H. (2023) 'Integrated interventions to bridge medical and social care for people living with diabetes', </w:t>
      </w:r>
      <w:r w:rsidRPr="00045372">
        <w:rPr>
          <w:rFonts w:ascii="Arial" w:eastAsia="Arial" w:hAnsi="Arial" w:cs="Arial"/>
          <w:i/>
          <w:iCs/>
          <w:sz w:val="22"/>
          <w:szCs w:val="22"/>
        </w:rPr>
        <w:t>Journal of General Internal Medicine</w:t>
      </w:r>
      <w:r w:rsidRPr="00045372">
        <w:rPr>
          <w:rFonts w:ascii="Arial" w:eastAsia="Arial" w:hAnsi="Arial" w:cs="Arial"/>
          <w:sz w:val="22"/>
          <w:szCs w:val="22"/>
        </w:rPr>
        <w:t>, 38(Suppl 1), pp. 4–10.</w:t>
      </w:r>
    </w:p>
    <w:p w14:paraId="726B06CD" w14:textId="77777777"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Hudson, B. (2002) 'Interprofessionality in health and social care: the Achilles' heel of partnership?', </w:t>
      </w:r>
      <w:r w:rsidRPr="00045372">
        <w:rPr>
          <w:rFonts w:ascii="Arial" w:eastAsia="Arial" w:hAnsi="Arial" w:cs="Arial"/>
          <w:i/>
          <w:iCs/>
          <w:sz w:val="22"/>
          <w:szCs w:val="22"/>
        </w:rPr>
        <w:t>Journal of Interprofessional Care</w:t>
      </w:r>
      <w:r w:rsidRPr="00045372">
        <w:rPr>
          <w:rFonts w:ascii="Arial" w:eastAsia="Arial" w:hAnsi="Arial" w:cs="Arial"/>
          <w:sz w:val="22"/>
          <w:szCs w:val="22"/>
        </w:rPr>
        <w:t>, 16(1), pp. 7–17.</w:t>
      </w:r>
    </w:p>
    <w:p w14:paraId="0EF0CF87" w14:textId="44417C06"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Khan, N., Randhawa, G. and Hewson, D. (2023) 'Integrated care for older people with different frailty levels: a qualitative study of local implementation of a national policy in Luton, England', </w:t>
      </w:r>
      <w:r w:rsidRPr="00045372">
        <w:rPr>
          <w:rFonts w:ascii="Arial" w:eastAsia="Arial" w:hAnsi="Arial" w:cs="Arial"/>
          <w:i/>
          <w:iCs/>
          <w:sz w:val="22"/>
          <w:szCs w:val="22"/>
        </w:rPr>
        <w:t>International Journal of Integrated Care</w:t>
      </w:r>
      <w:r w:rsidRPr="00045372">
        <w:rPr>
          <w:rFonts w:ascii="Arial" w:eastAsia="Arial" w:hAnsi="Arial" w:cs="Arial"/>
          <w:sz w:val="22"/>
          <w:szCs w:val="22"/>
        </w:rPr>
        <w:t>, 23(1), p. 15.</w:t>
      </w:r>
    </w:p>
    <w:p w14:paraId="475614A2" w14:textId="789F66D3"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Khatri, R., Endalamaw, A., Erku, D., Wolka, E., Nigatu, F., Zewdie, A. and Assefa, Y. (2023) 'Continuity and care coordination of primary health care: a scoping review', </w:t>
      </w:r>
      <w:r w:rsidRPr="00045372">
        <w:rPr>
          <w:rFonts w:ascii="Arial" w:eastAsia="Arial" w:hAnsi="Arial" w:cs="Arial"/>
          <w:i/>
          <w:iCs/>
          <w:sz w:val="22"/>
          <w:szCs w:val="22"/>
        </w:rPr>
        <w:t>BMC Health Services Research</w:t>
      </w:r>
      <w:r w:rsidRPr="00045372">
        <w:rPr>
          <w:rFonts w:ascii="Arial" w:eastAsia="Arial" w:hAnsi="Arial" w:cs="Arial"/>
          <w:sz w:val="22"/>
          <w:szCs w:val="22"/>
        </w:rPr>
        <w:t>, 23(1), p. 750</w:t>
      </w:r>
      <w:r w:rsidR="000456DB" w:rsidRPr="00045372">
        <w:rPr>
          <w:rFonts w:ascii="Arial" w:eastAsia="Arial" w:hAnsi="Arial" w:cs="Arial"/>
          <w:sz w:val="22"/>
          <w:szCs w:val="22"/>
        </w:rPr>
        <w:t>.</w:t>
      </w:r>
    </w:p>
    <w:p w14:paraId="4C62533B" w14:textId="77777777"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Leutz, W.N. (1999) 'Five laws for integrating medical and social services: lessons from the United States and the United Kingdom', </w:t>
      </w:r>
      <w:r w:rsidRPr="00045372">
        <w:rPr>
          <w:rFonts w:ascii="Arial" w:eastAsia="Arial" w:hAnsi="Arial" w:cs="Arial"/>
          <w:i/>
          <w:iCs/>
          <w:sz w:val="22"/>
          <w:szCs w:val="22"/>
        </w:rPr>
        <w:t>Milbank Quarterly</w:t>
      </w:r>
      <w:r w:rsidRPr="00045372">
        <w:rPr>
          <w:rFonts w:ascii="Arial" w:eastAsia="Arial" w:hAnsi="Arial" w:cs="Arial"/>
          <w:sz w:val="22"/>
          <w:szCs w:val="22"/>
        </w:rPr>
        <w:t>, 77(1), pp. 77–110.</w:t>
      </w:r>
    </w:p>
    <w:p w14:paraId="731FEA1A" w14:textId="5ABCC83C"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lastRenderedPageBreak/>
        <w:t xml:space="preserve">Liapi, F., Chater, A.M., Randhawa, G., Stephenson, A. and Pappas, Y. (2025) 'Factors that influence inter-organisational integration: a qualitative exploration of service providers' perspectives from an integrated care initiative', </w:t>
      </w:r>
      <w:r w:rsidRPr="00045372">
        <w:rPr>
          <w:rFonts w:ascii="Arial" w:eastAsia="Arial" w:hAnsi="Arial" w:cs="Arial"/>
          <w:i/>
          <w:iCs/>
          <w:sz w:val="22"/>
          <w:szCs w:val="22"/>
        </w:rPr>
        <w:t>BMC Health Services Research</w:t>
      </w:r>
      <w:r w:rsidRPr="00045372">
        <w:rPr>
          <w:rFonts w:ascii="Arial" w:eastAsia="Arial" w:hAnsi="Arial" w:cs="Arial"/>
          <w:sz w:val="22"/>
          <w:szCs w:val="22"/>
        </w:rPr>
        <w:t>, 25(1), p. 947.</w:t>
      </w:r>
    </w:p>
    <w:p w14:paraId="2A64E853" w14:textId="77777777"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Ling, T., Brereton, L., Conklin, A., Newbould, J. and Roland, M. (2012) 'Barriers and facilitators to integrating care: experiences from the English Integrated Care Pilots', </w:t>
      </w:r>
      <w:r w:rsidRPr="00045372">
        <w:rPr>
          <w:rFonts w:ascii="Arial" w:eastAsia="Arial" w:hAnsi="Arial" w:cs="Arial"/>
          <w:i/>
          <w:iCs/>
          <w:sz w:val="22"/>
          <w:szCs w:val="22"/>
        </w:rPr>
        <w:t>International Journal of Integrated Care</w:t>
      </w:r>
      <w:r w:rsidRPr="00045372">
        <w:rPr>
          <w:rFonts w:ascii="Arial" w:eastAsia="Arial" w:hAnsi="Arial" w:cs="Arial"/>
          <w:sz w:val="22"/>
          <w:szCs w:val="22"/>
        </w:rPr>
        <w:t>, 12(5), e129.</w:t>
      </w:r>
    </w:p>
    <w:p w14:paraId="7C317BCF" w14:textId="175A827C"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Lippman, D., Stump, M., Veazey, E., Guimarães, S.T., Rosenfeld, R., Kelly, J.H., Ornish, D. and Katz, D.L. (2024) 'Foundations of lifestyle medicine and its evolution', </w:t>
      </w:r>
      <w:r w:rsidRPr="00045372">
        <w:rPr>
          <w:rFonts w:ascii="Arial" w:eastAsia="Arial" w:hAnsi="Arial" w:cs="Arial"/>
          <w:i/>
          <w:iCs/>
          <w:sz w:val="22"/>
          <w:szCs w:val="22"/>
        </w:rPr>
        <w:t>Mayo Clinic Proceedings: Innovations, Quality and Outcomes</w:t>
      </w:r>
      <w:r w:rsidRPr="00045372">
        <w:rPr>
          <w:rFonts w:ascii="Arial" w:eastAsia="Arial" w:hAnsi="Arial" w:cs="Arial"/>
          <w:sz w:val="22"/>
          <w:szCs w:val="22"/>
        </w:rPr>
        <w:t xml:space="preserve">, 8(1), pp. 97–111. </w:t>
      </w:r>
    </w:p>
    <w:p w14:paraId="1167B53B" w14:textId="78B75F33"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Luton Borough Council (2024) </w:t>
      </w:r>
      <w:r w:rsidRPr="00045372">
        <w:rPr>
          <w:rFonts w:ascii="Arial" w:eastAsia="Arial" w:hAnsi="Arial" w:cs="Arial"/>
          <w:i/>
          <w:iCs/>
          <w:sz w:val="22"/>
          <w:szCs w:val="22"/>
        </w:rPr>
        <w:t>Joint strategic overview of health and wider determinants in Luton 2024.</w:t>
      </w:r>
      <w:r w:rsidRPr="00045372">
        <w:rPr>
          <w:rFonts w:ascii="Arial" w:eastAsia="Arial" w:hAnsi="Arial" w:cs="Arial"/>
          <w:sz w:val="22"/>
          <w:szCs w:val="22"/>
        </w:rPr>
        <w:t xml:space="preserve"> Available at: </w:t>
      </w:r>
      <w:hyperlink r:id="rId11" w:history="1">
        <w:r w:rsidRPr="00045372">
          <w:rPr>
            <w:rStyle w:val="Hyperlink"/>
            <w:rFonts w:ascii="Arial" w:eastAsia="Arial" w:hAnsi="Arial" w:cs="Arial"/>
            <w:sz w:val="22"/>
            <w:szCs w:val="22"/>
          </w:rPr>
          <w:t>https://www.luton.gov.uk/Community_and_living/Lists/LutonDocuments/PDF/JSNA/jsna-overview-health-social-care-needs-2024.pdf</w:t>
        </w:r>
      </w:hyperlink>
      <w:r w:rsidRPr="00045372">
        <w:rPr>
          <w:rFonts w:ascii="Arial" w:eastAsia="Arial" w:hAnsi="Arial" w:cs="Arial"/>
          <w:sz w:val="22"/>
          <w:szCs w:val="22"/>
        </w:rPr>
        <w:t xml:space="preserve"> (Accessed: 1</w:t>
      </w:r>
      <w:r w:rsidR="000530B7">
        <w:rPr>
          <w:rFonts w:ascii="Arial" w:eastAsia="Arial" w:hAnsi="Arial" w:cs="Arial"/>
          <w:sz w:val="22"/>
          <w:szCs w:val="22"/>
        </w:rPr>
        <w:t>5</w:t>
      </w:r>
      <w:r w:rsidRPr="00045372">
        <w:rPr>
          <w:rFonts w:ascii="Arial" w:eastAsia="Arial" w:hAnsi="Arial" w:cs="Arial"/>
          <w:sz w:val="22"/>
          <w:szCs w:val="22"/>
        </w:rPr>
        <w:t xml:space="preserve"> March 2026).</w:t>
      </w:r>
    </w:p>
    <w:p w14:paraId="52A043D1" w14:textId="77777777"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National Institute for Health and Care Excellence (2022) </w:t>
      </w:r>
      <w:r w:rsidRPr="00045372">
        <w:rPr>
          <w:rFonts w:ascii="Arial" w:eastAsia="Arial" w:hAnsi="Arial" w:cs="Arial"/>
          <w:i/>
          <w:iCs/>
          <w:sz w:val="22"/>
          <w:szCs w:val="22"/>
        </w:rPr>
        <w:t>Type 2 diabetes in adults: management (NG28).</w:t>
      </w:r>
      <w:r w:rsidRPr="00045372">
        <w:rPr>
          <w:rFonts w:ascii="Arial" w:eastAsia="Arial" w:hAnsi="Arial" w:cs="Arial"/>
          <w:sz w:val="22"/>
          <w:szCs w:val="22"/>
        </w:rPr>
        <w:t xml:space="preserve"> Available at: </w:t>
      </w:r>
      <w:hyperlink r:id="rId12" w:history="1">
        <w:r w:rsidRPr="00045372">
          <w:rPr>
            <w:rStyle w:val="Hyperlink"/>
            <w:rFonts w:ascii="Arial" w:eastAsia="Arial" w:hAnsi="Arial" w:cs="Arial"/>
            <w:sz w:val="22"/>
            <w:szCs w:val="22"/>
          </w:rPr>
          <w:t>https://www.nice.org.uk/guidance/ng28</w:t>
        </w:r>
      </w:hyperlink>
      <w:r w:rsidRPr="00045372">
        <w:rPr>
          <w:rFonts w:ascii="Arial" w:eastAsia="Arial" w:hAnsi="Arial" w:cs="Arial"/>
          <w:sz w:val="22"/>
          <w:szCs w:val="22"/>
        </w:rPr>
        <w:t xml:space="preserve"> (Accessed: 11 March 2026).</w:t>
      </w:r>
    </w:p>
    <w:p w14:paraId="69568948" w14:textId="77777777"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NHS England (2019) </w:t>
      </w:r>
      <w:r w:rsidRPr="00045372">
        <w:rPr>
          <w:rFonts w:ascii="Arial" w:eastAsia="Arial" w:hAnsi="Arial" w:cs="Arial"/>
          <w:i/>
          <w:iCs/>
          <w:sz w:val="22"/>
          <w:szCs w:val="22"/>
        </w:rPr>
        <w:t>The NHS Long Term Plan.</w:t>
      </w:r>
      <w:r w:rsidRPr="00045372">
        <w:rPr>
          <w:rFonts w:ascii="Arial" w:eastAsia="Arial" w:hAnsi="Arial" w:cs="Arial"/>
          <w:sz w:val="22"/>
          <w:szCs w:val="22"/>
        </w:rPr>
        <w:t xml:space="preserve"> Available at: </w:t>
      </w:r>
      <w:hyperlink r:id="rId13" w:history="1">
        <w:r w:rsidRPr="00045372">
          <w:rPr>
            <w:rStyle w:val="Hyperlink"/>
            <w:rFonts w:ascii="Arial" w:eastAsia="Arial" w:hAnsi="Arial" w:cs="Arial"/>
            <w:sz w:val="22"/>
            <w:szCs w:val="22"/>
          </w:rPr>
          <w:t>https://www.longtermplan.nhs.uk</w:t>
        </w:r>
      </w:hyperlink>
      <w:r w:rsidRPr="00045372">
        <w:rPr>
          <w:rFonts w:ascii="Arial" w:eastAsia="Arial" w:hAnsi="Arial" w:cs="Arial"/>
          <w:sz w:val="22"/>
          <w:szCs w:val="22"/>
        </w:rPr>
        <w:t xml:space="preserve"> (Accessed: 11 March 2026).</w:t>
      </w:r>
    </w:p>
    <w:p w14:paraId="37DD7FA0" w14:textId="09AACA56" w:rsidR="004003A3" w:rsidRPr="00045372" w:rsidRDefault="00A76F4E"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NHS England (2022) </w:t>
      </w:r>
      <w:r w:rsidRPr="00045372">
        <w:rPr>
          <w:rFonts w:ascii="Arial" w:eastAsia="Arial" w:hAnsi="Arial" w:cs="Arial"/>
          <w:i/>
          <w:iCs/>
          <w:sz w:val="22"/>
          <w:szCs w:val="22"/>
        </w:rPr>
        <w:t>Working in partnership with people and communities: Statutory guidance</w:t>
      </w:r>
      <w:r w:rsidRPr="00045372">
        <w:rPr>
          <w:rFonts w:ascii="Arial" w:eastAsia="Arial" w:hAnsi="Arial" w:cs="Arial"/>
          <w:sz w:val="22"/>
          <w:szCs w:val="22"/>
        </w:rPr>
        <w:t>. London: NHS England.</w:t>
      </w:r>
    </w:p>
    <w:p w14:paraId="4775E941" w14:textId="77777777"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NHS England (2023) </w:t>
      </w:r>
      <w:r w:rsidRPr="00045372">
        <w:rPr>
          <w:rFonts w:ascii="Arial" w:eastAsia="Arial" w:hAnsi="Arial" w:cs="Arial"/>
          <w:i/>
          <w:iCs/>
          <w:sz w:val="22"/>
          <w:szCs w:val="22"/>
        </w:rPr>
        <w:t>NHS Long Term Workforce Plan.</w:t>
      </w:r>
      <w:r w:rsidRPr="00045372">
        <w:rPr>
          <w:rFonts w:ascii="Arial" w:eastAsia="Arial" w:hAnsi="Arial" w:cs="Arial"/>
          <w:sz w:val="22"/>
          <w:szCs w:val="22"/>
        </w:rPr>
        <w:t xml:space="preserve"> London: NHS England. Available at: </w:t>
      </w:r>
      <w:hyperlink r:id="rId14" w:history="1">
        <w:r w:rsidRPr="00045372">
          <w:rPr>
            <w:rStyle w:val="Hyperlink"/>
            <w:rFonts w:ascii="Arial" w:eastAsia="Arial" w:hAnsi="Arial" w:cs="Arial"/>
            <w:sz w:val="22"/>
            <w:szCs w:val="22"/>
          </w:rPr>
          <w:t>https://www.england.nhs.uk/publication/nhs-long-term-workforce-plan/</w:t>
        </w:r>
      </w:hyperlink>
      <w:r w:rsidRPr="00045372">
        <w:rPr>
          <w:rFonts w:ascii="Arial" w:eastAsia="Arial" w:hAnsi="Arial" w:cs="Arial"/>
          <w:sz w:val="22"/>
          <w:szCs w:val="22"/>
        </w:rPr>
        <w:t xml:space="preserve"> (Accessed: 19 March 2026).</w:t>
      </w:r>
    </w:p>
    <w:p w14:paraId="11822B12" w14:textId="77777777"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Office for Health Improvement and Disparities (2023) </w:t>
      </w:r>
      <w:r w:rsidRPr="00045372">
        <w:rPr>
          <w:rFonts w:ascii="Arial" w:eastAsia="Arial" w:hAnsi="Arial" w:cs="Arial"/>
          <w:i/>
          <w:iCs/>
          <w:sz w:val="22"/>
          <w:szCs w:val="22"/>
        </w:rPr>
        <w:t>Diabetes prevalence data.</w:t>
      </w:r>
      <w:r w:rsidRPr="00045372">
        <w:rPr>
          <w:rFonts w:ascii="Arial" w:eastAsia="Arial" w:hAnsi="Arial" w:cs="Arial"/>
          <w:sz w:val="22"/>
          <w:szCs w:val="22"/>
        </w:rPr>
        <w:t xml:space="preserve"> Available at: </w:t>
      </w:r>
      <w:hyperlink r:id="rId15" w:history="1">
        <w:r w:rsidRPr="00045372">
          <w:rPr>
            <w:rStyle w:val="Hyperlink"/>
            <w:rFonts w:ascii="Arial" w:eastAsia="Arial" w:hAnsi="Arial" w:cs="Arial"/>
            <w:sz w:val="22"/>
            <w:szCs w:val="22"/>
          </w:rPr>
          <w:t>https://fingertips.phe.org.uk/profile/diabetes-ft</w:t>
        </w:r>
      </w:hyperlink>
      <w:r w:rsidRPr="00045372">
        <w:rPr>
          <w:rFonts w:ascii="Arial" w:eastAsia="Arial" w:hAnsi="Arial" w:cs="Arial"/>
          <w:sz w:val="22"/>
          <w:szCs w:val="22"/>
        </w:rPr>
        <w:t xml:space="preserve"> (Accessed: 11 March 2026).</w:t>
      </w:r>
    </w:p>
    <w:p w14:paraId="49BB1DD1" w14:textId="32EC44B8"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Skills for Care (202</w:t>
      </w:r>
      <w:r w:rsidR="00C06DFD">
        <w:rPr>
          <w:rFonts w:ascii="Arial" w:eastAsia="Arial" w:hAnsi="Arial" w:cs="Arial"/>
          <w:sz w:val="22"/>
          <w:szCs w:val="22"/>
        </w:rPr>
        <w:t>4</w:t>
      </w:r>
      <w:r w:rsidRPr="00045372">
        <w:rPr>
          <w:rFonts w:ascii="Arial" w:eastAsia="Arial" w:hAnsi="Arial" w:cs="Arial"/>
          <w:sz w:val="22"/>
          <w:szCs w:val="22"/>
        </w:rPr>
        <w:t xml:space="preserve">) </w:t>
      </w:r>
      <w:r w:rsidRPr="00045372">
        <w:rPr>
          <w:rFonts w:ascii="Arial" w:eastAsia="Arial" w:hAnsi="Arial" w:cs="Arial"/>
          <w:i/>
          <w:iCs/>
          <w:sz w:val="22"/>
          <w:szCs w:val="22"/>
        </w:rPr>
        <w:t>The care workforce pathway for adult social care.</w:t>
      </w:r>
      <w:r w:rsidRPr="00045372">
        <w:rPr>
          <w:rFonts w:ascii="Arial" w:eastAsia="Arial" w:hAnsi="Arial" w:cs="Arial"/>
          <w:sz w:val="22"/>
          <w:szCs w:val="22"/>
        </w:rPr>
        <w:t xml:space="preserve"> Leeds: Skills for Care. Available at: </w:t>
      </w:r>
      <w:hyperlink r:id="rId16" w:history="1">
        <w:r w:rsidRPr="00045372">
          <w:rPr>
            <w:rStyle w:val="Hyperlink"/>
            <w:rFonts w:ascii="Arial" w:eastAsia="Arial" w:hAnsi="Arial" w:cs="Arial"/>
            <w:sz w:val="22"/>
            <w:szCs w:val="22"/>
          </w:rPr>
          <w:t>https://www.skillsforcare.org.uk</w:t>
        </w:r>
      </w:hyperlink>
      <w:r w:rsidRPr="00045372">
        <w:rPr>
          <w:rFonts w:ascii="Arial" w:eastAsia="Arial" w:hAnsi="Arial" w:cs="Arial"/>
          <w:sz w:val="22"/>
          <w:szCs w:val="22"/>
        </w:rPr>
        <w:t xml:space="preserve"> (Accessed: 19 March 2026).</w:t>
      </w:r>
    </w:p>
    <w:p w14:paraId="2A73B152" w14:textId="77777777"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The King's Fund (2022) </w:t>
      </w:r>
      <w:r w:rsidRPr="00045372">
        <w:rPr>
          <w:rFonts w:ascii="Arial" w:eastAsia="Arial" w:hAnsi="Arial" w:cs="Arial"/>
          <w:i/>
          <w:iCs/>
          <w:sz w:val="22"/>
          <w:szCs w:val="22"/>
        </w:rPr>
        <w:t>Integrated care systems explained: making sense of the new NHS structure.</w:t>
      </w:r>
      <w:r w:rsidRPr="00045372">
        <w:rPr>
          <w:rFonts w:ascii="Arial" w:eastAsia="Arial" w:hAnsi="Arial" w:cs="Arial"/>
          <w:sz w:val="22"/>
          <w:szCs w:val="22"/>
        </w:rPr>
        <w:t xml:space="preserve"> London: The King's Fund. Available at: </w:t>
      </w:r>
      <w:hyperlink r:id="rId17" w:history="1">
        <w:r w:rsidRPr="00045372">
          <w:rPr>
            <w:rStyle w:val="Hyperlink"/>
            <w:rFonts w:ascii="Arial" w:eastAsia="Arial" w:hAnsi="Arial" w:cs="Arial"/>
            <w:sz w:val="22"/>
            <w:szCs w:val="22"/>
          </w:rPr>
          <w:t>https://www.kingsfund.org.uk</w:t>
        </w:r>
      </w:hyperlink>
      <w:r w:rsidRPr="00045372">
        <w:rPr>
          <w:rFonts w:ascii="Arial" w:eastAsia="Arial" w:hAnsi="Arial" w:cs="Arial"/>
          <w:sz w:val="22"/>
          <w:szCs w:val="22"/>
        </w:rPr>
        <w:t xml:space="preserve"> (Accessed: 19 March 2026).</w:t>
      </w:r>
    </w:p>
    <w:p w14:paraId="33665AD3" w14:textId="77777777"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t xml:space="preserve">Valentijn, P.P., Schepman, S.M., Opheij, W. and Bruijnzeels, M.A. (2013) 'Understanding integrated care: a comprehensive conceptual framework based on the integrative functions of primary care', </w:t>
      </w:r>
      <w:r w:rsidRPr="00045372">
        <w:rPr>
          <w:rFonts w:ascii="Arial" w:eastAsia="Arial" w:hAnsi="Arial" w:cs="Arial"/>
          <w:i/>
          <w:iCs/>
          <w:sz w:val="22"/>
          <w:szCs w:val="22"/>
        </w:rPr>
        <w:t>International Journal of Integrated Care</w:t>
      </w:r>
      <w:r w:rsidRPr="00045372">
        <w:rPr>
          <w:rFonts w:ascii="Arial" w:eastAsia="Arial" w:hAnsi="Arial" w:cs="Arial"/>
          <w:sz w:val="22"/>
          <w:szCs w:val="22"/>
        </w:rPr>
        <w:t>, 13(1), e010.</w:t>
      </w:r>
    </w:p>
    <w:p w14:paraId="78B727CA" w14:textId="77777777" w:rsidR="004003A3" w:rsidRPr="00045372" w:rsidRDefault="004003A3" w:rsidP="00045372">
      <w:pPr>
        <w:spacing w:after="120" w:line="360" w:lineRule="auto"/>
        <w:jc w:val="both"/>
        <w:rPr>
          <w:rFonts w:ascii="Arial" w:eastAsia="Arial" w:hAnsi="Arial" w:cs="Arial"/>
          <w:sz w:val="22"/>
          <w:szCs w:val="22"/>
        </w:rPr>
      </w:pPr>
      <w:r w:rsidRPr="00045372">
        <w:rPr>
          <w:rFonts w:ascii="Arial" w:eastAsia="Arial" w:hAnsi="Arial" w:cs="Arial"/>
          <w:sz w:val="22"/>
          <w:szCs w:val="22"/>
        </w:rPr>
        <w:lastRenderedPageBreak/>
        <w:t xml:space="preserve">World Health Organization (2016) </w:t>
      </w:r>
      <w:r w:rsidRPr="00045372">
        <w:rPr>
          <w:rFonts w:ascii="Arial" w:eastAsia="Arial" w:hAnsi="Arial" w:cs="Arial"/>
          <w:i/>
          <w:iCs/>
          <w:sz w:val="22"/>
          <w:szCs w:val="22"/>
        </w:rPr>
        <w:t>Framework on integrated, people-centred health services.</w:t>
      </w:r>
      <w:r w:rsidRPr="00045372">
        <w:rPr>
          <w:rFonts w:ascii="Arial" w:eastAsia="Arial" w:hAnsi="Arial" w:cs="Arial"/>
          <w:sz w:val="22"/>
          <w:szCs w:val="22"/>
        </w:rPr>
        <w:t xml:space="preserve"> Geneva: WHO.</w:t>
      </w:r>
    </w:p>
    <w:p w14:paraId="1ACE5992" w14:textId="6B1EDE8E" w:rsidR="005C43AD" w:rsidRPr="00E34333" w:rsidRDefault="005C43AD" w:rsidP="00BD46EF">
      <w:pPr>
        <w:spacing w:after="120" w:line="360" w:lineRule="auto"/>
        <w:jc w:val="both"/>
        <w:rPr>
          <w:rFonts w:ascii="Arial" w:hAnsi="Arial" w:cs="Arial"/>
          <w:sz w:val="22"/>
          <w:szCs w:val="22"/>
        </w:rPr>
      </w:pPr>
    </w:p>
    <w:sectPr w:rsidR="005C43AD" w:rsidRPr="00E3433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A97A3E" w14:textId="77777777" w:rsidR="00710590" w:rsidRDefault="00710590" w:rsidP="00626418">
      <w:r>
        <w:separator/>
      </w:r>
    </w:p>
  </w:endnote>
  <w:endnote w:type="continuationSeparator" w:id="0">
    <w:p w14:paraId="6C6416A9" w14:textId="77777777" w:rsidR="00710590" w:rsidRDefault="00710590" w:rsidP="006264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5743A" w14:textId="77777777" w:rsidR="00710590" w:rsidRDefault="00710590" w:rsidP="00626418">
      <w:r>
        <w:separator/>
      </w:r>
    </w:p>
  </w:footnote>
  <w:footnote w:type="continuationSeparator" w:id="0">
    <w:p w14:paraId="1BBB136D" w14:textId="77777777" w:rsidR="00710590" w:rsidRDefault="00710590" w:rsidP="006264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A114C6"/>
    <w:multiLevelType w:val="hybridMultilevel"/>
    <w:tmpl w:val="5E72AB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9846F5"/>
    <w:multiLevelType w:val="hybridMultilevel"/>
    <w:tmpl w:val="CAAA90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8FA5429"/>
    <w:multiLevelType w:val="hybridMultilevel"/>
    <w:tmpl w:val="F4C259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9422B04"/>
    <w:multiLevelType w:val="hybridMultilevel"/>
    <w:tmpl w:val="A0243152"/>
    <w:lvl w:ilvl="0" w:tplc="65E20C20">
      <w:start w:val="1"/>
      <w:numFmt w:val="bullet"/>
      <w:lvlText w:val="●"/>
      <w:lvlJc w:val="left"/>
      <w:pPr>
        <w:ind w:left="720" w:hanging="360"/>
      </w:pPr>
    </w:lvl>
    <w:lvl w:ilvl="1" w:tplc="6234EBAA">
      <w:start w:val="1"/>
      <w:numFmt w:val="bullet"/>
      <w:lvlText w:val="○"/>
      <w:lvlJc w:val="left"/>
      <w:pPr>
        <w:ind w:left="1440" w:hanging="360"/>
      </w:pPr>
    </w:lvl>
    <w:lvl w:ilvl="2" w:tplc="5F9EB68C">
      <w:start w:val="1"/>
      <w:numFmt w:val="bullet"/>
      <w:lvlText w:val="■"/>
      <w:lvlJc w:val="left"/>
      <w:pPr>
        <w:ind w:left="2160" w:hanging="360"/>
      </w:pPr>
    </w:lvl>
    <w:lvl w:ilvl="3" w:tplc="AAECC89A">
      <w:start w:val="1"/>
      <w:numFmt w:val="bullet"/>
      <w:lvlText w:val="●"/>
      <w:lvlJc w:val="left"/>
      <w:pPr>
        <w:ind w:left="2880" w:hanging="360"/>
      </w:pPr>
    </w:lvl>
    <w:lvl w:ilvl="4" w:tplc="627455C2">
      <w:start w:val="1"/>
      <w:numFmt w:val="bullet"/>
      <w:lvlText w:val="○"/>
      <w:lvlJc w:val="left"/>
      <w:pPr>
        <w:ind w:left="3600" w:hanging="360"/>
      </w:pPr>
    </w:lvl>
    <w:lvl w:ilvl="5" w:tplc="7B8664C6">
      <w:start w:val="1"/>
      <w:numFmt w:val="bullet"/>
      <w:lvlText w:val="■"/>
      <w:lvlJc w:val="left"/>
      <w:pPr>
        <w:ind w:left="4320" w:hanging="360"/>
      </w:pPr>
    </w:lvl>
    <w:lvl w:ilvl="6" w:tplc="78783236">
      <w:start w:val="1"/>
      <w:numFmt w:val="bullet"/>
      <w:lvlText w:val="●"/>
      <w:lvlJc w:val="left"/>
      <w:pPr>
        <w:ind w:left="5040" w:hanging="360"/>
      </w:pPr>
    </w:lvl>
    <w:lvl w:ilvl="7" w:tplc="B2FAC36C">
      <w:start w:val="1"/>
      <w:numFmt w:val="bullet"/>
      <w:lvlText w:val="●"/>
      <w:lvlJc w:val="left"/>
      <w:pPr>
        <w:ind w:left="5760" w:hanging="360"/>
      </w:pPr>
    </w:lvl>
    <w:lvl w:ilvl="8" w:tplc="B8CE5B66">
      <w:start w:val="1"/>
      <w:numFmt w:val="bullet"/>
      <w:lvlText w:val="●"/>
      <w:lvlJc w:val="left"/>
      <w:pPr>
        <w:ind w:left="6480" w:hanging="360"/>
      </w:pPr>
    </w:lvl>
  </w:abstractNum>
  <w:num w:numId="1" w16cid:durableId="1178468543">
    <w:abstractNumId w:val="3"/>
    <w:lvlOverride w:ilvl="0">
      <w:startOverride w:val="1"/>
    </w:lvlOverride>
  </w:num>
  <w:num w:numId="2" w16cid:durableId="1765681869">
    <w:abstractNumId w:val="1"/>
  </w:num>
  <w:num w:numId="3" w16cid:durableId="1242568419">
    <w:abstractNumId w:val="0"/>
  </w:num>
  <w:num w:numId="4" w16cid:durableId="297996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displayBackgroundShap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43AD"/>
    <w:rsid w:val="00002B1E"/>
    <w:rsid w:val="00030948"/>
    <w:rsid w:val="00045372"/>
    <w:rsid w:val="000456DB"/>
    <w:rsid w:val="000471D4"/>
    <w:rsid w:val="00052E0B"/>
    <w:rsid w:val="000530B7"/>
    <w:rsid w:val="0007500E"/>
    <w:rsid w:val="00081D1D"/>
    <w:rsid w:val="0008614F"/>
    <w:rsid w:val="0009577B"/>
    <w:rsid w:val="00096110"/>
    <w:rsid w:val="000A02A6"/>
    <w:rsid w:val="000E0E9F"/>
    <w:rsid w:val="000F5947"/>
    <w:rsid w:val="001109C4"/>
    <w:rsid w:val="00156383"/>
    <w:rsid w:val="001F70BD"/>
    <w:rsid w:val="002B2E86"/>
    <w:rsid w:val="002C410D"/>
    <w:rsid w:val="002C71F6"/>
    <w:rsid w:val="002F0609"/>
    <w:rsid w:val="003B3C28"/>
    <w:rsid w:val="003C323D"/>
    <w:rsid w:val="003F76A6"/>
    <w:rsid w:val="004003A3"/>
    <w:rsid w:val="00404B8B"/>
    <w:rsid w:val="004D707F"/>
    <w:rsid w:val="00532652"/>
    <w:rsid w:val="0057432B"/>
    <w:rsid w:val="005C2D01"/>
    <w:rsid w:val="005C43AD"/>
    <w:rsid w:val="005C7F87"/>
    <w:rsid w:val="005D7DD1"/>
    <w:rsid w:val="00620C69"/>
    <w:rsid w:val="00626418"/>
    <w:rsid w:val="006D434F"/>
    <w:rsid w:val="0070647B"/>
    <w:rsid w:val="00710590"/>
    <w:rsid w:val="00720CEE"/>
    <w:rsid w:val="00757916"/>
    <w:rsid w:val="00773C80"/>
    <w:rsid w:val="007A1468"/>
    <w:rsid w:val="007D3A76"/>
    <w:rsid w:val="00854CA1"/>
    <w:rsid w:val="0086395E"/>
    <w:rsid w:val="00877297"/>
    <w:rsid w:val="008825B5"/>
    <w:rsid w:val="00883CF0"/>
    <w:rsid w:val="00883F29"/>
    <w:rsid w:val="008D3834"/>
    <w:rsid w:val="008E4C50"/>
    <w:rsid w:val="00952F2F"/>
    <w:rsid w:val="00965413"/>
    <w:rsid w:val="00982622"/>
    <w:rsid w:val="009968AA"/>
    <w:rsid w:val="009A0648"/>
    <w:rsid w:val="009B2251"/>
    <w:rsid w:val="009B7763"/>
    <w:rsid w:val="009C22E7"/>
    <w:rsid w:val="009F3A6E"/>
    <w:rsid w:val="00A20C7F"/>
    <w:rsid w:val="00A342AD"/>
    <w:rsid w:val="00A6059A"/>
    <w:rsid w:val="00A70299"/>
    <w:rsid w:val="00A76F4E"/>
    <w:rsid w:val="00A82FE9"/>
    <w:rsid w:val="00AC6BC5"/>
    <w:rsid w:val="00AD234E"/>
    <w:rsid w:val="00AE72DE"/>
    <w:rsid w:val="00B63CF1"/>
    <w:rsid w:val="00B64FCA"/>
    <w:rsid w:val="00B85FF8"/>
    <w:rsid w:val="00BD46EF"/>
    <w:rsid w:val="00C06DFD"/>
    <w:rsid w:val="00C24843"/>
    <w:rsid w:val="00C31C1E"/>
    <w:rsid w:val="00C32F63"/>
    <w:rsid w:val="00C419BE"/>
    <w:rsid w:val="00CE13DD"/>
    <w:rsid w:val="00CF2F37"/>
    <w:rsid w:val="00D258A2"/>
    <w:rsid w:val="00D61DF7"/>
    <w:rsid w:val="00D90CA0"/>
    <w:rsid w:val="00DA22FA"/>
    <w:rsid w:val="00DB6715"/>
    <w:rsid w:val="00DC77FB"/>
    <w:rsid w:val="00DD3A57"/>
    <w:rsid w:val="00E31C7E"/>
    <w:rsid w:val="00E33A37"/>
    <w:rsid w:val="00E34333"/>
    <w:rsid w:val="00E56694"/>
    <w:rsid w:val="00EA63FC"/>
    <w:rsid w:val="00F15299"/>
    <w:rsid w:val="00F7587C"/>
    <w:rsid w:val="00FA7702"/>
    <w:rsid w:val="00FD36C8"/>
    <w:rsid w:val="00FE36CC"/>
    <w:rsid w:val="00FF66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CE5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uiPriority w:val="9"/>
    <w:qFormat/>
    <w:rsid w:val="003C323D"/>
    <w:pPr>
      <w:spacing w:before="280" w:after="140" w:line="360" w:lineRule="auto"/>
      <w:jc w:val="both"/>
      <w:outlineLvl w:val="0"/>
    </w:pPr>
    <w:rPr>
      <w:rFonts w:ascii="Arial" w:eastAsia="Arial" w:hAnsi="Arial" w:cs="Arial"/>
      <w:b/>
      <w:bCs/>
      <w:sz w:val="22"/>
      <w:szCs w:val="2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4003A3"/>
    <w:rPr>
      <w:color w:val="605E5C"/>
      <w:shd w:val="clear" w:color="auto" w:fill="E1DFDD"/>
    </w:rPr>
  </w:style>
  <w:style w:type="character" w:styleId="FollowedHyperlink">
    <w:name w:val="FollowedHyperlink"/>
    <w:basedOn w:val="DefaultParagraphFont"/>
    <w:uiPriority w:val="99"/>
    <w:semiHidden/>
    <w:unhideWhenUsed/>
    <w:rsid w:val="00CE13DD"/>
    <w:rPr>
      <w:color w:val="96607D" w:themeColor="followedHyperlink"/>
      <w:u w:val="single"/>
    </w:rPr>
  </w:style>
  <w:style w:type="paragraph" w:styleId="Header">
    <w:name w:val="header"/>
    <w:basedOn w:val="Normal"/>
    <w:link w:val="HeaderChar"/>
    <w:uiPriority w:val="99"/>
    <w:unhideWhenUsed/>
    <w:rsid w:val="00626418"/>
    <w:pPr>
      <w:tabs>
        <w:tab w:val="center" w:pos="4680"/>
        <w:tab w:val="right" w:pos="9360"/>
      </w:tabs>
    </w:pPr>
  </w:style>
  <w:style w:type="character" w:customStyle="1" w:styleId="HeaderChar">
    <w:name w:val="Header Char"/>
    <w:basedOn w:val="DefaultParagraphFont"/>
    <w:link w:val="Header"/>
    <w:uiPriority w:val="99"/>
    <w:rsid w:val="00626418"/>
  </w:style>
  <w:style w:type="paragraph" w:styleId="Footer">
    <w:name w:val="footer"/>
    <w:basedOn w:val="Normal"/>
    <w:link w:val="FooterChar"/>
    <w:uiPriority w:val="99"/>
    <w:unhideWhenUsed/>
    <w:rsid w:val="00626418"/>
    <w:pPr>
      <w:tabs>
        <w:tab w:val="center" w:pos="4680"/>
        <w:tab w:val="right" w:pos="9360"/>
      </w:tabs>
    </w:pPr>
  </w:style>
  <w:style w:type="character" w:customStyle="1" w:styleId="FooterChar">
    <w:name w:val="Footer Char"/>
    <w:basedOn w:val="DefaultParagraphFont"/>
    <w:link w:val="Footer"/>
    <w:uiPriority w:val="99"/>
    <w:rsid w:val="006264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qc.org.uk/publications/major-report/state-care/2022-2023" TargetMode="External"/><Relationship Id="rId13" Type="http://schemas.openxmlformats.org/officeDocument/2006/relationships/hyperlink" Target="https://www.longtermplan.nhs.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28" TargetMode="External"/><Relationship Id="rId17" Type="http://schemas.openxmlformats.org/officeDocument/2006/relationships/hyperlink" Target="https://www.kingsfund.org.uk" TargetMode="External"/><Relationship Id="rId2" Type="http://schemas.openxmlformats.org/officeDocument/2006/relationships/numbering" Target="numbering.xml"/><Relationship Id="rId16" Type="http://schemas.openxmlformats.org/officeDocument/2006/relationships/hyperlink" Target="https://www.skillsforcare.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uton.gov.uk/Community_and_living/Lists/LutonDocuments/PDF/JSNA/jsna-overview-health-social-care-needs-2024.pdf" TargetMode="External"/><Relationship Id="rId5" Type="http://schemas.openxmlformats.org/officeDocument/2006/relationships/webSettings" Target="webSettings.xml"/><Relationship Id="rId15" Type="http://schemas.openxmlformats.org/officeDocument/2006/relationships/hyperlink" Target="https://fingertips.phe.org.uk/profile/diabetes-ft" TargetMode="External"/><Relationship Id="rId10" Type="http://schemas.openxmlformats.org/officeDocument/2006/relationships/hyperlink" Target="https://www.diabetes.org.uk/about-us/about-the-charity/our-strategy/statistic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legislation.gov.uk/ukpga/2022/31" TargetMode="External"/><Relationship Id="rId14" Type="http://schemas.openxmlformats.org/officeDocument/2006/relationships/hyperlink" Target="https://www.england.nhs.uk/publication/nhs-long-term-workforce-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870BE8-2D5D-4D98-9179-8FA7967052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3531</Words>
  <Characters>20130</Characters>
  <Application>Microsoft Office Word</Application>
  <DocSecurity>0</DocSecurity>
  <Lines>167</Lines>
  <Paragraphs>47</Paragraphs>
  <ScaleCrop>false</ScaleCrop>
  <Company/>
  <LinksUpToDate>false</LinksUpToDate>
  <CharactersWithSpaces>23614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2026-04-26T22:43:00Z</dcterms:created>
  <dcterms:modified xsi:type="dcterms:W3CDTF">2026-04-26T22:43:00Z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feaadfdf-8db9-4d3c-8c39-beb6f9f2799e</vt:lpwstr>
  </property>
</Properties>
</file>