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C2D2B" w:rsidRDefault="00000000" w14:paraId="7FFA0A88" w14:textId="132365BD">
      <w:pPr>
        <w:pStyle w:val="Title"/>
      </w:pPr>
      <w:r w:rsidR="5B92E17A">
        <w:rPr/>
        <w:t xml:space="preserve"> </w:t>
      </w:r>
      <w:r w:rsidR="3BB7C5BD">
        <w:rPr/>
        <w:t>Rotavirus in the community</w:t>
      </w:r>
    </w:p>
    <w:p w:rsidR="003C2D2B" w:rsidRDefault="00000000" w14:paraId="36730482" w14:textId="77777777">
      <w:r>
        <w:t>LCHS4008 Introduction to Public Health</w:t>
      </w:r>
      <w:r>
        <w:br/>
      </w:r>
      <w:r>
        <w:t>Component 1   Group discussion preparation</w:t>
      </w:r>
    </w:p>
    <w:p w:rsidRPr="00C20C2E" w:rsidR="003C2D2B" w:rsidRDefault="00000000" w14:paraId="688064EA" w14:textId="77777777">
      <w:pPr>
        <w:pStyle w:val="Heading2"/>
        <w:rPr>
          <w:color w:val="1F497D" w:themeColor="text2"/>
        </w:rPr>
      </w:pPr>
      <w:r w:rsidRPr="00C20C2E">
        <w:rPr>
          <w:color w:val="1F497D" w:themeColor="text2"/>
        </w:rPr>
        <w:t>Introduction</w:t>
      </w:r>
    </w:p>
    <w:p w:rsidR="003C2D2B" w:rsidRDefault="00000000" w14:paraId="20AC5A1F" w14:textId="77777777">
      <w:r>
        <w:t>Mary is three years old and has laboratory-confirmed rotavirus following 24 hours of vomiting, non-bloody diarrhoea, abdominal cramps, a temperature of 40°C and reduced fluid intake. This discussion explains how public health services could measure, monitor and control infection, while considering family wellbeing and pressure on services. The central argument is that timely vaccination, reliable surveillance and practical infection prevention must operate together. One confirmed case does not establish that an outbreak exists: linked cases and the expected background level need investigation.</w:t>
      </w:r>
    </w:p>
    <w:p w:rsidR="003C2D2B" w:rsidRDefault="00000000" w14:paraId="0F0A2D6F" w14:textId="77777777">
      <w:r>
        <w:t>Rotavirus mainly spreads through the faecal–oral route, including contaminated hands and objects. The Green Book describes its low infectious dose and environmental robustness, which help explain why hygiene alone cannot eliminate transmission (Public Health England, 2015). Mary’s diagnosis should therefore prompt questions about household illness and childcare attendance, without assuming where she acquired infection.</w:t>
      </w:r>
    </w:p>
    <w:p w:rsidRPr="00C20C2E" w:rsidR="003C2D2B" w:rsidRDefault="00000000" w14:paraId="147DAA75" w14:textId="77777777">
      <w:pPr>
        <w:pStyle w:val="Heading2"/>
        <w:rPr>
          <w:color w:val="1F497D" w:themeColor="text2"/>
        </w:rPr>
      </w:pPr>
      <w:r w:rsidRPr="00C20C2E">
        <w:rPr>
          <w:color w:val="1F497D" w:themeColor="text2"/>
        </w:rPr>
        <w:t>Measuring disease in the community</w:t>
      </w:r>
    </w:p>
    <w:p w:rsidR="003C2D2B" w:rsidRDefault="00000000" w14:paraId="340107A5" w14:textId="77777777">
      <w:r>
        <w:t>Measurement establishes how much disease is occurring within a defined population and period. I would first agree a working case definition with the investigating team: for example, a child or staff member associated with a particular nursery who develops acute diarrhoea or vomiting within specified dates. Symptomatic suspected cases should be recorded separately from laboratory-confirmed rotavirus. Otherwise, norovirus or unrelated illnesses could inflate the rotavirus count.</w:t>
      </w:r>
    </w:p>
    <w:p w:rsidR="003C2D2B" w:rsidRDefault="00000000" w14:paraId="268F272D" w14:textId="77777777">
      <w:r>
        <w:t>A confidential line list would record a unique identifier, age, symptom-onset date, setting, test result, relevant contacts and admission or recovery. Existing records should be checked for duplicate entries so that a GP consultation and a hospital visit are not counted as two different people. These are proposed investigation methods; the case study supplies no nursery attendance, contact or outbreak data.</w:t>
      </w:r>
    </w:p>
    <w:p w:rsidR="003C2D2B" w:rsidRDefault="00000000" w14:paraId="5CDEA1D8" w14:textId="77777777">
      <w:r>
        <w:t>Incidence concerns new cases over time. A community measure is new cases during a stated period divided by the relevant population, multiplied by 100,000. For a defined outbreak, an attack rate is more immediately useful: new cases divided by people at risk, multiplied by 100. If 12 of 60 nursery children became cases, the attack rate would be 20%. This is an illustrative calculation, not a finding about Mary. Comparing rooms or age groups may identify where additional investigation is needed.</w:t>
      </w:r>
    </w:p>
    <w:p w:rsidR="003C2D2B" w:rsidRDefault="00000000" w14:paraId="63F3B3A8" w14:textId="77777777">
      <w:r>
        <w:br w:type="page"/>
      </w:r>
    </w:p>
    <w:p w:rsidRPr="000D04DD" w:rsidR="003C2D2B" w:rsidRDefault="00000000" w14:paraId="17402C38" w14:textId="77777777">
      <w:pPr>
        <w:pStyle w:val="Heading1"/>
        <w:rPr>
          <w:color w:val="1F497D" w:themeColor="text2"/>
        </w:rPr>
      </w:pPr>
      <w:r w:rsidRPr="000D04DD">
        <w:rPr>
          <w:color w:val="1F497D" w:themeColor="text2"/>
        </w:rPr>
        <w:t>Monitoring patterns and interpreting evidence</w:t>
      </w:r>
    </w:p>
    <w:p w:rsidR="003C2D2B" w:rsidRDefault="00000000" w14:paraId="13ED214F" w14:textId="77777777">
      <w:r>
        <w:t>Monitoring means repeating measurement to identify changes and guide action. For a suspected nursery outbreak, I would propose daily updates on new symptoms, absences, sample results and admissions. Plotting cases by symptom-onset date produces an epidemic curve. Grouping cases by room and attendance dates can help identify shared exposure or continuing transmission, although the pattern alone cannot prove who infected whom.</w:t>
      </w:r>
    </w:p>
    <w:p w:rsidR="003C2D2B" w:rsidRDefault="00000000" w14:paraId="0B2399B0" w14:textId="77777777">
      <w:r>
        <w:t>The setting should follow UKHSA outbreak guidance and seek advice from its local health protection team when reporting criteria are met, particularly with linked illness or unusually severe disease. The team can help coordinate investigation and control measures. An agreed reporting contact and update schedule would make the response clearer for parents, nursery staff and clinicians (UKHSA, n.d.-b).</w:t>
      </w:r>
    </w:p>
    <w:p w:rsidR="003C2D2B" w:rsidRDefault="00000000" w14:paraId="6FCB9B13" w14:textId="77777777">
      <w:r>
        <w:t>National laboratory surveillance adds context. UKHSA’s report covering data to 7 December 2025 recorded 928 positive rotavirus laboratory reports in England during the season to that point, compared with a five-season average of 821: 13.1% higher (UKHSA, 2025). These are historical surveillance figures, not October 2026 totals. They refer to England, not the whole UK, and are not evidence of an outbreak in Mary’s neighbourhood.</w:t>
      </w:r>
    </w:p>
    <w:p w:rsidR="003C2D2B" w:rsidRDefault="00000000" w14:paraId="71091332" w14:textId="77777777">
      <w:r>
        <w:t>Laboratory reports underestimate community illness because many affected people never seek care or provide a stool sample. Testing practice, access to services and reporting delays also influence the count. Symptoms alone lack specificity, while hospital admissions disproportionately reflect more severe illness. Therefore, laboratory results, clinical activity and setting-level information should be interpreted together rather than treated as interchangeable measures of incidence (Public Health England, 2015; UKHSA, 2025).</w:t>
      </w:r>
    </w:p>
    <w:p w:rsidRPr="000D04DD" w:rsidR="003C2D2B" w:rsidRDefault="00000000" w14:paraId="04326991" w14:textId="77777777">
      <w:pPr>
        <w:pStyle w:val="Heading2"/>
        <w:rPr>
          <w:color w:val="1F497D" w:themeColor="text2"/>
        </w:rPr>
      </w:pPr>
      <w:r w:rsidRPr="000D04DD">
        <w:rPr>
          <w:color w:val="1F497D" w:themeColor="text2"/>
        </w:rPr>
        <w:t>Assessing whether control is working</w:t>
      </w:r>
    </w:p>
    <w:p w:rsidR="003C2D2B" w:rsidRDefault="00000000" w14:paraId="1D0891A8" w14:textId="77777777">
      <w:r>
        <w:t>I would compare new-onset cases before and after interventions, allow for infections acquired before controls began, and check that attendance and testing have not changed substantially. A falling case count after many children stop attending could reflect reduced exposure, reduced observation, or both. The outcome should include fewer new infections and severe cases, not simply fewer submitted samples. Health protection advice should determine when enhanced measures can end.</w:t>
      </w:r>
    </w:p>
    <w:p w:rsidR="003C2D2B" w:rsidRDefault="00000000" w14:paraId="6CC8936D" w14:textId="77777777">
      <w:r>
        <w:t>Monitoring should also assess whether prevention reaches those most at risk. For example, practices can review timely completion of the infant vaccine course, while a nursery can check that staff understand exclusion guidance and have enough cleaning supplies. These proposed process measures identify implementation problems that disease totals alone may miss. Information shared with families should be clear and proportionate, without identifying the affected child.</w:t>
      </w:r>
    </w:p>
    <w:p w:rsidR="003C2D2B" w:rsidRDefault="00000000" w14:paraId="65CC9BAE" w14:textId="77777777">
      <w:r>
        <w:br w:type="page"/>
      </w:r>
    </w:p>
    <w:p w:rsidRPr="000D04DD" w:rsidR="003C2D2B" w:rsidRDefault="00000000" w14:paraId="757D4F61" w14:textId="77777777">
      <w:pPr>
        <w:pStyle w:val="Heading1"/>
        <w:rPr>
          <w:color w:val="1F497D" w:themeColor="text2"/>
        </w:rPr>
      </w:pPr>
      <w:r w:rsidRPr="000D04DD">
        <w:rPr>
          <w:color w:val="1F497D" w:themeColor="text2"/>
        </w:rPr>
        <w:t>Controlling infection and evaluating policy</w:t>
      </w:r>
    </w:p>
    <w:p w:rsidRPr="000D04DD" w:rsidR="003C2D2B" w:rsidRDefault="00000000" w14:paraId="635B2F07" w14:textId="77777777">
      <w:pPr>
        <w:pStyle w:val="Heading2"/>
        <w:rPr>
          <w:color w:val="1F497D" w:themeColor="text2"/>
        </w:rPr>
      </w:pPr>
      <w:r w:rsidRPr="000D04DD">
        <w:rPr>
          <w:color w:val="1F497D" w:themeColor="text2"/>
        </w:rPr>
        <w:t>Vaccination as primary prevention</w:t>
      </w:r>
    </w:p>
    <w:p w:rsidR="003C2D2B" w:rsidRDefault="00000000" w14:paraId="3C2803DF" w14:textId="77777777">
      <w:r>
        <w:t>The UK introduced routine infant rotavirus vaccination in July 2013. Current guidance offers two oral doses at eight and twelve weeks. The first must be given before fifteen weeks and the second before twenty-four weeks. Mary is too old for routine catch-up vaccination, and vaccination does not treat her current illness (UKHSA, n.d.-a). Her vaccination history is unknown and should be checked rather than assumed.</w:t>
      </w:r>
    </w:p>
    <w:p w:rsidR="003C2D2B" w:rsidRDefault="00000000" w14:paraId="6629642A" w14:textId="77777777">
      <w:r>
        <w:t>Evidence supports the programme. UKHSA reports a 77% fall in laboratory-confirmed infant infections in the first season after introduction (UKHSA, n.d.-a). In Merseyside, Hungerford et al. (2018) estimated an 80% reduction in rotavirus gastroenteritis hospitalisations among under-fives, with a 95% confidence interval of 70–87%. This is a local historical estimate, not a current UK-wide effectiveness percentage.</w:t>
      </w:r>
    </w:p>
    <w:p w:rsidR="003C2D2B" w:rsidRDefault="00000000" w14:paraId="5CF49D83" w14:textId="77777777">
      <w:r>
        <w:t>The Merseyside study used interrupted time-series analysis, comparing observed outcomes with the expected pattern without vaccination. This is stronger than a simple before-and-after count because it considers underlying trends, but it remains observational. Changes in testing or healthcare use may influence estimates. Nevertheless, reductions across several healthcare outcomes strengthen the argument that vaccination reduces disease burden. The programme should be judged on hospitalisations and equitable access as well as reported infections.</w:t>
      </w:r>
    </w:p>
    <w:p w:rsidRPr="000D04DD" w:rsidR="003C2D2B" w:rsidRDefault="00000000" w14:paraId="2F4B86E7" w14:textId="77777777">
      <w:pPr>
        <w:pStyle w:val="Heading2"/>
        <w:rPr>
          <w:color w:val="1F497D" w:themeColor="text2"/>
        </w:rPr>
      </w:pPr>
      <w:r w:rsidRPr="000D04DD">
        <w:rPr>
          <w:color w:val="1F497D" w:themeColor="text2"/>
        </w:rPr>
        <w:t>Hygiene and exclusion</w:t>
      </w:r>
    </w:p>
    <w:p w:rsidR="003C2D2B" w:rsidRDefault="00000000" w14:paraId="7F831D5D" w14:textId="77777777">
      <w:r>
        <w:t>In a nursery, staff should supervise handwashing with soap and water, especially after toileting or nappy changes and before food. Contaminated surfaces, toilets and toys need appropriate cleaning and disinfection, with protective equipment for staff handling bodily fluids. Nappy-changing and food-preparation areas should be kept separate. These measures require training, time and supplies, not merely posters (UKHSA, n.d.-c).</w:t>
      </w:r>
    </w:p>
    <w:p w:rsidR="003C2D2B" w:rsidRDefault="00000000" w14:paraId="640A63A2" w14:textId="77777777">
      <w:r>
        <w:t>Children with diarrhoea or vomiting should remain away from the setting until at least 48 hours after the last episode, following UKHSA exclusion guidance (UKHSA, n.d.-d). Exclusion reduces exposure but may create childcare and income pressures. My evaluation is that guidance is more workable when families receive an explanation and practical support. Closing an entire setting should not be assumed necessary; decisions should follow the circumstances and health protection advice.</w:t>
      </w:r>
    </w:p>
    <w:p w:rsidR="003C2D2B" w:rsidRDefault="00000000" w14:paraId="7D9D1896" w14:textId="77777777">
      <w:pPr>
        <w:pStyle w:val="Heading2"/>
      </w:pPr>
      <w:r>
        <w:t>Care for Mary</w:t>
      </w:r>
    </w:p>
    <w:p w:rsidR="003C2D2B" w:rsidRDefault="00000000" w14:paraId="0EC5316D" w14:textId="77777777">
      <w:r>
        <w:t>Mary needs assessment of hydration and clinical condition. Her 40°C fever matters: NICE identifies a temperature of at least 39°C in children aged three months or older as a possible indicator of another diagnosis. A positive rotavirus result should not end clinical assessment. Rehydration should follow clinical findings, using oral rehydration solution where appropriate and escalation when needed. Antibiotics are not routine treatment for gastroenteritis (NICE, 2009).</w:t>
      </w:r>
    </w:p>
    <w:p w:rsidR="003C2D2B" w:rsidRDefault="00000000" w14:paraId="3E05CAAF" w14:textId="77777777">
      <w:r>
        <w:br w:type="page"/>
      </w:r>
    </w:p>
    <w:p w:rsidRPr="000D04DD" w:rsidR="003C2D2B" w:rsidRDefault="00000000" w14:paraId="7F3D7C3A" w14:textId="77777777">
      <w:pPr>
        <w:pStyle w:val="Heading1"/>
        <w:rPr>
          <w:color w:val="1F497D" w:themeColor="text2"/>
        </w:rPr>
      </w:pPr>
      <w:r w:rsidRPr="000D04DD">
        <w:rPr>
          <w:color w:val="1F497D" w:themeColor="text2"/>
        </w:rPr>
        <w:t>Health and wellbeing and community education</w:t>
      </w:r>
    </w:p>
    <w:p w:rsidR="003C2D2B" w:rsidRDefault="00000000" w14:paraId="74D3C968" w14:textId="77777777">
      <w:r>
        <w:t>Age, fluid losses, reduced intake and underlying health influence the risk of deterioration. Mary depends on adults to notice changes, offer fluids and seek care. Her parents already attempted to prevent dehydration and brought her to hospital, which are protective actions. The information does not establish neglect, inadequate hygiene, poverty or missed vaccination; none should be inferred from her illness.</w:t>
      </w:r>
    </w:p>
    <w:p w:rsidR="003C2D2B" w:rsidRDefault="00000000" w14:paraId="7BE2A339" w14:textId="77777777">
      <w:r>
        <w:t>Social circumstances may nevertheless affect prevention and recovery. Crowded accommodation or shared bathroom facilities could make infection control harder. Work commitments, transport difficulties or language barriers may limit access to appointments and advice. These are factors to explore sensitively with the family rather than assumptions about them. Accessible explanations and a realistic home-care plan can improve the usefulness of professional advice.</w:t>
      </w:r>
    </w:p>
    <w:p w:rsidR="003C2D2B" w:rsidRDefault="00000000" w14:paraId="409CB911" w14:textId="77777777">
      <w:r>
        <w:t>Hungerford et al. (2018) found greater pre-vaccination gastroenteritis hospitalisation risk and lower vaccine uptake in the most deprived Merseyside communities. This supports targeting access barriers, although neighbourhood associations do not explain any individual family’s behaviour. I would recommend reminders before the vaccine age limits, flexible appointments and language support. A universal free programme is valuable, but availability alone does not guarantee equal uptake.</w:t>
      </w:r>
    </w:p>
    <w:p w:rsidRPr="000D04DD" w:rsidR="003C2D2B" w:rsidRDefault="00000000" w14:paraId="5774A8A7" w14:textId="77777777">
      <w:pPr>
        <w:pStyle w:val="Heading2"/>
        <w:rPr>
          <w:color w:val="1F497D" w:themeColor="text2"/>
        </w:rPr>
      </w:pPr>
      <w:r w:rsidRPr="000D04DD">
        <w:rPr>
          <w:color w:val="1F497D" w:themeColor="text2"/>
        </w:rPr>
        <w:t>Implications for health and social care</w:t>
      </w:r>
    </w:p>
    <w:p w:rsidR="003C2D2B" w:rsidRDefault="00000000" w14:paraId="3176E297" w14:textId="77777777">
      <w:r>
        <w:t>A community cluster of rotavirus could increase demand on GP practices, NHS 111, emergency departments, laboratory services and paediatric beds. Hospitals may need additional infection-prevention input, cleaning and appropriate patient placement. Nursery absences can disrupt education and parents’ employment, while illness among staff reduces capacity. These are likely service implications to plan for, not outcomes confirmed in Mary’s case.</w:t>
      </w:r>
    </w:p>
    <w:p w:rsidR="003C2D2B" w:rsidRDefault="00000000" w14:paraId="38DF7F1E" w14:textId="77777777">
      <w:r>
        <w:t>The response should connect clinical care with prevention. Hospital staff can provide discharge advice, the nursery can communicate exclusion requirements, and public health staff can coordinate investigation where indicated. Social or family support should be based on assessed need. Prevention benefits services by reducing avoidable demand, while safe community management still depends on recognising children who require urgent assessment.</w:t>
      </w:r>
    </w:p>
    <w:p w:rsidRPr="000D04DD" w:rsidR="003C2D2B" w:rsidRDefault="00000000" w14:paraId="711C6794" w14:textId="77777777">
      <w:pPr>
        <w:pStyle w:val="Heading2"/>
        <w:rPr>
          <w:color w:val="1F497D" w:themeColor="text2"/>
        </w:rPr>
      </w:pPr>
      <w:r w:rsidRPr="000D04DD">
        <w:rPr>
          <w:color w:val="1F497D" w:themeColor="text2"/>
        </w:rPr>
        <w:t>Education for families</w:t>
      </w:r>
    </w:p>
    <w:p w:rsidR="003C2D2B" w:rsidRDefault="00000000" w14:paraId="69BE961E" w14:textId="77777777">
      <w:r>
        <w:t>I would explain that fluids are important, fruit juice and fizzy drinks can worsen diarrhoea, and parents should seek urgent advice if a young child shows dehydration or cannot retain fluids. NHS guidance directs families to NHS 111 for these concerns and emergency care for serious signs such as abnormal responsiveness or severe breathing difficulty (NHS, 2023a). Advice should use everyday language, with parents asked to explain the plan back in their own words.</w:t>
      </w:r>
    </w:p>
    <w:p w:rsidR="003C2D2B" w:rsidRDefault="00000000" w14:paraId="4F91F8C1" w14:textId="77777777">
      <w:pPr>
        <w:pStyle w:val="Heading2"/>
      </w:pPr>
      <w:r w:rsidRPr="000D04DD">
        <w:rPr>
          <w:color w:val="1F497D" w:themeColor="text2"/>
        </w:rPr>
        <w:t>Conclusion</w:t>
      </w:r>
    </w:p>
    <w:p w:rsidR="003C2D2B" w:rsidRDefault="00000000" w14:paraId="2E00E79F" w14:textId="77777777">
      <w:r>
        <w:t>Mary’s case shows why public health and individual care must be coordinated. Clear definitions and appropriate denominators make measurement meaningful; repeated surveillance helps identify change; and vaccination, hygiene and exclusion reduce risk. Effective policy also requires critical interpretation of data and support for families facing access barriers. The immediate priorities are safe care for Mary and investigation of any linked illness, without assuming that one case represents an outbreak.</w:t>
      </w:r>
    </w:p>
    <w:p w:rsidR="003C2D2B" w:rsidRDefault="00000000" w14:paraId="73C27AA0" w14:textId="77777777">
      <w:r>
        <w:br w:type="page"/>
      </w:r>
    </w:p>
    <w:p w:rsidRPr="000D04DD" w:rsidR="003C2D2B" w:rsidRDefault="00000000" w14:paraId="06E7515A" w14:textId="77777777">
      <w:pPr>
        <w:pStyle w:val="Heading1"/>
        <w:rPr>
          <w:color w:val="1F497D" w:themeColor="text2"/>
        </w:rPr>
      </w:pPr>
      <w:r w:rsidRPr="000D04DD">
        <w:rPr>
          <w:color w:val="1F497D" w:themeColor="text2"/>
        </w:rPr>
        <w:t>Five minute speaking guide</w:t>
      </w:r>
    </w:p>
    <w:p w:rsidR="003C2D2B" w:rsidRDefault="00000000" w14:paraId="73289BAB" w14:textId="77777777">
      <w:r>
        <w:t>Use these prompts across the open discussion, allowing others to contribute. Rehearse aloud and shorten where necessary. The timings are approximate and include brief pauses or responses.</w:t>
      </w:r>
    </w:p>
    <w:p w:rsidRPr="000D04DD" w:rsidR="003C2D2B" w:rsidRDefault="00000000" w14:paraId="77E8F53D" w14:textId="77777777">
      <w:pPr>
        <w:pStyle w:val="Heading2"/>
        <w:rPr>
          <w:color w:val="1F497D" w:themeColor="text2"/>
        </w:rPr>
      </w:pPr>
      <w:r w:rsidRPr="000D04DD">
        <w:rPr>
          <w:color w:val="1F497D" w:themeColor="text2"/>
        </w:rPr>
        <w:t>Opening   30 seconds</w:t>
      </w:r>
    </w:p>
    <w:p w:rsidR="003C2D2B" w:rsidRDefault="00000000" w14:paraId="3F152AC2" w14:textId="77777777">
      <w:r>
        <w:t>Mary is three and has confirmed rotavirus, vomiting, diarrhoea, a 40°C fever and reduced fluid intake. I would prioritise her clinical assessment while checking for linked cases. One case does not prove an outbreak. My main point is that measurement, monitoring and prevention need to work together.</w:t>
      </w:r>
    </w:p>
    <w:p w:rsidRPr="000D04DD" w:rsidR="003C2D2B" w:rsidRDefault="00000000" w14:paraId="2A162939" w14:textId="77777777">
      <w:pPr>
        <w:pStyle w:val="Heading2"/>
        <w:rPr>
          <w:color w:val="1F497D" w:themeColor="text2"/>
        </w:rPr>
      </w:pPr>
      <w:r w:rsidRPr="000D04DD">
        <w:rPr>
          <w:color w:val="1F497D" w:themeColor="text2"/>
        </w:rPr>
        <w:t>Measurement   50 seconds</w:t>
      </w:r>
    </w:p>
    <w:p w:rsidR="003C2D2B" w:rsidRDefault="00000000" w14:paraId="2F3833E5" w14:textId="77777777">
      <w:r>
        <w:t>I would define the population, dates and symptoms, and separate suspected cases from laboratory-confirmed rotavirus. A line list records onset, age, location, results and outcomes without duplicating patients. Incidence measures new cases over time. In a nursery, the attack rate is cases divided by people at risk, times one hundred. Twelve cases among sixty children would be twenty per cent, but that is only a worked example.</w:t>
      </w:r>
    </w:p>
    <w:p w:rsidRPr="000D04DD" w:rsidR="003C2D2B" w:rsidRDefault="00000000" w14:paraId="1A2B96E9" w14:textId="77777777">
      <w:pPr>
        <w:pStyle w:val="Heading2"/>
        <w:rPr>
          <w:color w:val="1F497D" w:themeColor="text2"/>
        </w:rPr>
      </w:pPr>
      <w:r w:rsidRPr="000D04DD">
        <w:rPr>
          <w:color w:val="1F497D" w:themeColor="text2"/>
        </w:rPr>
        <w:t>Monitoring   50 seconds</w:t>
      </w:r>
    </w:p>
    <w:p w:rsidR="003C2D2B" w:rsidRDefault="00000000" w14:paraId="15491D66" w14:textId="77777777">
      <w:r>
        <w:t>I would update cases and absences regularly, plot onset dates, and seek health protection advice where indicated. National data provide context: UKHSA recorded 928 laboratory reports in England by week 49 of the 2025–26 season, 13.1% above its comparison average. These are historical reports, not all community infections. Testing and reporting affect the figures, so I would also examine admissions and local information. What other evidence would the group use?</w:t>
      </w:r>
    </w:p>
    <w:p w:rsidR="003C2D2B" w:rsidRDefault="00000000" w14:paraId="30F980BC" w14:textId="77777777">
      <w:pPr>
        <w:pStyle w:val="Heading2"/>
      </w:pPr>
      <w:r w:rsidRPr="000D04DD">
        <w:rPr>
          <w:color w:val="1F497D" w:themeColor="text2"/>
        </w:rPr>
        <w:t>Control and evaluation   80 seconds</w:t>
      </w:r>
    </w:p>
    <w:p w:rsidR="003C2D2B" w:rsidRDefault="00000000" w14:paraId="6ECC8C5A" w14:textId="77777777">
      <w:r>
        <w:t>Vaccination is the strongest preventive policy. The routine doses are at eight and twelve weeks, so it is not a catch-up treatment for three-year-old Mary. UKHSA reports a 77% reduction in infant laboratory-confirmed cases in the first season after introduction. That supports vaccination, but before-and-after changes need careful interpretation. Hygiene and exclusion are still needed: supervised handwashing, suitable cleaning and staying away until forty-eight hours after the last vomiting or diarrhoea episode. I would check whether families can realistically follow this advice. Mary’s high fever also requires clinical assessment; the positive test should not lead us to ignore another possible illness.</w:t>
      </w:r>
    </w:p>
    <w:p w:rsidRPr="000D04DD" w:rsidR="003C2D2B" w:rsidRDefault="00000000" w14:paraId="383153A7" w14:textId="77777777">
      <w:pPr>
        <w:pStyle w:val="Heading2"/>
        <w:rPr>
          <w:color w:val="1F497D" w:themeColor="text2"/>
        </w:rPr>
      </w:pPr>
      <w:r w:rsidRPr="000D04DD">
        <w:rPr>
          <w:color w:val="1F497D" w:themeColor="text2"/>
        </w:rPr>
        <w:t>Wellbeing and services   60 seconds</w:t>
      </w:r>
    </w:p>
    <w:p w:rsidR="003C2D2B" w:rsidRDefault="00000000" w14:paraId="57630A5A" w14:textId="77777777">
      <w:r>
        <w:t>Illness affects families as well as patients. Parents may lose work, children miss nursery, and services face additional consultations, testing and admissions. We should ask about support and access without making assumptions about Mary’s family. A Merseyside study found greater disease burden and lower vaccine uptake in more deprived communities. I would therefore support flexible appointments, reminders and accessible advice. A free vaccination programme helps, but does not remove every barrier. How could services make prevention easier for families?</w:t>
      </w:r>
    </w:p>
    <w:p w:rsidRPr="000D04DD" w:rsidR="003C2D2B" w:rsidRDefault="00000000" w14:paraId="0D9112FD" w14:textId="77777777">
      <w:pPr>
        <w:pStyle w:val="Heading2"/>
        <w:rPr>
          <w:color w:val="1F497D" w:themeColor="text2"/>
        </w:rPr>
      </w:pPr>
      <w:r w:rsidRPr="000D04DD">
        <w:rPr>
          <w:color w:val="1F497D" w:themeColor="text2"/>
        </w:rPr>
        <w:t>Closing   30 seconds</w:t>
      </w:r>
    </w:p>
    <w:p w:rsidR="003C2D2B" w:rsidRDefault="00000000" w14:paraId="119223CB" w14:textId="77777777">
      <w:r>
        <w:t>My conclusion is that reliable data must lead to practical action. Define and count cases accurately, monitor changes, prevent transmission, and support families. For Mary, safe assessment and hydration come first, alongside checking for linked illness. Success means fewer infections and severe cases, with fair access to prevention and care.</w:t>
      </w:r>
    </w:p>
    <w:p w:rsidR="003C2D2B" w:rsidRDefault="00000000" w14:paraId="2E73D8D9" w14:textId="77777777">
      <w:r>
        <w:br w:type="page"/>
      </w:r>
    </w:p>
    <w:p w:rsidRPr="000D04DD" w:rsidR="003C2D2B" w:rsidRDefault="00000000" w14:paraId="2D52B5DB" w14:textId="77777777">
      <w:pPr>
        <w:pStyle w:val="Heading1"/>
        <w:rPr>
          <w:color w:val="1F497D" w:themeColor="text2"/>
        </w:rPr>
      </w:pPr>
      <w:r w:rsidRPr="000D04DD">
        <w:rPr>
          <w:color w:val="1F497D" w:themeColor="text2"/>
        </w:rPr>
        <w:t>Questions to prepare for</w:t>
      </w:r>
    </w:p>
    <w:p w:rsidRPr="000D04DD" w:rsidR="003C2D2B" w:rsidRDefault="00000000" w14:paraId="59174ECD" w14:textId="77777777">
      <w:pPr>
        <w:pStyle w:val="Heading2"/>
        <w:rPr>
          <w:color w:val="1F497D" w:themeColor="text2"/>
        </w:rPr>
      </w:pPr>
      <w:r w:rsidRPr="000D04DD">
        <w:rPr>
          <w:color w:val="1F497D" w:themeColor="text2"/>
        </w:rPr>
        <w:t>How are measurement and monitoring different</w:t>
      </w:r>
    </w:p>
    <w:p w:rsidR="003C2D2B" w:rsidRDefault="00000000" w14:paraId="6E36E9CF" w14:textId="77777777">
      <w:r>
        <w:t>Measurement describes the amount of disease in a population and period. Monitoring repeats that process to detect changes and inform action.</w:t>
      </w:r>
    </w:p>
    <w:p w:rsidRPr="000D04DD" w:rsidR="003C2D2B" w:rsidRDefault="00000000" w14:paraId="4BB49426" w14:textId="77777777">
      <w:pPr>
        <w:pStyle w:val="Heading2"/>
        <w:rPr>
          <w:color w:val="1F497D" w:themeColor="text2"/>
        </w:rPr>
      </w:pPr>
      <w:r w:rsidRPr="000D04DD">
        <w:rPr>
          <w:color w:val="1F497D" w:themeColor="text2"/>
        </w:rPr>
        <w:t>Does a positive result prove where Mary caught it</w:t>
      </w:r>
    </w:p>
    <w:p w:rsidR="003C2D2B" w:rsidRDefault="00000000" w14:paraId="69A449A6" w14:textId="77777777">
      <w:r>
        <w:t>No. Contacts, timing and other cases require investigation. Nursery attendance itself is not supplied in the case study.</w:t>
      </w:r>
    </w:p>
    <w:p w:rsidRPr="000D04DD" w:rsidR="003C2D2B" w:rsidRDefault="00000000" w14:paraId="5EAA48F5" w14:textId="77777777">
      <w:pPr>
        <w:pStyle w:val="Heading2"/>
        <w:rPr>
          <w:color w:val="1F497D" w:themeColor="text2"/>
        </w:rPr>
      </w:pPr>
      <w:r w:rsidRPr="000D04DD">
        <w:rPr>
          <w:color w:val="1F497D" w:themeColor="text2"/>
        </w:rPr>
        <w:t>Why not count every child with vomiting as rotavirus</w:t>
      </w:r>
    </w:p>
    <w:p w:rsidR="003C2D2B" w:rsidRDefault="00000000" w14:paraId="45BDCF2C" w14:textId="77777777">
      <w:r>
        <w:t>Symptoms are not specific. Record suspected gastroenteritis separately and use testing where clinically or epidemiologically appropriate.</w:t>
      </w:r>
    </w:p>
    <w:p w:rsidRPr="000D04DD" w:rsidR="003C2D2B" w:rsidRDefault="00000000" w14:paraId="1DC1A19B" w14:textId="77777777">
      <w:pPr>
        <w:pStyle w:val="Heading2"/>
        <w:rPr>
          <w:color w:val="1F497D" w:themeColor="text2"/>
        </w:rPr>
      </w:pPr>
      <w:r w:rsidRPr="000D04DD">
        <w:rPr>
          <w:color w:val="1F497D" w:themeColor="text2"/>
        </w:rPr>
        <w:t>Would you vaccinate Mary now</w:t>
      </w:r>
    </w:p>
    <w:p w:rsidR="003C2D2B" w:rsidRDefault="00000000" w14:paraId="286169E3" w14:textId="77777777">
      <w:r>
        <w:t>No. Routine rotavirus vaccination has strict infant age limits. It prevents future disease and does not treat an existing infection (UKHSA, n.d.-a).</w:t>
      </w:r>
    </w:p>
    <w:p w:rsidRPr="000D04DD" w:rsidR="003C2D2B" w:rsidRDefault="00000000" w14:paraId="3C27F43E" w14:textId="77777777">
      <w:pPr>
        <w:pStyle w:val="Heading2"/>
        <w:rPr>
          <w:color w:val="1F497D" w:themeColor="text2"/>
        </w:rPr>
      </w:pPr>
      <w:r w:rsidRPr="000D04DD">
        <w:rPr>
          <w:color w:val="1F497D" w:themeColor="text2"/>
        </w:rPr>
        <w:t>Does higher reporting mean vaccination has failed</w:t>
      </w:r>
    </w:p>
    <w:p w:rsidR="003C2D2B" w:rsidRDefault="00000000" w14:paraId="63D1D300" w14:textId="77777777">
      <w:r>
        <w:t>No. Consider the comparison period, population, testing and severity. Vaccination does not prevent every infection (NHS, 2023b).</w:t>
      </w:r>
    </w:p>
    <w:p w:rsidRPr="000D04DD" w:rsidR="003C2D2B" w:rsidRDefault="00000000" w14:paraId="03989719" w14:textId="77777777">
      <w:pPr>
        <w:pStyle w:val="Heading2"/>
        <w:rPr>
          <w:color w:val="1F497D" w:themeColor="text2"/>
        </w:rPr>
      </w:pPr>
      <w:r w:rsidRPr="000D04DD">
        <w:rPr>
          <w:color w:val="1F497D" w:themeColor="text2"/>
        </w:rPr>
        <w:t>How would you demonstrate teamwork</w:t>
      </w:r>
    </w:p>
    <w:p w:rsidR="003C2D2B" w:rsidRDefault="00000000" w14:paraId="0FE9435F" w14:textId="77777777">
      <w:r>
        <w:t>Build on a peer’s contribution, ask a relevant question, acknowledge a different interpretation and bring the discussion back to evidence. Avoid reading a continuous speech that leaves no space for others.</w:t>
      </w:r>
    </w:p>
    <w:p w:rsidRPr="000D04DD" w:rsidR="003C2D2B" w:rsidRDefault="00000000" w14:paraId="02CA4A37" w14:textId="77777777">
      <w:pPr>
        <w:pStyle w:val="Heading2"/>
        <w:rPr>
          <w:color w:val="1F497D" w:themeColor="text2"/>
        </w:rPr>
      </w:pPr>
      <w:r w:rsidRPr="000D04DD">
        <w:rPr>
          <w:color w:val="1F497D" w:themeColor="text2"/>
        </w:rPr>
        <w:t>Separate answer on coronary heart disease</w:t>
      </w:r>
    </w:p>
    <w:p w:rsidR="003C2D2B" w:rsidRDefault="00000000" w14:paraId="258DC406" w14:textId="77777777">
      <w:r>
        <w:t>If asked about coronary heart disease, I would discuss smoking, high blood pressure, cholesterol, diabetes, diet and physical inactivity, alongside age and family history. Symptoms and anxiety can affect activity, work and wellbeing. Financial constraints, social support and access to care may influence a person’s ability to manage the condition.</w:t>
      </w:r>
    </w:p>
    <w:p w:rsidR="003C2D2B" w:rsidRDefault="00000000" w14:paraId="4AA5DBD2" w14:textId="77777777">
      <w:r>
        <w:t>Community education should promote smoking cessation support, a balanced diet with less saturated fat and salt, suitable physical activity, and attendance at blood pressure and cholesterol checks. People with diagnosed disease should follow their treatment plan and seek advice before changing medicines. Education should be practical and culturally accessible, with affordable options and support rather than blame (NHS, n.d.).</w:t>
      </w:r>
    </w:p>
    <w:p w:rsidR="003C2D2B" w:rsidRDefault="00000000" w14:paraId="57EED643" w14:textId="77777777">
      <w:r>
        <w:br w:type="page"/>
      </w:r>
    </w:p>
    <w:p w:rsidRPr="000D04DD" w:rsidR="003C2D2B" w:rsidRDefault="00000000" w14:paraId="009EB36B" w14:textId="77777777">
      <w:pPr>
        <w:pStyle w:val="Heading1"/>
        <w:rPr>
          <w:color w:val="1F497D" w:themeColor="text2"/>
        </w:rPr>
      </w:pPr>
      <w:r w:rsidRPr="000D04DD">
        <w:rPr>
          <w:color w:val="1F497D" w:themeColor="text2"/>
        </w:rPr>
        <w:t>References</w:t>
      </w:r>
    </w:p>
    <w:p w:rsidR="003C2D2B" w:rsidRDefault="00000000" w14:paraId="6355B2A3" w14:textId="77777777">
      <w:r>
        <w:t>Author–date references for the extended notes and speaking guide. Websites are provided for checking the evidence and further preparation.</w:t>
      </w:r>
    </w:p>
    <w:p w:rsidR="003C2D2B" w:rsidRDefault="00000000" w14:paraId="69B2FBD8" w14:textId="77777777">
      <w:r>
        <w:t>Hungerford, D., Vivancos, R., Read, J.M., Iturriza-Gómara, M., French, N. and Cunliffe, N.A. (2018). Rotavirus vaccine impact and socioeconomic deprivation: an interrupted time-series analysis of gastrointestinal disease outcomes across primary and secondary care in the UK. BMC Medicine, 16, 10.</w:t>
      </w:r>
    </w:p>
    <w:p w:rsidR="003C2D2B" w:rsidRDefault="000D04DD" w14:paraId="1274709A" w14:textId="5E93ED71">
      <w:pPr>
        <w:spacing w:after="260"/>
      </w:pPr>
      <w:hyperlink w:history="1" r:id="rId8">
        <w:r w:rsidRPr="001F739B">
          <w:rPr>
            <w:rStyle w:val="Hyperlink"/>
            <w:sz w:val="18"/>
          </w:rPr>
          <w:t>https://pmc.ncbi.nlm.nih.gov/articles/PMC5787923/</w:t>
        </w:r>
      </w:hyperlink>
      <w:r>
        <w:rPr>
          <w:sz w:val="18"/>
        </w:rPr>
        <w:t xml:space="preserve"> </w:t>
      </w:r>
    </w:p>
    <w:p w:rsidR="003C2D2B" w:rsidRDefault="00000000" w14:paraId="18108356" w14:textId="77777777">
      <w:r>
        <w:t>National Institute for Health and Care Excellence (NICE) (2009). Diarrhoea and vomiting caused by gastroenteritis in under 5s: diagnosis and management. CG84.</w:t>
      </w:r>
    </w:p>
    <w:p w:rsidR="003C2D2B" w:rsidRDefault="000D04DD" w14:paraId="4C8B4758" w14:textId="22845959">
      <w:pPr>
        <w:spacing w:after="260"/>
      </w:pPr>
      <w:hyperlink w:history="1" r:id="rId9">
        <w:r w:rsidRPr="001F739B">
          <w:rPr>
            <w:rStyle w:val="Hyperlink"/>
            <w:sz w:val="18"/>
          </w:rPr>
          <w:t>https://www.nice.org.uk/guidance/cg84/chapter/Recommendations</w:t>
        </w:r>
      </w:hyperlink>
      <w:r>
        <w:rPr>
          <w:sz w:val="18"/>
        </w:rPr>
        <w:t xml:space="preserve"> </w:t>
      </w:r>
    </w:p>
    <w:p w:rsidR="003C2D2B" w:rsidRDefault="00000000" w14:paraId="163CD14A" w14:textId="742A9EC2">
      <w:r>
        <w:t xml:space="preserve">NHS (2023a). </w:t>
      </w:r>
      <w:proofErr w:type="spellStart"/>
      <w:r>
        <w:t>Diarrhoea</w:t>
      </w:r>
      <w:proofErr w:type="spellEnd"/>
      <w:r>
        <w:t xml:space="preserve"> and vomiting.</w:t>
      </w:r>
      <w:r w:rsidR="000D04DD">
        <w:t xml:space="preserve"> </w:t>
      </w:r>
    </w:p>
    <w:p w:rsidR="003C2D2B" w:rsidRDefault="000D04DD" w14:paraId="3635C0F3" w14:textId="720C5F8F">
      <w:pPr>
        <w:spacing w:after="260"/>
      </w:pPr>
      <w:hyperlink w:history="1" r:id="rId10">
        <w:r w:rsidRPr="001F739B">
          <w:rPr>
            <w:rStyle w:val="Hyperlink"/>
            <w:sz w:val="18"/>
          </w:rPr>
          <w:t>https://www.nhs.uk/symptoms/diarrhoea-and-vomiting/</w:t>
        </w:r>
      </w:hyperlink>
      <w:r>
        <w:rPr>
          <w:sz w:val="18"/>
        </w:rPr>
        <w:t xml:space="preserve"> </w:t>
      </w:r>
    </w:p>
    <w:p w:rsidR="003C2D2B" w:rsidRDefault="00000000" w14:paraId="4738058A" w14:textId="77777777">
      <w:r>
        <w:t>NHS (2023b). Rotavirus vaccine.</w:t>
      </w:r>
    </w:p>
    <w:p w:rsidR="003C2D2B" w:rsidRDefault="000D04DD" w14:paraId="4B39621D" w14:textId="0E3CC4B8">
      <w:pPr>
        <w:spacing w:after="260"/>
      </w:pPr>
      <w:hyperlink w:history="1" r:id="rId11">
        <w:r w:rsidRPr="001F739B">
          <w:rPr>
            <w:rStyle w:val="Hyperlink"/>
            <w:sz w:val="18"/>
          </w:rPr>
          <w:t>https://www.nhs.uk/vaccinations/rotavirus-vaccine/</w:t>
        </w:r>
      </w:hyperlink>
      <w:r>
        <w:rPr>
          <w:sz w:val="18"/>
        </w:rPr>
        <w:t xml:space="preserve"> </w:t>
      </w:r>
    </w:p>
    <w:p w:rsidR="003C2D2B" w:rsidRDefault="00000000" w14:paraId="7375CA59" w14:textId="7D869C1D">
      <w:r>
        <w:t>NHS (n.d.). Coronary heart disease: prevention.</w:t>
      </w:r>
      <w:r w:rsidR="000D04DD">
        <w:t xml:space="preserve"> </w:t>
      </w:r>
    </w:p>
    <w:p w:rsidR="003C2D2B" w:rsidRDefault="000D04DD" w14:paraId="08E0B40B" w14:textId="4C6E1E6E">
      <w:pPr>
        <w:spacing w:after="260"/>
      </w:pPr>
      <w:hyperlink w:history="1" r:id="rId12">
        <w:r w:rsidRPr="001F739B">
          <w:rPr>
            <w:rStyle w:val="Hyperlink"/>
            <w:sz w:val="18"/>
          </w:rPr>
          <w:t>https://www.nhs.uk/conditions/coronary-heart-disease/prevention/</w:t>
        </w:r>
      </w:hyperlink>
      <w:r>
        <w:rPr>
          <w:sz w:val="18"/>
        </w:rPr>
        <w:t xml:space="preserve"> </w:t>
      </w:r>
    </w:p>
    <w:p w:rsidR="003C2D2B" w:rsidRDefault="00000000" w14:paraId="2F67B947" w14:textId="77777777">
      <w:r>
        <w:t>Public Health England (2015). Rotavirus: the Green Book, chapter 27b.</w:t>
      </w:r>
    </w:p>
    <w:p w:rsidR="003C2D2B" w:rsidRDefault="000D04DD" w14:paraId="393BA3DF" w14:textId="1A4FD3BC">
      <w:pPr>
        <w:spacing w:after="260"/>
      </w:pPr>
      <w:hyperlink w:history="1" r:id="rId13">
        <w:r w:rsidRPr="001F739B">
          <w:rPr>
            <w:rStyle w:val="Hyperlink"/>
            <w:sz w:val="18"/>
          </w:rPr>
          <w:t>https://www.gov.uk/government/publications/rotavirus-the-green-book-chapter-27b</w:t>
        </w:r>
      </w:hyperlink>
      <w:r>
        <w:rPr>
          <w:sz w:val="18"/>
        </w:rPr>
        <w:t xml:space="preserve"> </w:t>
      </w:r>
    </w:p>
    <w:p w:rsidR="003C2D2B" w:rsidRDefault="00000000" w14:paraId="61B290D1" w14:textId="7B141387">
      <w:r>
        <w:t>UK Health Security Agency (UKHSA) (2025). National norovirus and rotavirus report, week 50 report: data to week 49, data up to 7 December 2025.</w:t>
      </w:r>
    </w:p>
    <w:p w:rsidR="003C2D2B" w:rsidRDefault="000D04DD" w14:paraId="1A6A9757" w14:textId="2A939FC7">
      <w:pPr>
        <w:spacing w:after="260"/>
      </w:pPr>
      <w:hyperlink w:history="1" r:id="rId14">
        <w:r w:rsidRPr="001F739B">
          <w:rPr>
            <w:rStyle w:val="Hyperlink"/>
            <w:sz w:val="18"/>
          </w:rPr>
          <w:t>https://www.gov.uk/government/statistics/national-norovirus-and-rotavirus-surveillance-reports-2025-to-2026-season/national-norovirus-and-rotavirus-report-week-50-report-data-to-week-49-data-up-to-7-december-2025</w:t>
        </w:r>
      </w:hyperlink>
      <w:r>
        <w:rPr>
          <w:sz w:val="18"/>
        </w:rPr>
        <w:t xml:space="preserve"> </w:t>
      </w:r>
    </w:p>
    <w:p w:rsidR="003C2D2B" w:rsidRDefault="00000000" w14:paraId="063CB049" w14:textId="77777777">
      <w:r>
        <w:t>UK Health Security Agency (UKHSA) (n.d.-a). Rotavirus vaccination programme: information for healthcare professionals.</w:t>
      </w:r>
    </w:p>
    <w:p w:rsidR="003C2D2B" w:rsidRDefault="000D04DD" w14:paraId="6143A587" w14:textId="60890492">
      <w:pPr>
        <w:spacing w:after="260"/>
      </w:pPr>
      <w:hyperlink w:history="1" r:id="rId15">
        <w:r w:rsidRPr="001F739B">
          <w:rPr>
            <w:rStyle w:val="Hyperlink"/>
            <w:sz w:val="18"/>
          </w:rPr>
          <w:t>https://www.gov.uk/government/publications/rotavirus-qas-for-healthcare-practitioners/rotavirus-vaccination-programme-information-for-healthcare-professionals</w:t>
        </w:r>
      </w:hyperlink>
      <w:r>
        <w:rPr>
          <w:sz w:val="18"/>
        </w:rPr>
        <w:t xml:space="preserve"> </w:t>
      </w:r>
    </w:p>
    <w:p w:rsidR="003C2D2B" w:rsidRDefault="00000000" w14:paraId="7B32110B" w14:textId="77777777">
      <w:r>
        <w:t>UK Health Security Agency (UKHSA) (n.d.-b). Managing outbreaks and incidents in children and young people’s settings.</w:t>
      </w:r>
    </w:p>
    <w:p w:rsidR="003C2D2B" w:rsidRDefault="000D04DD" w14:paraId="4AC4CD81" w14:textId="60E4B343">
      <w:pPr>
        <w:spacing w:after="260"/>
      </w:pPr>
      <w:hyperlink w:history="1" r:id="rId16">
        <w:r w:rsidRPr="001F739B">
          <w:rPr>
            <w:rStyle w:val="Hyperlink"/>
            <w:sz w:val="18"/>
          </w:rPr>
          <w:t>https://www.gov.uk/government/publications/health-protection-in-schools-and-other-childcare-facilities/managing-outbreaks-and-incidents</w:t>
        </w:r>
      </w:hyperlink>
      <w:r>
        <w:rPr>
          <w:sz w:val="18"/>
        </w:rPr>
        <w:t xml:space="preserve"> </w:t>
      </w:r>
    </w:p>
    <w:p w:rsidR="003C2D2B" w:rsidRDefault="00000000" w14:paraId="7B0CA719" w14:textId="77777777">
      <w:r>
        <w:t>UK Health Security Agency (UKHSA) (n.d.-c). Preventing and controlling infections in children and young people’s settings.</w:t>
      </w:r>
    </w:p>
    <w:p w:rsidR="003C2D2B" w:rsidRDefault="000D04DD" w14:paraId="2F737719" w14:textId="5A01439D">
      <w:pPr>
        <w:spacing w:after="260"/>
      </w:pPr>
      <w:hyperlink w:history="1" r:id="rId17">
        <w:r w:rsidRPr="001F739B">
          <w:rPr>
            <w:rStyle w:val="Hyperlink"/>
            <w:sz w:val="18"/>
          </w:rPr>
          <w:t>https://www.gov.uk/government/publications/health-protection-in-schools-and-other-childcare-facilities/preventing-and-controlling-infections</w:t>
        </w:r>
      </w:hyperlink>
      <w:r>
        <w:rPr>
          <w:sz w:val="18"/>
        </w:rPr>
        <w:t xml:space="preserve"> </w:t>
      </w:r>
    </w:p>
    <w:p w:rsidR="003C2D2B" w:rsidRDefault="00000000" w14:paraId="7BACCE39" w14:textId="77777777">
      <w:r>
        <w:t>UK Health Security Agency (UKHSA) (n.d.-d). Public health exclusion periods in children and young people’s settings.</w:t>
      </w:r>
    </w:p>
    <w:p w:rsidR="003C2D2B" w:rsidRDefault="000D04DD" w14:paraId="2F70603D" w14:textId="056ABF86">
      <w:pPr>
        <w:spacing w:after="260"/>
      </w:pPr>
      <w:hyperlink w:history="1" r:id="rId18">
        <w:r w:rsidRPr="001F739B">
          <w:rPr>
            <w:rStyle w:val="Hyperlink"/>
            <w:sz w:val="18"/>
          </w:rPr>
          <w:t>https://www.gov.uk/government/publications/health-protection-in-schools-and-other-childcare-facilities/public-health-exclusion-periods-in-children-and-young-peoples-settings</w:t>
        </w:r>
      </w:hyperlink>
      <w:r>
        <w:rPr>
          <w:sz w:val="18"/>
        </w:rPr>
        <w:t xml:space="preserve"> </w:t>
      </w:r>
    </w:p>
    <w:sectPr w:rsidR="003C2D2B" w:rsidSect="00034616">
      <w:footerReference w:type="default" r:id="rId19"/>
      <w:pgSz w:w="12240" w:h="15840" w:orient="portrait"/>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B6B0C" w:rsidRDefault="001B6B0C" w14:paraId="48A1C33A" w14:textId="77777777">
      <w:pPr>
        <w:spacing w:after="0" w:line="240" w:lineRule="auto"/>
      </w:pPr>
      <w:r>
        <w:separator/>
      </w:r>
    </w:p>
  </w:endnote>
  <w:endnote w:type="continuationSeparator" w:id="0">
    <w:p w:rsidR="001B6B0C" w:rsidRDefault="001B6B0C" w14:paraId="174C843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C2D2B" w:rsidRDefault="00000000" w14:paraId="7DF9AD4C" w14:textId="77777777">
    <w:pPr>
      <w:pStyle w:val="Footer"/>
      <w:jc w:val="right"/>
    </w:pPr>
    <w:r>
      <w:fldChar w:fldCharType="begin"/>
    </w:r>
    <w:r>
      <w:instrText>PAGE</w:instrText>
    </w:r>
    <w:r>
      <w:fldChar w:fldCharType="separate"/>
    </w:r>
    <w:r w:rsidR="00C20C2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B6B0C" w:rsidRDefault="001B6B0C" w14:paraId="7CF11351" w14:textId="77777777">
      <w:pPr>
        <w:spacing w:after="0" w:line="240" w:lineRule="auto"/>
      </w:pPr>
      <w:r>
        <w:separator/>
      </w:r>
    </w:p>
  </w:footnote>
  <w:footnote w:type="continuationSeparator" w:id="0">
    <w:p w:rsidR="001B6B0C" w:rsidRDefault="001B6B0C" w14:paraId="71937F8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295913112">
    <w:abstractNumId w:val="8"/>
  </w:num>
  <w:num w:numId="2" w16cid:durableId="1600720491">
    <w:abstractNumId w:val="6"/>
  </w:num>
  <w:num w:numId="3" w16cid:durableId="1751807120">
    <w:abstractNumId w:val="5"/>
  </w:num>
  <w:num w:numId="4" w16cid:durableId="985625940">
    <w:abstractNumId w:val="4"/>
  </w:num>
  <w:num w:numId="5" w16cid:durableId="79985692">
    <w:abstractNumId w:val="7"/>
  </w:num>
  <w:num w:numId="6" w16cid:durableId="1649364017">
    <w:abstractNumId w:val="3"/>
  </w:num>
  <w:num w:numId="7" w16cid:durableId="877625202">
    <w:abstractNumId w:val="2"/>
  </w:num>
  <w:num w:numId="8" w16cid:durableId="2019379100">
    <w:abstractNumId w:val="1"/>
  </w:num>
  <w:num w:numId="9" w16cid:durableId="31680598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000"/>
    <w:rsid w:val="00034616"/>
    <w:rsid w:val="0006063C"/>
    <w:rsid w:val="000D04DD"/>
    <w:rsid w:val="0015074B"/>
    <w:rsid w:val="001B6B0C"/>
    <w:rsid w:val="0029639D"/>
    <w:rsid w:val="00326F90"/>
    <w:rsid w:val="003C2D2B"/>
    <w:rsid w:val="00AA1D8D"/>
    <w:rsid w:val="00B47730"/>
    <w:rsid w:val="00C20C2E"/>
    <w:rsid w:val="00CB0664"/>
    <w:rsid w:val="00F56880"/>
    <w:rsid w:val="00FC693F"/>
    <w:rsid w:val="17BD1566"/>
    <w:rsid w:val="3BB7C5BD"/>
    <w:rsid w:val="5B92E1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D93B65"/>
  <w14:defaultImageDpi w14:val="300"/>
  <w15:docId w15:val="{9469F003-7828-44F4-A550-A89631AAAE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40" w:line="259" w:lineRule="auto"/>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hAnsiTheme="majorHAnsi" w:eastAsiaTheme="majorEastAsia" w:cstheme="majorBidi"/>
      <w:spacing w:val="5"/>
      <w:kern w:val="28"/>
      <w:sz w:val="48"/>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D04DD"/>
    <w:rPr>
      <w:color w:val="0000FF" w:themeColor="hyperlink"/>
      <w:u w:val="single"/>
    </w:rPr>
  </w:style>
  <w:style w:type="character" w:styleId="UnresolvedMention">
    <w:name w:val="Unresolved Mention"/>
    <w:basedOn w:val="DefaultParagraphFont"/>
    <w:uiPriority w:val="99"/>
    <w:semiHidden/>
    <w:unhideWhenUsed/>
    <w:rsid w:val="000D04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yperlink" Target="https://pmc.ncbi.nlm.nih.gov/articles/PMC5787923/" TargetMode="External" Id="rId8" /><Relationship Type="http://schemas.openxmlformats.org/officeDocument/2006/relationships/hyperlink" Target="https://www.gov.uk/government/publications/rotavirus-the-green-book-chapter-27b" TargetMode="External" Id="rId13" /><Relationship Type="http://schemas.openxmlformats.org/officeDocument/2006/relationships/hyperlink" Target="https://www.gov.uk/government/publications/health-protection-in-schools-and-other-childcare-facilities/public-health-exclusion-periods-in-children-and-young-peoples-settings" TargetMode="Externa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https://www.nhs.uk/conditions/coronary-heart-disease/prevention/" TargetMode="External" Id="rId12" /><Relationship Type="http://schemas.openxmlformats.org/officeDocument/2006/relationships/hyperlink" Target="https://www.gov.uk/government/publications/health-protection-in-schools-and-other-childcare-facilities/preventing-and-controlling-infections" TargetMode="External" Id="rId17" /><Relationship Type="http://schemas.openxmlformats.org/officeDocument/2006/relationships/numbering" Target="numbering.xml" Id="rId2" /><Relationship Type="http://schemas.openxmlformats.org/officeDocument/2006/relationships/hyperlink" Target="https://www.gov.uk/government/publications/health-protection-in-schools-and-other-childcare-facilities/managing-outbreaks-and-incidents"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nhs.uk/vaccinations/rotavirus-vaccine/" TargetMode="External" Id="rId11" /><Relationship Type="http://schemas.openxmlformats.org/officeDocument/2006/relationships/webSettings" Target="webSettings.xml" Id="rId5" /><Relationship Type="http://schemas.openxmlformats.org/officeDocument/2006/relationships/hyperlink" Target="https://www.gov.uk/government/publications/rotavirus-qas-for-healthcare-practitioners/rotavirus-vaccination-programme-information-for-healthcare-professionals" TargetMode="External" Id="rId15" /><Relationship Type="http://schemas.openxmlformats.org/officeDocument/2006/relationships/hyperlink" Target="https://www.nhs.uk/symptoms/diarrhoea-and-vomiting/" TargetMode="External"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hyperlink" Target="https://www.nice.org.uk/guidance/cg84/chapter/Recommendations" TargetMode="External" Id="rId9" /><Relationship Type="http://schemas.openxmlformats.org/officeDocument/2006/relationships/hyperlink" Target="https://www.gov.uk/government/statistics/national-norovirus-and-rotavirus-surveillance-reports-2025-to-2026-season/national-norovirus-and-rotavirus-report-week-50-report-data-to-week-49-data-up-to-7-december-2025"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Fareen Akhtar (2533713)</lastModifiedBy>
  <revision>4</revision>
  <dcterms:created xsi:type="dcterms:W3CDTF">2013-12-23T23:15:00.0000000Z</dcterms:created>
  <dcterms:modified xsi:type="dcterms:W3CDTF">2026-10-08T10:31:47.0422510Z</dcterms:modified>
  <category/>
</coreProperties>
</file>