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6092C" w14:textId="3FD29E01" w:rsidR="005062C5" w:rsidRDefault="00731312">
      <w:pPr>
        <w:spacing w:after="40"/>
        <w:jc w:val="center"/>
        <w:rPr>
          <w:rFonts w:ascii="Arial" w:hAnsi="Arial" w:cs="Arial"/>
          <w:b/>
          <w:bCs/>
          <w:sz w:val="44"/>
          <w:szCs w:val="44"/>
        </w:rPr>
      </w:pPr>
      <w:bookmarkStart w:id="0" w:name="_Hlk210037256"/>
      <w:bookmarkEnd w:id="0"/>
      <w:r>
        <w:rPr>
          <w:noProof/>
        </w:rPr>
        <w:drawing>
          <wp:inline distT="0" distB="0" distL="0" distR="0" wp14:anchorId="0E044FA7" wp14:editId="5670717D">
            <wp:extent cx="2550623" cy="1065244"/>
            <wp:effectExtent l="0" t="0" r="2540" b="1905"/>
            <wp:docPr id="1760239681" name="Picture 1" descr="University of Wales Trinity Saint David launches new digital ...">
              <a:extLst xmlns:a="http://schemas.openxmlformats.org/drawingml/2006/main">
                <a:ext uri="{FF2B5EF4-FFF2-40B4-BE49-F238E27FC236}">
                  <a16:creationId xmlns:a16="http://schemas.microsoft.com/office/drawing/2014/main" id="{8516A7A1-7CD4-4455-BE68-F1175C061B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599876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95377" cy="1083935"/>
                    </a:xfrm>
                    <a:prstGeom prst="rect">
                      <a:avLst/>
                    </a:prstGeom>
                    <a:noFill/>
                    <a:ln>
                      <a:noFill/>
                    </a:ln>
                  </pic:spPr>
                </pic:pic>
              </a:graphicData>
            </a:graphic>
          </wp:inline>
        </w:drawing>
      </w:r>
    </w:p>
    <w:p w14:paraId="0D8FF7E6" w14:textId="77777777" w:rsidR="00097478" w:rsidRDefault="00097478" w:rsidP="00097478">
      <w:pPr>
        <w:jc w:val="center"/>
        <w:rPr>
          <w:rFonts w:ascii="Arial" w:eastAsia="Times New Roman" w:hAnsi="Arial" w:cs="Arial"/>
          <w:color w:val="222222"/>
          <w:sz w:val="40"/>
          <w:szCs w:val="40"/>
        </w:rPr>
      </w:pPr>
    </w:p>
    <w:p w14:paraId="36DC3137" w14:textId="77777777" w:rsidR="00097478" w:rsidRDefault="00097478" w:rsidP="00731312">
      <w:pPr>
        <w:rPr>
          <w:rFonts w:ascii="Arial" w:eastAsia="Times New Roman" w:hAnsi="Arial" w:cs="Arial"/>
          <w:color w:val="222222"/>
          <w:sz w:val="40"/>
          <w:szCs w:val="40"/>
        </w:rPr>
      </w:pPr>
    </w:p>
    <w:p w14:paraId="6DE03B03" w14:textId="6725F95C" w:rsidR="00535B62" w:rsidRPr="00535B62" w:rsidRDefault="00535B62" w:rsidP="00097478">
      <w:pPr>
        <w:jc w:val="center"/>
        <w:rPr>
          <w:rFonts w:ascii="Arial" w:hAnsi="Arial" w:cs="Arial"/>
          <w:b/>
          <w:bCs/>
          <w:sz w:val="44"/>
          <w:szCs w:val="44"/>
        </w:rPr>
      </w:pPr>
      <w:r>
        <w:rPr>
          <w:rFonts w:ascii="Arial" w:eastAsia="Times New Roman" w:hAnsi="Arial" w:cs="Arial"/>
          <w:color w:val="222222"/>
          <w:sz w:val="40"/>
          <w:szCs w:val="40"/>
        </w:rPr>
        <w:t>BA LEADERSHIP AND MANAGEMENT</w:t>
      </w:r>
    </w:p>
    <w:p w14:paraId="4E44E656"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44456202"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34CDCEBA"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568093E7"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0"/>
          <w:szCs w:val="40"/>
        </w:rPr>
      </w:pPr>
    </w:p>
    <w:p w14:paraId="1DB6F90F"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8"/>
          <w:szCs w:val="48"/>
        </w:rPr>
      </w:pPr>
    </w:p>
    <w:p w14:paraId="0F7D7CC2" w14:textId="32895849" w:rsidR="00535B62" w:rsidRPr="00B1017A" w:rsidRDefault="00397810" w:rsidP="00535B62">
      <w:pPr>
        <w:shd w:val="clear" w:color="auto" w:fill="FFFFFF"/>
        <w:spacing w:after="0" w:line="240" w:lineRule="auto"/>
        <w:jc w:val="center"/>
        <w:rPr>
          <w:rFonts w:ascii="Arial" w:eastAsia="Times New Roman" w:hAnsi="Arial" w:cs="Arial"/>
          <w:b/>
          <w:bCs/>
          <w:color w:val="222222"/>
          <w:sz w:val="44"/>
          <w:szCs w:val="44"/>
        </w:rPr>
      </w:pPr>
      <w:r>
        <w:rPr>
          <w:rFonts w:ascii="Arial" w:eastAsia="Times New Roman" w:hAnsi="Arial" w:cs="Arial"/>
          <w:b/>
          <w:bCs/>
          <w:color w:val="222222"/>
          <w:sz w:val="44"/>
          <w:szCs w:val="44"/>
        </w:rPr>
        <w:t>MANAGING BUSINESS INFORMATION</w:t>
      </w:r>
    </w:p>
    <w:p w14:paraId="5C27DCD1" w14:textId="77777777" w:rsidR="00535B62" w:rsidRPr="00B1017A" w:rsidRDefault="00535B62" w:rsidP="00535B62">
      <w:pPr>
        <w:shd w:val="clear" w:color="auto" w:fill="FFFFFF"/>
        <w:spacing w:after="0" w:line="240" w:lineRule="auto"/>
        <w:jc w:val="center"/>
        <w:rPr>
          <w:rFonts w:ascii="Arial" w:eastAsia="Times New Roman" w:hAnsi="Arial" w:cs="Arial"/>
          <w:b/>
          <w:bCs/>
          <w:color w:val="222222"/>
          <w:sz w:val="44"/>
          <w:szCs w:val="44"/>
        </w:rPr>
      </w:pPr>
    </w:p>
    <w:p w14:paraId="48AEAB54" w14:textId="786E1A45" w:rsidR="005C699D" w:rsidRDefault="00535B62" w:rsidP="005C699D">
      <w:pPr>
        <w:spacing w:before="120" w:after="120"/>
        <w:jc w:val="center"/>
        <w:rPr>
          <w:rFonts w:ascii="Arial" w:hAnsi="Arial" w:cs="Arial"/>
          <w:sz w:val="40"/>
          <w:szCs w:val="40"/>
        </w:rPr>
      </w:pPr>
      <w:r>
        <w:rPr>
          <w:rFonts w:ascii="Arial" w:eastAsia="Times New Roman" w:hAnsi="Arial" w:cs="Arial"/>
          <w:color w:val="222222"/>
          <w:sz w:val="40"/>
          <w:szCs w:val="40"/>
        </w:rPr>
        <w:t xml:space="preserve">LECTURER: </w:t>
      </w:r>
      <w:r>
        <w:rPr>
          <w:rFonts w:ascii="Myriad Pro" w:eastAsia="Myriad Pro" w:hAnsi="Myriad Pro" w:cs="Myriad Pro"/>
          <w:b/>
          <w:bCs/>
          <w:color w:val="1D2125"/>
          <w:position w:val="1"/>
          <w:sz w:val="40"/>
          <w:szCs w:val="40"/>
        </w:rPr>
        <w:t>Dr</w:t>
      </w:r>
      <w:r>
        <w:rPr>
          <w:rFonts w:ascii="Arial" w:hAnsi="Arial" w:cs="Arial"/>
          <w:sz w:val="40"/>
          <w:szCs w:val="40"/>
        </w:rPr>
        <w:t xml:space="preserve"> Amer Kareem/ </w:t>
      </w:r>
    </w:p>
    <w:p w14:paraId="004F1C90" w14:textId="76D446D7" w:rsidR="00535B62" w:rsidRPr="005C699D" w:rsidRDefault="005C699D" w:rsidP="005C699D">
      <w:pPr>
        <w:spacing w:before="120" w:after="120"/>
        <w:jc w:val="center"/>
        <w:rPr>
          <w:rFonts w:ascii="Arial" w:hAnsi="Arial" w:cs="Arial"/>
        </w:rPr>
      </w:pPr>
      <w:r>
        <w:rPr>
          <w:rFonts w:ascii="Arial" w:hAnsi="Arial" w:cs="Arial"/>
          <w:sz w:val="40"/>
          <w:szCs w:val="40"/>
        </w:rPr>
        <w:t>Dr Chinomso Nwagboso</w:t>
      </w:r>
    </w:p>
    <w:p w14:paraId="76078398" w14:textId="77777777" w:rsidR="00535B62" w:rsidRPr="005C699D" w:rsidRDefault="00535B62" w:rsidP="005C699D">
      <w:pPr>
        <w:shd w:val="clear" w:color="auto" w:fill="FFFFFF"/>
        <w:spacing w:after="0" w:line="240" w:lineRule="auto"/>
        <w:jc w:val="center"/>
        <w:rPr>
          <w:rFonts w:ascii="Arial" w:eastAsia="Times New Roman" w:hAnsi="Arial" w:cs="Arial"/>
          <w:color w:val="222222"/>
          <w:sz w:val="48"/>
          <w:szCs w:val="48"/>
        </w:rPr>
      </w:pPr>
    </w:p>
    <w:p w14:paraId="195062C5"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8"/>
          <w:szCs w:val="48"/>
        </w:rPr>
      </w:pPr>
    </w:p>
    <w:p w14:paraId="3BE9EDDE" w14:textId="24114422" w:rsidR="00535B62" w:rsidRPr="00B1017A" w:rsidRDefault="00535B62" w:rsidP="00535B62">
      <w:pPr>
        <w:shd w:val="clear" w:color="auto" w:fill="FFFFFF"/>
        <w:spacing w:after="0" w:line="240" w:lineRule="auto"/>
        <w:jc w:val="center"/>
        <w:rPr>
          <w:rFonts w:ascii="Arial" w:eastAsia="Times New Roman" w:hAnsi="Arial" w:cs="Arial"/>
          <w:color w:val="222222"/>
          <w:sz w:val="48"/>
          <w:szCs w:val="48"/>
        </w:rPr>
      </w:pPr>
      <w:r>
        <w:rPr>
          <w:rFonts w:ascii="Arial" w:eastAsia="Times New Roman" w:hAnsi="Arial" w:cs="Arial"/>
          <w:color w:val="222222"/>
          <w:sz w:val="48"/>
          <w:szCs w:val="48"/>
        </w:rPr>
        <w:t xml:space="preserve">MODULE CODE: </w:t>
      </w:r>
      <w:r>
        <w:rPr>
          <w:sz w:val="48"/>
          <w:szCs w:val="48"/>
        </w:rPr>
        <w:t>LCLM 5004</w:t>
      </w:r>
    </w:p>
    <w:p w14:paraId="1857305F" w14:textId="77777777" w:rsidR="00535B62" w:rsidRPr="00B1017A" w:rsidRDefault="00535B62" w:rsidP="00535B62">
      <w:pPr>
        <w:shd w:val="clear" w:color="auto" w:fill="FFFFFF"/>
        <w:spacing w:after="0" w:line="240" w:lineRule="auto"/>
        <w:rPr>
          <w:rFonts w:ascii="Arial" w:eastAsia="Times New Roman" w:hAnsi="Arial" w:cs="Arial"/>
          <w:color w:val="222222"/>
          <w:sz w:val="48"/>
          <w:szCs w:val="48"/>
        </w:rPr>
      </w:pPr>
    </w:p>
    <w:p w14:paraId="63E7745E" w14:textId="77777777" w:rsidR="00535B62" w:rsidRPr="00B1017A" w:rsidRDefault="00535B62" w:rsidP="00535B62">
      <w:pPr>
        <w:shd w:val="clear" w:color="auto" w:fill="FFFFFF"/>
        <w:spacing w:after="0" w:line="240" w:lineRule="auto"/>
        <w:jc w:val="center"/>
        <w:rPr>
          <w:rFonts w:ascii="Arial" w:eastAsia="Times New Roman" w:hAnsi="Arial" w:cs="Arial"/>
          <w:color w:val="222222"/>
        </w:rPr>
      </w:pPr>
    </w:p>
    <w:p w14:paraId="41681B68" w14:textId="65ACC133" w:rsidR="00535B62" w:rsidRPr="00B1017A" w:rsidRDefault="0089045C" w:rsidP="00535B62">
      <w:pPr>
        <w:shd w:val="clear" w:color="auto" w:fill="FFFFFF"/>
        <w:spacing w:after="0" w:line="240" w:lineRule="auto"/>
        <w:jc w:val="center"/>
        <w:rPr>
          <w:rFonts w:ascii="Arial" w:eastAsia="Times New Roman" w:hAnsi="Arial" w:cs="Arial"/>
          <w:color w:val="222222"/>
        </w:rPr>
      </w:pPr>
      <w:r>
        <w:rPr>
          <w:rFonts w:ascii="Arial" w:eastAsia="Times New Roman" w:hAnsi="Arial" w:cs="Arial"/>
          <w:color w:val="222222"/>
        </w:rPr>
        <w:t>Component 2- Individual report- Information Systems Improvements</w:t>
      </w:r>
    </w:p>
    <w:p w14:paraId="51F035C7"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p>
    <w:p w14:paraId="074BFAB3"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p>
    <w:p w14:paraId="08DD4B9E"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r>
        <w:rPr>
          <w:rFonts w:ascii="Arial" w:eastAsia="Times New Roman" w:hAnsi="Arial" w:cs="Arial"/>
          <w:color w:val="222222"/>
          <w:sz w:val="44"/>
          <w:szCs w:val="44"/>
        </w:rPr>
        <w:t>By Tesenai Bertram</w:t>
      </w:r>
    </w:p>
    <w:p w14:paraId="2CAAB4C8" w14:textId="77777777" w:rsidR="00535B62" w:rsidRPr="00B1017A" w:rsidRDefault="00535B62" w:rsidP="00535B62">
      <w:pPr>
        <w:shd w:val="clear" w:color="auto" w:fill="FFFFFF"/>
        <w:spacing w:after="0" w:line="240" w:lineRule="auto"/>
        <w:jc w:val="center"/>
        <w:rPr>
          <w:rFonts w:ascii="Arial" w:eastAsia="Times New Roman" w:hAnsi="Arial" w:cs="Arial"/>
          <w:color w:val="222222"/>
          <w:sz w:val="44"/>
          <w:szCs w:val="44"/>
        </w:rPr>
      </w:pPr>
      <w:r>
        <w:rPr>
          <w:rFonts w:ascii="Arial" w:eastAsia="Times New Roman" w:hAnsi="Arial" w:cs="Arial"/>
          <w:color w:val="222222"/>
          <w:sz w:val="44"/>
          <w:szCs w:val="44"/>
        </w:rPr>
        <w:t>2409077</w:t>
      </w:r>
    </w:p>
    <w:p w14:paraId="2BE621F7" w14:textId="77777777" w:rsidR="00535B62" w:rsidRDefault="00535B62" w:rsidP="00535B62">
      <w:pPr>
        <w:spacing w:after="0" w:line="240" w:lineRule="auto"/>
        <w:rPr>
          <w:rFonts w:ascii="Arial" w:eastAsia="Times New Roman" w:hAnsi="Arial" w:cs="Arial"/>
          <w:color w:val="1F1F1F"/>
          <w:lang w:eastAsia="en-GB"/>
        </w:rPr>
      </w:pPr>
    </w:p>
    <w:p w14:paraId="36B1DB3F" w14:textId="77777777" w:rsidR="00535B62" w:rsidRDefault="00535B62" w:rsidP="00535B62">
      <w:pPr>
        <w:spacing w:after="0" w:line="240" w:lineRule="auto"/>
        <w:rPr>
          <w:rFonts w:ascii="Arial" w:eastAsia="Times New Roman" w:hAnsi="Arial" w:cs="Arial"/>
          <w:color w:val="1F1F1F"/>
          <w:lang w:eastAsia="en-GB"/>
        </w:rPr>
      </w:pPr>
    </w:p>
    <w:p w14:paraId="6034C38C" w14:textId="77777777" w:rsidR="00535B62" w:rsidRDefault="00535B62" w:rsidP="00535B62">
      <w:pPr>
        <w:spacing w:after="0" w:line="240" w:lineRule="auto"/>
        <w:rPr>
          <w:rFonts w:ascii="Arial" w:eastAsia="Times New Roman" w:hAnsi="Arial" w:cs="Arial"/>
          <w:color w:val="1F1F1F"/>
          <w:lang w:eastAsia="en-GB"/>
        </w:rPr>
      </w:pPr>
    </w:p>
    <w:p w14:paraId="633EAC85" w14:textId="77777777" w:rsidR="00535B62" w:rsidRDefault="00535B62" w:rsidP="00535B62">
      <w:pPr>
        <w:spacing w:after="0" w:line="240" w:lineRule="auto"/>
        <w:rPr>
          <w:rFonts w:ascii="Arial" w:eastAsia="Times New Roman" w:hAnsi="Arial" w:cs="Arial"/>
          <w:color w:val="1F1F1F"/>
          <w:lang w:eastAsia="en-GB"/>
        </w:rPr>
      </w:pPr>
    </w:p>
    <w:p w14:paraId="766D6246" w14:textId="77777777" w:rsidR="00535B62" w:rsidRDefault="00535B62" w:rsidP="00535B62"/>
    <w:p w14:paraId="6906B7F1" w14:textId="370AD82B" w:rsidR="000002E7" w:rsidRDefault="00F23A48">
      <w:pPr>
        <w:spacing w:after="40"/>
        <w:jc w:val="center"/>
        <w:rPr>
          <w:rFonts w:ascii="Arial" w:hAnsi="Arial" w:cs="Arial"/>
          <w:b/>
          <w:bCs/>
          <w:sz w:val="44"/>
          <w:szCs w:val="44"/>
        </w:rPr>
      </w:pPr>
      <w:r>
        <w:rPr>
          <w:rFonts w:ascii="Arial" w:hAnsi="Arial" w:cs="Arial"/>
          <w:b/>
          <w:bCs/>
          <w:sz w:val="44"/>
          <w:szCs w:val="44"/>
        </w:rPr>
        <w:lastRenderedPageBreak/>
        <w:t>OVERCOMING OPERATIONAL CHALLENGES AT MALDIVA LTD</w:t>
      </w:r>
    </w:p>
    <w:p w14:paraId="1B3E1D20" w14:textId="77777777" w:rsidR="004C1F7A" w:rsidRPr="005062C5" w:rsidRDefault="004C1F7A">
      <w:pPr>
        <w:spacing w:after="40"/>
        <w:jc w:val="center"/>
        <w:rPr>
          <w:rFonts w:ascii="Arial" w:hAnsi="Arial" w:cs="Arial"/>
          <w:sz w:val="44"/>
          <w:szCs w:val="44"/>
        </w:rPr>
      </w:pPr>
    </w:p>
    <w:p w14:paraId="02CBDE7C" w14:textId="40E96BE1" w:rsidR="0010147A" w:rsidRPr="005062C5" w:rsidRDefault="00DB16A6" w:rsidP="0010147A">
      <w:pPr>
        <w:spacing w:after="40"/>
        <w:jc w:val="center"/>
        <w:rPr>
          <w:rFonts w:ascii="Arial" w:hAnsi="Arial" w:cs="Arial"/>
        </w:rPr>
      </w:pPr>
      <w:r>
        <w:rPr>
          <w:rFonts w:ascii="Arial" w:hAnsi="Arial" w:cs="Arial"/>
          <w:i/>
          <w:iCs/>
          <w:sz w:val="26"/>
          <w:szCs w:val="26"/>
        </w:rPr>
        <w:t>A Proposal for an Integrated Retail Information System</w:t>
      </w:r>
    </w:p>
    <w:p w14:paraId="716A593F" w14:textId="77A19042" w:rsidR="0010147A" w:rsidRPr="005062C5" w:rsidRDefault="0010147A" w:rsidP="0010147A">
      <w:pPr>
        <w:pStyle w:val="Heading1"/>
        <w:rPr>
          <w:color w:val="auto"/>
        </w:rPr>
      </w:pPr>
      <w:r>
        <w:rPr>
          <w:color w:val="auto"/>
        </w:rPr>
        <w:t>INTRODUCTION</w:t>
      </w:r>
    </w:p>
    <w:p w14:paraId="0688D76B" w14:textId="77777777" w:rsidR="0010147A" w:rsidRPr="005062C5" w:rsidRDefault="0010147A" w:rsidP="002E136E">
      <w:pPr>
        <w:pStyle w:val="NoSpacing"/>
      </w:pPr>
    </w:p>
    <w:p w14:paraId="665E9462" w14:textId="140895D4" w:rsidR="000002E7" w:rsidRPr="005062C5" w:rsidRDefault="00DB16A6">
      <w:pPr>
        <w:spacing w:line="300" w:lineRule="auto"/>
        <w:jc w:val="both"/>
        <w:rPr>
          <w:rFonts w:ascii="Arial" w:hAnsi="Arial" w:cs="Arial"/>
        </w:rPr>
      </w:pPr>
      <w:r>
        <w:rPr>
          <w:rFonts w:ascii="Arial" w:hAnsi="Arial" w:cs="Arial"/>
        </w:rPr>
        <w:t>Maldiva Ltd has grown from a regional electronics retailer into a thirty-store chain with a parallel e-commerce operation, and trading volumes have risen sharply over the past twelve months. Growth of this kind is exactly the point at which the cracks in an organisation's information systems tend to show, and Maldiva is a textbook case. Stock records are kept by hand, customer data sits in three or four places that do not talk to one another, sales reports are built in spreadsheets days after the events they describe, and departments pass information to one another manually rather than through a shared system. None of these problems is unusual on its own, but together, they are starting to cost Maldiva real money and real customers.</w:t>
      </w:r>
    </w:p>
    <w:p w14:paraId="556F5109" w14:textId="62A046AD" w:rsidR="000002E7" w:rsidRPr="005062C5" w:rsidRDefault="00DB16A6">
      <w:pPr>
        <w:spacing w:line="300" w:lineRule="auto"/>
        <w:jc w:val="both"/>
        <w:rPr>
          <w:rFonts w:ascii="Arial" w:hAnsi="Arial" w:cs="Arial"/>
        </w:rPr>
      </w:pPr>
      <w:r>
        <w:rPr>
          <w:rFonts w:ascii="Arial" w:hAnsi="Arial" w:cs="Arial"/>
        </w:rPr>
        <w:t>This report has been commissioned by the Board to diagnose the causes of these operational difficulties and to recommend an information system capable of resolving them. Five interlinked problems are addressed: stock discrepancies between stores and the website that generate cancelled orders and refunds, a fragmented customer relationship management (CRM) picture that prevents personalised marketing and slows complaint handling, slow and error-prone manual reporting that delays decision-making, weak data protection controls that leave Maldiva exposed under UK GDPR and a lack of integration between sales, finance and inventory that wastes staff time. The report evaluates the current systems landscape, recommends a specific solution, and sets out a realistic implementation plan.</w:t>
      </w:r>
    </w:p>
    <w:p w14:paraId="5032674A" w14:textId="039DFC28" w:rsidR="00D41D81" w:rsidRPr="005062C5" w:rsidRDefault="00D41D81" w:rsidP="00D41D81">
      <w:pPr>
        <w:pStyle w:val="Heading1"/>
        <w:rPr>
          <w:color w:val="auto"/>
        </w:rPr>
      </w:pPr>
      <w:r>
        <w:rPr>
          <w:color w:val="auto"/>
        </w:rPr>
        <w:t>EVALUATION OF EXISTING SYSTEMS</w:t>
      </w:r>
    </w:p>
    <w:p w14:paraId="336C3AA5" w14:textId="77777777" w:rsidR="00D41D81" w:rsidRPr="005062C5" w:rsidRDefault="00D41D81" w:rsidP="00D41D81"/>
    <w:p w14:paraId="3FE7A259" w14:textId="5BC99007" w:rsidR="000002E7" w:rsidRPr="005062C5" w:rsidRDefault="00DB16A6">
      <w:pPr>
        <w:spacing w:line="300" w:lineRule="auto"/>
        <w:jc w:val="both"/>
        <w:rPr>
          <w:rFonts w:ascii="Arial" w:hAnsi="Arial" w:cs="Arial"/>
        </w:rPr>
      </w:pPr>
      <w:r>
        <w:rPr>
          <w:rFonts w:ascii="Arial" w:hAnsi="Arial" w:cs="Arial"/>
        </w:rPr>
        <w:t>Maldiva's current landscape is best described as a set of point solutions bolted together over time rather than a designed architecture. Each store keeps its own stock records, the website draws from a separate feed that is updated infrequently, and neither system knows what the other has just sold. This is a recognised failure mode in retail technology. Legacy systems that update inventory in overnight batch runs create a window during which customers can order stock that has already been shipped. In a market where a single social media post can sell out a product line within minutes, that lag is no longer a minor inconvenience but a direct source of lost trust. Empirical evidence from multichannel retail confirms this is not merely intuitive: firms that integrate online and offline inventory measurably reduce the cross-channel stockouts and returns that disconnected systems generate (Gallino, Moreno and Stamatopoulos, 2017). Maldiva's complaint and refund volumes are a predictable symptom of this batch-based, disconnected approach rather than an isolated customer service problem.</w:t>
      </w:r>
    </w:p>
    <w:p w14:paraId="344C108A" w14:textId="5D4DC032" w:rsidR="000002E7" w:rsidRDefault="00DB16A6">
      <w:pPr>
        <w:spacing w:line="300" w:lineRule="auto"/>
        <w:jc w:val="both"/>
        <w:rPr>
          <w:rFonts w:ascii="Arial" w:hAnsi="Arial" w:cs="Arial"/>
        </w:rPr>
      </w:pPr>
      <w:r>
        <w:rPr>
          <w:rFonts w:ascii="Arial" w:hAnsi="Arial" w:cs="Arial"/>
        </w:rPr>
        <w:t>The same pattern repeats across the business. Table 1 sets out the current systems' functions, by function, alongside the gaps each creates.</w:t>
      </w:r>
    </w:p>
    <w:p w14:paraId="6B681FA2" w14:textId="77777777" w:rsidR="004C1F7A" w:rsidRPr="005062C5" w:rsidRDefault="004C1F7A">
      <w:pPr>
        <w:spacing w:line="300" w:lineRule="auto"/>
        <w:jc w:val="both"/>
        <w:rPr>
          <w:rFonts w:ascii="Arial" w:hAnsi="Arial" w:cs="Arial"/>
        </w:rPr>
      </w:pPr>
    </w:p>
    <w:tbl>
      <w:tblPr>
        <w:tblStyle w:val="TableGrid"/>
        <w:tblW w:w="9300" w:type="dxa"/>
        <w:tblLook w:val="0000" w:firstRow="0" w:lastRow="0" w:firstColumn="0" w:lastColumn="0" w:noHBand="0" w:noVBand="0"/>
      </w:tblPr>
      <w:tblGrid>
        <w:gridCol w:w="1900"/>
        <w:gridCol w:w="3600"/>
        <w:gridCol w:w="3800"/>
      </w:tblGrid>
      <w:tr w:rsidR="000002E7" w:rsidRPr="00FF20F5" w14:paraId="1967D2FD" w14:textId="77777777" w:rsidTr="000D581E">
        <w:tc>
          <w:tcPr>
            <w:tcW w:w="1900" w:type="dxa"/>
            <w:shd w:val="clear" w:color="auto" w:fill="D9D9D9" w:themeFill="background1" w:themeFillShade="D9"/>
          </w:tcPr>
          <w:p w14:paraId="652360A9" w14:textId="77777777" w:rsidR="000002E7" w:rsidRPr="00FF20F5" w:rsidRDefault="00DB16A6">
            <w:pPr>
              <w:rPr>
                <w:rFonts w:ascii="Arial" w:hAnsi="Arial" w:cs="Arial"/>
              </w:rPr>
            </w:pPr>
            <w:r>
              <w:rPr>
                <w:rFonts w:ascii="Arial" w:hAnsi="Arial" w:cs="Arial"/>
                <w:b/>
                <w:bCs/>
              </w:rPr>
              <w:t>Function</w:t>
            </w:r>
          </w:p>
        </w:tc>
        <w:tc>
          <w:tcPr>
            <w:tcW w:w="3600" w:type="dxa"/>
            <w:shd w:val="clear" w:color="auto" w:fill="D9D9D9" w:themeFill="background1" w:themeFillShade="D9"/>
          </w:tcPr>
          <w:p w14:paraId="19402E21" w14:textId="77777777" w:rsidR="000002E7" w:rsidRPr="00FF20F5" w:rsidRDefault="00DB16A6">
            <w:pPr>
              <w:rPr>
                <w:rFonts w:ascii="Arial" w:hAnsi="Arial" w:cs="Arial"/>
              </w:rPr>
            </w:pPr>
            <w:r>
              <w:rPr>
                <w:rFonts w:ascii="Arial" w:hAnsi="Arial" w:cs="Arial"/>
                <w:b/>
                <w:bCs/>
              </w:rPr>
              <w:t>Current System</w:t>
            </w:r>
          </w:p>
        </w:tc>
        <w:tc>
          <w:tcPr>
            <w:tcW w:w="3800" w:type="dxa"/>
            <w:shd w:val="clear" w:color="auto" w:fill="D9D9D9" w:themeFill="background1" w:themeFillShade="D9"/>
          </w:tcPr>
          <w:p w14:paraId="4E366FB2" w14:textId="77777777" w:rsidR="000002E7" w:rsidRPr="00FF20F5" w:rsidRDefault="00DB16A6">
            <w:pPr>
              <w:rPr>
                <w:rFonts w:ascii="Arial" w:hAnsi="Arial" w:cs="Arial"/>
              </w:rPr>
            </w:pPr>
            <w:r>
              <w:rPr>
                <w:rFonts w:ascii="Arial" w:hAnsi="Arial" w:cs="Arial"/>
                <w:b/>
                <w:bCs/>
              </w:rPr>
              <w:t>Principal Gap Identified</w:t>
            </w:r>
          </w:p>
        </w:tc>
      </w:tr>
      <w:tr w:rsidR="000002E7" w:rsidRPr="00FF20F5" w14:paraId="6E9696E9" w14:textId="77777777" w:rsidTr="00FF20F5">
        <w:tc>
          <w:tcPr>
            <w:tcW w:w="1900" w:type="dxa"/>
          </w:tcPr>
          <w:p w14:paraId="3F15E6C9" w14:textId="77777777" w:rsidR="000002E7" w:rsidRPr="00FF20F5" w:rsidRDefault="00DB16A6">
            <w:pPr>
              <w:rPr>
                <w:rFonts w:ascii="Arial" w:hAnsi="Arial" w:cs="Arial"/>
              </w:rPr>
            </w:pPr>
            <w:r>
              <w:rPr>
                <w:rFonts w:ascii="Arial" w:hAnsi="Arial" w:cs="Arial"/>
              </w:rPr>
              <w:t>Inventory</w:t>
            </w:r>
          </w:p>
        </w:tc>
        <w:tc>
          <w:tcPr>
            <w:tcW w:w="3600" w:type="dxa"/>
          </w:tcPr>
          <w:p w14:paraId="464393AC" w14:textId="77777777" w:rsidR="000002E7" w:rsidRPr="00FF20F5" w:rsidRDefault="00DB16A6">
            <w:pPr>
              <w:rPr>
                <w:rFonts w:ascii="Arial" w:hAnsi="Arial" w:cs="Arial"/>
              </w:rPr>
            </w:pPr>
            <w:r>
              <w:rPr>
                <w:rFonts w:ascii="Arial" w:hAnsi="Arial" w:cs="Arial"/>
              </w:rPr>
              <w:t>Manual stock sheets per store, no live link to the website</w:t>
            </w:r>
          </w:p>
        </w:tc>
        <w:tc>
          <w:tcPr>
            <w:tcW w:w="3800" w:type="dxa"/>
          </w:tcPr>
          <w:p w14:paraId="2985017B" w14:textId="08C56DF7" w:rsidR="000002E7" w:rsidRPr="00FF20F5" w:rsidRDefault="00DB16A6">
            <w:pPr>
              <w:rPr>
                <w:rFonts w:ascii="Arial" w:hAnsi="Arial" w:cs="Arial"/>
              </w:rPr>
            </w:pPr>
            <w:r>
              <w:rPr>
                <w:rFonts w:ascii="Arial" w:hAnsi="Arial" w:cs="Arial"/>
              </w:rPr>
              <w:t>No single stock ledger, online orders are accepted against stock that has already been sold in-store</w:t>
            </w:r>
          </w:p>
        </w:tc>
      </w:tr>
      <w:tr w:rsidR="000002E7" w:rsidRPr="00FF20F5" w14:paraId="6B6CB808" w14:textId="77777777" w:rsidTr="00FF20F5">
        <w:tc>
          <w:tcPr>
            <w:tcW w:w="1900" w:type="dxa"/>
          </w:tcPr>
          <w:p w14:paraId="22285092" w14:textId="77777777" w:rsidR="000002E7" w:rsidRPr="00FF20F5" w:rsidRDefault="00DB16A6">
            <w:pPr>
              <w:rPr>
                <w:rFonts w:ascii="Arial" w:hAnsi="Arial" w:cs="Arial"/>
              </w:rPr>
            </w:pPr>
            <w:r>
              <w:rPr>
                <w:rFonts w:ascii="Arial" w:hAnsi="Arial" w:cs="Arial"/>
              </w:rPr>
              <w:t>Customer data / CRM</w:t>
            </w:r>
          </w:p>
        </w:tc>
        <w:tc>
          <w:tcPr>
            <w:tcW w:w="3600" w:type="dxa"/>
          </w:tcPr>
          <w:p w14:paraId="7FA7C87A" w14:textId="77777777" w:rsidR="000002E7" w:rsidRPr="00FF20F5" w:rsidRDefault="00DB16A6">
            <w:pPr>
              <w:rPr>
                <w:rFonts w:ascii="Arial" w:hAnsi="Arial" w:cs="Arial"/>
              </w:rPr>
            </w:pPr>
            <w:r>
              <w:rPr>
                <w:rFonts w:ascii="Arial" w:hAnsi="Arial" w:cs="Arial"/>
              </w:rPr>
              <w:t>Separate POS, e-commerce and support databases</w:t>
            </w:r>
          </w:p>
        </w:tc>
        <w:tc>
          <w:tcPr>
            <w:tcW w:w="3800" w:type="dxa"/>
          </w:tcPr>
          <w:p w14:paraId="62C2EF8C" w14:textId="42958F48" w:rsidR="000002E7" w:rsidRPr="00FF20F5" w:rsidRDefault="00DB16A6">
            <w:pPr>
              <w:rPr>
                <w:rFonts w:ascii="Arial" w:hAnsi="Arial" w:cs="Arial"/>
              </w:rPr>
            </w:pPr>
            <w:r>
              <w:rPr>
                <w:rFonts w:ascii="Arial" w:hAnsi="Arial" w:cs="Arial"/>
              </w:rPr>
              <w:t>Purchase history cannot be traced across channels, and marketing and support work cannot be done from partial records.</w:t>
            </w:r>
          </w:p>
        </w:tc>
      </w:tr>
      <w:tr w:rsidR="000002E7" w:rsidRPr="00FF20F5" w14:paraId="4859A347" w14:textId="77777777" w:rsidTr="00FF20F5">
        <w:tc>
          <w:tcPr>
            <w:tcW w:w="1900" w:type="dxa"/>
          </w:tcPr>
          <w:p w14:paraId="44DCF382" w14:textId="77777777" w:rsidR="000002E7" w:rsidRPr="00FF20F5" w:rsidRDefault="00DB16A6">
            <w:pPr>
              <w:rPr>
                <w:rFonts w:ascii="Arial" w:hAnsi="Arial" w:cs="Arial"/>
              </w:rPr>
            </w:pPr>
            <w:r>
              <w:rPr>
                <w:rFonts w:ascii="Arial" w:hAnsi="Arial" w:cs="Arial"/>
              </w:rPr>
              <w:t>Reporting / MI</w:t>
            </w:r>
          </w:p>
        </w:tc>
        <w:tc>
          <w:tcPr>
            <w:tcW w:w="3600" w:type="dxa"/>
          </w:tcPr>
          <w:p w14:paraId="6B768B94" w14:textId="77777777" w:rsidR="000002E7" w:rsidRPr="00FF20F5" w:rsidRDefault="00DB16A6">
            <w:pPr>
              <w:rPr>
                <w:rFonts w:ascii="Arial" w:hAnsi="Arial" w:cs="Arial"/>
              </w:rPr>
            </w:pPr>
            <w:r>
              <w:rPr>
                <w:rFonts w:ascii="Arial" w:hAnsi="Arial" w:cs="Arial"/>
              </w:rPr>
              <w:t>Spreadsheets compiled manually by each store</w:t>
            </w:r>
          </w:p>
        </w:tc>
        <w:tc>
          <w:tcPr>
            <w:tcW w:w="3800" w:type="dxa"/>
          </w:tcPr>
          <w:p w14:paraId="3DD5A64D" w14:textId="496E490D" w:rsidR="000002E7" w:rsidRPr="00FF20F5" w:rsidRDefault="00DB16A6">
            <w:pPr>
              <w:rPr>
                <w:rFonts w:ascii="Arial" w:hAnsi="Arial" w:cs="Arial"/>
              </w:rPr>
            </w:pPr>
            <w:r>
              <w:rPr>
                <w:rFonts w:ascii="Arial" w:hAnsi="Arial" w:cs="Arial"/>
              </w:rPr>
              <w:t>Data is historical by the time it reaches management, and version-control errors are frequent.</w:t>
            </w:r>
          </w:p>
        </w:tc>
      </w:tr>
      <w:tr w:rsidR="000002E7" w:rsidRPr="00FF20F5" w14:paraId="6435F3EC" w14:textId="77777777" w:rsidTr="00FF20F5">
        <w:tc>
          <w:tcPr>
            <w:tcW w:w="1900" w:type="dxa"/>
          </w:tcPr>
          <w:p w14:paraId="31D9A353" w14:textId="77777777" w:rsidR="000002E7" w:rsidRPr="00FF20F5" w:rsidRDefault="00DB16A6">
            <w:pPr>
              <w:rPr>
                <w:rFonts w:ascii="Arial" w:hAnsi="Arial" w:cs="Arial"/>
              </w:rPr>
            </w:pPr>
            <w:r>
              <w:rPr>
                <w:rFonts w:ascii="Arial" w:hAnsi="Arial" w:cs="Arial"/>
              </w:rPr>
              <w:t>Data protection</w:t>
            </w:r>
          </w:p>
        </w:tc>
        <w:tc>
          <w:tcPr>
            <w:tcW w:w="3600" w:type="dxa"/>
          </w:tcPr>
          <w:p w14:paraId="055B7A67" w14:textId="77777777" w:rsidR="000002E7" w:rsidRPr="00FF20F5" w:rsidRDefault="00DB16A6">
            <w:pPr>
              <w:rPr>
                <w:rFonts w:ascii="Arial" w:hAnsi="Arial" w:cs="Arial"/>
              </w:rPr>
            </w:pPr>
            <w:r>
              <w:rPr>
                <w:rFonts w:ascii="Arial" w:hAnsi="Arial" w:cs="Arial"/>
              </w:rPr>
              <w:t>Shared logins, no formal access tiering</w:t>
            </w:r>
          </w:p>
        </w:tc>
        <w:tc>
          <w:tcPr>
            <w:tcW w:w="3800" w:type="dxa"/>
          </w:tcPr>
          <w:p w14:paraId="21736D54" w14:textId="6B3C64A7" w:rsidR="000002E7" w:rsidRPr="00FF20F5" w:rsidRDefault="00DB16A6">
            <w:pPr>
              <w:rPr>
                <w:rFonts w:ascii="Arial" w:hAnsi="Arial" w:cs="Arial"/>
              </w:rPr>
            </w:pPr>
            <w:r>
              <w:rPr>
                <w:rFonts w:ascii="Arial" w:hAnsi="Arial" w:cs="Arial"/>
              </w:rPr>
              <w:t>Exposure under UK GDPR, no audit trail for who accessed customer records</w:t>
            </w:r>
          </w:p>
        </w:tc>
      </w:tr>
      <w:tr w:rsidR="000002E7" w:rsidRPr="00FF20F5" w14:paraId="2764F376" w14:textId="77777777" w:rsidTr="00FF20F5">
        <w:tc>
          <w:tcPr>
            <w:tcW w:w="1900" w:type="dxa"/>
          </w:tcPr>
          <w:p w14:paraId="04DB9EB9" w14:textId="77777777" w:rsidR="000002E7" w:rsidRPr="00FF20F5" w:rsidRDefault="00DB16A6">
            <w:pPr>
              <w:rPr>
                <w:rFonts w:ascii="Arial" w:hAnsi="Arial" w:cs="Arial"/>
              </w:rPr>
            </w:pPr>
            <w:r>
              <w:rPr>
                <w:rFonts w:ascii="Arial" w:hAnsi="Arial" w:cs="Arial"/>
              </w:rPr>
              <w:t>Cross-department flow</w:t>
            </w:r>
          </w:p>
        </w:tc>
        <w:tc>
          <w:tcPr>
            <w:tcW w:w="3600" w:type="dxa"/>
          </w:tcPr>
          <w:p w14:paraId="7864C797" w14:textId="77777777" w:rsidR="000002E7" w:rsidRPr="00FF20F5" w:rsidRDefault="00DB16A6">
            <w:pPr>
              <w:rPr>
                <w:rFonts w:ascii="Arial" w:hAnsi="Arial" w:cs="Arial"/>
              </w:rPr>
            </w:pPr>
            <w:r>
              <w:rPr>
                <w:rFonts w:ascii="Arial" w:hAnsi="Arial" w:cs="Arial"/>
              </w:rPr>
              <w:t>Sales, finance and inventory run on unconnected software</w:t>
            </w:r>
          </w:p>
        </w:tc>
        <w:tc>
          <w:tcPr>
            <w:tcW w:w="3800" w:type="dxa"/>
          </w:tcPr>
          <w:p w14:paraId="4D49E863" w14:textId="77777777" w:rsidR="000002E7" w:rsidRPr="00FF20F5" w:rsidRDefault="00DB16A6">
            <w:pPr>
              <w:rPr>
                <w:rFonts w:ascii="Arial" w:hAnsi="Arial" w:cs="Arial"/>
              </w:rPr>
            </w:pPr>
            <w:r>
              <w:rPr>
                <w:rFonts w:ascii="Arial" w:hAnsi="Arial" w:cs="Arial"/>
              </w:rPr>
              <w:t>Rekeying of data between departments, duplicated effort and reconciliation errors</w:t>
            </w:r>
          </w:p>
        </w:tc>
      </w:tr>
    </w:tbl>
    <w:p w14:paraId="66DCB302" w14:textId="77777777" w:rsidR="000002E7" w:rsidRDefault="00DB16A6">
      <w:pPr>
        <w:spacing w:before="80" w:after="240"/>
        <w:jc w:val="center"/>
        <w:rPr>
          <w:rFonts w:ascii="Arial" w:hAnsi="Arial" w:cs="Arial"/>
          <w:i/>
          <w:iCs/>
          <w:sz w:val="19"/>
          <w:szCs w:val="19"/>
        </w:rPr>
      </w:pPr>
      <w:r>
        <w:rPr>
          <w:rFonts w:ascii="Arial" w:hAnsi="Arial" w:cs="Arial"/>
          <w:i/>
          <w:iCs/>
          <w:sz w:val="19"/>
          <w:szCs w:val="19"/>
        </w:rPr>
        <w:t>Table 1: Current information systems and the operational gaps they produce</w:t>
      </w:r>
    </w:p>
    <w:p w14:paraId="2AC0F163" w14:textId="77777777" w:rsidR="000D581E" w:rsidRPr="005062C5" w:rsidRDefault="000D581E">
      <w:pPr>
        <w:spacing w:before="80" w:after="240"/>
        <w:jc w:val="center"/>
        <w:rPr>
          <w:rFonts w:ascii="Arial" w:hAnsi="Arial" w:cs="Arial"/>
        </w:rPr>
      </w:pPr>
    </w:p>
    <w:p w14:paraId="3BCC35F5" w14:textId="09BD6831" w:rsidR="000002E7" w:rsidRPr="005062C5" w:rsidRDefault="00DB16A6">
      <w:pPr>
        <w:spacing w:line="300" w:lineRule="auto"/>
        <w:jc w:val="both"/>
        <w:rPr>
          <w:rFonts w:ascii="Arial" w:hAnsi="Arial" w:cs="Arial"/>
        </w:rPr>
      </w:pPr>
      <w:r>
        <w:rPr>
          <w:rFonts w:ascii="Arial" w:hAnsi="Arial" w:cs="Arial"/>
        </w:rPr>
        <w:t>Two conclusions follow from this evaluation. First, the individual problems Maldiva has raised, such as stockouts, poor targeting, slow reporting, compliance risk, and departmental friction, are not five separate issues requiring five separate fixes. They are downstream symptoms of one underlying cause: the absence of a shared data model that every part of the business reads from and writes to. Second, the literature on retail systems failure consistently identifies fragmented data structures and process misalignment as the most persistent barriers to operational performance, particularly when growth has outpaced the systems in place to support it (Barbieri, Sott and Monticelli, 2024). Any recommendation that treats the symptoms individually, creating a better spreadsheet template here, a new mailing list tool there, will not resolve the underlying architecture problem and is likely to need replacing again within a short period.</w:t>
      </w:r>
    </w:p>
    <w:p w14:paraId="7D76BD2F" w14:textId="60A152A1" w:rsidR="00D41D81" w:rsidRPr="005062C5" w:rsidRDefault="00D41D81" w:rsidP="00D41D81">
      <w:pPr>
        <w:pStyle w:val="Heading1"/>
        <w:rPr>
          <w:color w:val="auto"/>
        </w:rPr>
      </w:pPr>
      <w:r>
        <w:rPr>
          <w:color w:val="auto"/>
        </w:rPr>
        <w:t>RECOMMENDED SOLUTION</w:t>
      </w:r>
    </w:p>
    <w:p w14:paraId="4AF0B6D6" w14:textId="635EED29" w:rsidR="000D581E" w:rsidRDefault="00DB16A6" w:rsidP="000D581E">
      <w:pPr>
        <w:pStyle w:val="Heading2"/>
        <w:spacing w:before="240" w:after="120"/>
        <w:rPr>
          <w:rFonts w:ascii="Arial" w:hAnsi="Arial" w:cs="Arial"/>
          <w:b/>
          <w:bCs/>
          <w:color w:val="auto"/>
          <w:sz w:val="24"/>
          <w:szCs w:val="24"/>
        </w:rPr>
      </w:pPr>
      <w:r>
        <w:rPr>
          <w:rFonts w:ascii="Arial" w:hAnsi="Arial" w:cs="Arial"/>
          <w:b/>
          <w:bCs/>
          <w:color w:val="auto"/>
          <w:sz w:val="24"/>
          <w:szCs w:val="24"/>
        </w:rPr>
        <w:t>3.1 The proposed system</w:t>
      </w:r>
    </w:p>
    <w:p w14:paraId="605F965F" w14:textId="77777777" w:rsidR="000D581E" w:rsidRPr="000D581E" w:rsidRDefault="000D581E" w:rsidP="007D7D12">
      <w:pPr>
        <w:pStyle w:val="NoSpacing"/>
      </w:pPr>
    </w:p>
    <w:p w14:paraId="5BB8F5A1" w14:textId="62AF3BAC" w:rsidR="002E136E" w:rsidRPr="005062C5" w:rsidRDefault="00DB16A6">
      <w:pPr>
        <w:spacing w:line="300" w:lineRule="auto"/>
        <w:jc w:val="both"/>
        <w:rPr>
          <w:rFonts w:ascii="Arial" w:hAnsi="Arial" w:cs="Arial"/>
        </w:rPr>
      </w:pPr>
      <w:r>
        <w:rPr>
          <w:rFonts w:ascii="Arial" w:hAnsi="Arial" w:cs="Arial"/>
        </w:rPr>
        <w:t>The recommendation is to replace Maldiva's fragmented landscape with SAP S/4HANA Cloud Public Edition for retail, fashion, and vertical businesses, implemented as a single operational core for inventory, sales, finance, and customer data, supported by its embedded omnichannel inventory and loyalty capabilities. This is a retail-specific configuration of SAP's cloud ERP, built around a single data model rather than a generic finance system adapted for retail use (Rizing, 2026).</w:t>
      </w:r>
    </w:p>
    <w:p w14:paraId="7D3A84B8" w14:textId="29F19EB0" w:rsidR="000D581E" w:rsidRDefault="00DB16A6" w:rsidP="000D581E">
      <w:pPr>
        <w:pStyle w:val="Heading2"/>
        <w:spacing w:before="240" w:after="120"/>
        <w:rPr>
          <w:rFonts w:ascii="Arial" w:hAnsi="Arial" w:cs="Arial"/>
          <w:b/>
          <w:bCs/>
          <w:color w:val="auto"/>
          <w:sz w:val="24"/>
          <w:szCs w:val="24"/>
        </w:rPr>
      </w:pPr>
      <w:r>
        <w:rPr>
          <w:rFonts w:ascii="Arial" w:hAnsi="Arial" w:cs="Arial"/>
          <w:b/>
          <w:bCs/>
          <w:color w:val="auto"/>
          <w:sz w:val="24"/>
          <w:szCs w:val="24"/>
        </w:rPr>
        <w:t>3.2 Why this option over the alternatives</w:t>
      </w:r>
    </w:p>
    <w:p w14:paraId="22B7B313" w14:textId="77777777" w:rsidR="000D581E" w:rsidRPr="007D7D12" w:rsidRDefault="000D581E" w:rsidP="00D54501">
      <w:pPr>
        <w:pStyle w:val="NoSpacing"/>
      </w:pPr>
    </w:p>
    <w:p w14:paraId="727AF8CD" w14:textId="759567CF" w:rsidR="000D581E" w:rsidRPr="007D7D12" w:rsidRDefault="00DB16A6">
      <w:pPr>
        <w:spacing w:line="300" w:lineRule="auto"/>
        <w:jc w:val="both"/>
        <w:rPr>
          <w:rFonts w:ascii="Arial" w:hAnsi="Arial" w:cs="Arial"/>
        </w:rPr>
      </w:pPr>
      <w:r w:rsidRPr="007D7D12">
        <w:rPr>
          <w:rFonts w:ascii="Arial" w:hAnsi="Arial" w:cs="Arial"/>
        </w:rPr>
        <w:t>Three cloud ERP options were appraised against Maldiva's requirements, summarised in Table 2.</w:t>
      </w:r>
      <w:r w:rsidR="002E136E">
        <w:rPr>
          <w:rFonts w:ascii="Arial" w:hAnsi="Arial" w:cs="Arial"/>
        </w:rPr>
        <w:t xml:space="preserve"> </w:t>
      </w:r>
      <w:r w:rsidR="007D7D12" w:rsidRPr="007D7D12">
        <w:rPr>
          <w:rFonts w:ascii="Arial" w:hAnsi="Arial" w:cs="Arial"/>
        </w:rPr>
        <w:t>Where independent academic evaluation of named commercial ERP platforms is limited, this appraisal draws on specialist analyst and vendor documentation, cross-checked against the peer-reviewed cloud ERP literature cited elsewhere in this report to keep vendor claims in check.</w:t>
      </w:r>
    </w:p>
    <w:p w14:paraId="2C4056DD" w14:textId="77777777" w:rsidR="00151C06" w:rsidRPr="005062C5" w:rsidRDefault="00151C06">
      <w:pPr>
        <w:spacing w:line="300" w:lineRule="auto"/>
        <w:jc w:val="both"/>
        <w:rPr>
          <w:rFonts w:ascii="Arial" w:hAnsi="Arial" w:cs="Arial"/>
        </w:rPr>
      </w:pPr>
    </w:p>
    <w:tbl>
      <w:tblPr>
        <w:tblStyle w:val="TableGrid"/>
        <w:tblW w:w="9300" w:type="dxa"/>
        <w:tblLook w:val="0000" w:firstRow="0" w:lastRow="0" w:firstColumn="0" w:lastColumn="0" w:noHBand="0" w:noVBand="0"/>
      </w:tblPr>
      <w:tblGrid>
        <w:gridCol w:w="2300"/>
        <w:gridCol w:w="2400"/>
        <w:gridCol w:w="2300"/>
        <w:gridCol w:w="2300"/>
      </w:tblGrid>
      <w:tr w:rsidR="000002E7" w:rsidRPr="000D581E" w14:paraId="0E318F00" w14:textId="77777777" w:rsidTr="000D581E">
        <w:tc>
          <w:tcPr>
            <w:tcW w:w="2300" w:type="dxa"/>
            <w:shd w:val="clear" w:color="auto" w:fill="D9D9D9" w:themeFill="background1" w:themeFillShade="D9"/>
          </w:tcPr>
          <w:p w14:paraId="79325CB4" w14:textId="77777777" w:rsidR="000002E7" w:rsidRPr="000D581E" w:rsidRDefault="00DB16A6">
            <w:pPr>
              <w:rPr>
                <w:rFonts w:ascii="Arial" w:hAnsi="Arial" w:cs="Arial"/>
              </w:rPr>
            </w:pPr>
            <w:r>
              <w:rPr>
                <w:rFonts w:ascii="Arial" w:hAnsi="Arial" w:cs="Arial"/>
                <w:b/>
                <w:bCs/>
              </w:rPr>
              <w:t>Criterion</w:t>
            </w:r>
          </w:p>
        </w:tc>
        <w:tc>
          <w:tcPr>
            <w:tcW w:w="2400" w:type="dxa"/>
            <w:shd w:val="clear" w:color="auto" w:fill="D9D9D9" w:themeFill="background1" w:themeFillShade="D9"/>
          </w:tcPr>
          <w:p w14:paraId="1C1B50B1" w14:textId="77777777" w:rsidR="000002E7" w:rsidRPr="000D581E" w:rsidRDefault="00DB16A6">
            <w:pPr>
              <w:rPr>
                <w:rFonts w:ascii="Arial" w:hAnsi="Arial" w:cs="Arial"/>
              </w:rPr>
            </w:pPr>
            <w:r>
              <w:rPr>
                <w:rFonts w:ascii="Arial" w:hAnsi="Arial" w:cs="Arial"/>
                <w:b/>
                <w:bCs/>
              </w:rPr>
              <w:t>SAP S/4HANA Cloud Public Edition (Retail)</w:t>
            </w:r>
          </w:p>
        </w:tc>
        <w:tc>
          <w:tcPr>
            <w:tcW w:w="2300" w:type="dxa"/>
            <w:shd w:val="clear" w:color="auto" w:fill="D9D9D9" w:themeFill="background1" w:themeFillShade="D9"/>
          </w:tcPr>
          <w:p w14:paraId="5EF34DF9" w14:textId="77777777" w:rsidR="000002E7" w:rsidRPr="000D581E" w:rsidRDefault="00DB16A6">
            <w:pPr>
              <w:rPr>
                <w:rFonts w:ascii="Arial" w:hAnsi="Arial" w:cs="Arial"/>
              </w:rPr>
            </w:pPr>
            <w:r>
              <w:rPr>
                <w:rFonts w:ascii="Arial" w:hAnsi="Arial" w:cs="Arial"/>
                <w:b/>
                <w:bCs/>
              </w:rPr>
              <w:t>Microsoft Dynamics 365</w:t>
            </w:r>
          </w:p>
        </w:tc>
        <w:tc>
          <w:tcPr>
            <w:tcW w:w="2300" w:type="dxa"/>
            <w:shd w:val="clear" w:color="auto" w:fill="D9D9D9" w:themeFill="background1" w:themeFillShade="D9"/>
          </w:tcPr>
          <w:p w14:paraId="370321B9" w14:textId="77777777" w:rsidR="000002E7" w:rsidRPr="000D581E" w:rsidRDefault="00DB16A6">
            <w:pPr>
              <w:rPr>
                <w:rFonts w:ascii="Arial" w:hAnsi="Arial" w:cs="Arial"/>
              </w:rPr>
            </w:pPr>
            <w:r>
              <w:rPr>
                <w:rFonts w:ascii="Arial" w:hAnsi="Arial" w:cs="Arial"/>
                <w:b/>
                <w:bCs/>
              </w:rPr>
              <w:t>Oracle NetSuite</w:t>
            </w:r>
          </w:p>
        </w:tc>
      </w:tr>
      <w:tr w:rsidR="000002E7" w:rsidRPr="000D581E" w14:paraId="6597777F" w14:textId="77777777" w:rsidTr="000D581E">
        <w:tc>
          <w:tcPr>
            <w:tcW w:w="2300" w:type="dxa"/>
          </w:tcPr>
          <w:p w14:paraId="1E47AFD8" w14:textId="77777777" w:rsidR="000002E7" w:rsidRPr="000D581E" w:rsidRDefault="00DB16A6">
            <w:pPr>
              <w:rPr>
                <w:rFonts w:ascii="Arial" w:hAnsi="Arial" w:cs="Arial"/>
              </w:rPr>
            </w:pPr>
            <w:r>
              <w:rPr>
                <w:rFonts w:ascii="Arial" w:hAnsi="Arial" w:cs="Arial"/>
                <w:b/>
                <w:bCs/>
              </w:rPr>
              <w:t>Retail-specific functionality</w:t>
            </w:r>
          </w:p>
        </w:tc>
        <w:tc>
          <w:tcPr>
            <w:tcW w:w="2400" w:type="dxa"/>
          </w:tcPr>
          <w:p w14:paraId="3F31B7D4" w14:textId="77777777" w:rsidR="000002E7" w:rsidRPr="000D581E" w:rsidRDefault="00DB16A6">
            <w:pPr>
              <w:rPr>
                <w:rFonts w:ascii="Arial" w:hAnsi="Arial" w:cs="Arial"/>
              </w:rPr>
            </w:pPr>
            <w:r>
              <w:rPr>
                <w:rFonts w:ascii="Arial" w:hAnsi="Arial" w:cs="Arial"/>
              </w:rPr>
              <w:t>Built for merchandising and omnichannel fulfilment out of the box</w:t>
            </w:r>
          </w:p>
        </w:tc>
        <w:tc>
          <w:tcPr>
            <w:tcW w:w="2300" w:type="dxa"/>
          </w:tcPr>
          <w:p w14:paraId="716608FE" w14:textId="0440B6F7" w:rsidR="000002E7" w:rsidRPr="000D581E" w:rsidRDefault="00DB16A6">
            <w:pPr>
              <w:rPr>
                <w:rFonts w:ascii="Arial" w:hAnsi="Arial" w:cs="Arial"/>
              </w:rPr>
            </w:pPr>
            <w:r>
              <w:rPr>
                <w:rFonts w:ascii="Arial" w:hAnsi="Arial" w:cs="Arial"/>
              </w:rPr>
              <w:t>Strong CRM and retail modules are add-ons</w:t>
            </w:r>
          </w:p>
        </w:tc>
        <w:tc>
          <w:tcPr>
            <w:tcW w:w="2300" w:type="dxa"/>
          </w:tcPr>
          <w:p w14:paraId="7273F553" w14:textId="716FFB50" w:rsidR="000002E7" w:rsidRPr="000D581E" w:rsidRDefault="00DB16A6">
            <w:pPr>
              <w:rPr>
                <w:rFonts w:ascii="Arial" w:hAnsi="Arial" w:cs="Arial"/>
              </w:rPr>
            </w:pPr>
            <w:r>
              <w:rPr>
                <w:rFonts w:ascii="Arial" w:hAnsi="Arial" w:cs="Arial"/>
              </w:rPr>
              <w:t>Good for pure e-commerce, with thinner store operations depth</w:t>
            </w:r>
          </w:p>
        </w:tc>
      </w:tr>
      <w:tr w:rsidR="000002E7" w:rsidRPr="000D581E" w14:paraId="000AFFF4" w14:textId="77777777" w:rsidTr="000D581E">
        <w:tc>
          <w:tcPr>
            <w:tcW w:w="2300" w:type="dxa"/>
          </w:tcPr>
          <w:p w14:paraId="7ED03732" w14:textId="77777777" w:rsidR="000002E7" w:rsidRPr="000D581E" w:rsidRDefault="00DB16A6">
            <w:pPr>
              <w:rPr>
                <w:rFonts w:ascii="Arial" w:hAnsi="Arial" w:cs="Arial"/>
              </w:rPr>
            </w:pPr>
            <w:r>
              <w:rPr>
                <w:rFonts w:ascii="Arial" w:hAnsi="Arial" w:cs="Arial"/>
                <w:b/>
                <w:bCs/>
              </w:rPr>
              <w:t>Real-time stock visibility</w:t>
            </w:r>
          </w:p>
        </w:tc>
        <w:tc>
          <w:tcPr>
            <w:tcW w:w="2400" w:type="dxa"/>
          </w:tcPr>
          <w:p w14:paraId="14E2873B" w14:textId="77777777" w:rsidR="000002E7" w:rsidRPr="000D581E" w:rsidRDefault="00DB16A6">
            <w:pPr>
              <w:rPr>
                <w:rFonts w:ascii="Arial" w:hAnsi="Arial" w:cs="Arial"/>
              </w:rPr>
            </w:pPr>
            <w:r>
              <w:rPr>
                <w:rFonts w:ascii="Arial" w:hAnsi="Arial" w:cs="Arial"/>
              </w:rPr>
              <w:t>Live available-to-promise across stores and web</w:t>
            </w:r>
          </w:p>
        </w:tc>
        <w:tc>
          <w:tcPr>
            <w:tcW w:w="2300" w:type="dxa"/>
          </w:tcPr>
          <w:p w14:paraId="516AA4E5" w14:textId="3261399F" w:rsidR="000002E7" w:rsidRPr="000D581E" w:rsidRDefault="00DB16A6">
            <w:pPr>
              <w:rPr>
                <w:rFonts w:ascii="Arial" w:hAnsi="Arial" w:cs="Arial"/>
              </w:rPr>
            </w:pPr>
            <w:r>
              <w:rPr>
                <w:rFonts w:ascii="Arial" w:hAnsi="Arial" w:cs="Arial"/>
              </w:rPr>
              <w:t>Near real-time, dependent on the connector setup</w:t>
            </w:r>
          </w:p>
        </w:tc>
        <w:tc>
          <w:tcPr>
            <w:tcW w:w="2300" w:type="dxa"/>
          </w:tcPr>
          <w:p w14:paraId="0344C375" w14:textId="77777777" w:rsidR="000002E7" w:rsidRPr="000D581E" w:rsidRDefault="00DB16A6">
            <w:pPr>
              <w:rPr>
                <w:rFonts w:ascii="Arial" w:hAnsi="Arial" w:cs="Arial"/>
              </w:rPr>
            </w:pPr>
            <w:r>
              <w:rPr>
                <w:rFonts w:ascii="Arial" w:hAnsi="Arial" w:cs="Arial"/>
              </w:rPr>
              <w:t>Real-time, but weaker multi-store logic</w:t>
            </w:r>
          </w:p>
        </w:tc>
      </w:tr>
      <w:tr w:rsidR="000002E7" w:rsidRPr="000D581E" w14:paraId="63376414" w14:textId="77777777" w:rsidTr="000D581E">
        <w:tc>
          <w:tcPr>
            <w:tcW w:w="2300" w:type="dxa"/>
          </w:tcPr>
          <w:p w14:paraId="4109D9B5" w14:textId="471718AD" w:rsidR="000002E7" w:rsidRPr="000D581E" w:rsidRDefault="00DB16A6">
            <w:pPr>
              <w:rPr>
                <w:rFonts w:ascii="Arial" w:hAnsi="Arial" w:cs="Arial"/>
              </w:rPr>
            </w:pPr>
            <w:r>
              <w:rPr>
                <w:rFonts w:ascii="Arial" w:hAnsi="Arial" w:cs="Arial"/>
                <w:b/>
                <w:bCs/>
              </w:rPr>
              <w:t>Deployment model/cost</w:t>
            </w:r>
          </w:p>
        </w:tc>
        <w:tc>
          <w:tcPr>
            <w:tcW w:w="2400" w:type="dxa"/>
          </w:tcPr>
          <w:p w14:paraId="31F1C9B8" w14:textId="77777777" w:rsidR="000002E7" w:rsidRPr="000D581E" w:rsidRDefault="00DB16A6">
            <w:pPr>
              <w:rPr>
                <w:rFonts w:ascii="Arial" w:hAnsi="Arial" w:cs="Arial"/>
              </w:rPr>
            </w:pPr>
            <w:r>
              <w:rPr>
                <w:rFonts w:ascii="Arial" w:hAnsi="Arial" w:cs="Arial"/>
              </w:rPr>
              <w:t>Multi-tenant SaaS, fit-to-standard, quarterly updates, subscription pricing</w:t>
            </w:r>
          </w:p>
        </w:tc>
        <w:tc>
          <w:tcPr>
            <w:tcW w:w="2300" w:type="dxa"/>
          </w:tcPr>
          <w:p w14:paraId="23D46000" w14:textId="77777777" w:rsidR="000002E7" w:rsidRPr="000D581E" w:rsidRDefault="00DB16A6">
            <w:pPr>
              <w:rPr>
                <w:rFonts w:ascii="Arial" w:hAnsi="Arial" w:cs="Arial"/>
              </w:rPr>
            </w:pPr>
            <w:r>
              <w:rPr>
                <w:rFonts w:ascii="Arial" w:hAnsi="Arial" w:cs="Arial"/>
              </w:rPr>
              <w:t>Subscription, moderate configuration cost</w:t>
            </w:r>
          </w:p>
        </w:tc>
        <w:tc>
          <w:tcPr>
            <w:tcW w:w="2300" w:type="dxa"/>
          </w:tcPr>
          <w:p w14:paraId="2573B6C5" w14:textId="77777777" w:rsidR="000002E7" w:rsidRPr="000D581E" w:rsidRDefault="00DB16A6">
            <w:pPr>
              <w:rPr>
                <w:rFonts w:ascii="Arial" w:hAnsi="Arial" w:cs="Arial"/>
              </w:rPr>
            </w:pPr>
            <w:r>
              <w:rPr>
                <w:rFonts w:ascii="Arial" w:hAnsi="Arial" w:cs="Arial"/>
              </w:rPr>
              <w:t>Subscription, lower entry cost, fewer retail extensions</w:t>
            </w:r>
          </w:p>
        </w:tc>
      </w:tr>
      <w:tr w:rsidR="000002E7" w:rsidRPr="000D581E" w14:paraId="057F17EA" w14:textId="77777777" w:rsidTr="000D581E">
        <w:tc>
          <w:tcPr>
            <w:tcW w:w="2300" w:type="dxa"/>
          </w:tcPr>
          <w:p w14:paraId="5F073C2A" w14:textId="77777777" w:rsidR="000002E7" w:rsidRPr="000D581E" w:rsidRDefault="00DB16A6">
            <w:pPr>
              <w:rPr>
                <w:rFonts w:ascii="Arial" w:hAnsi="Arial" w:cs="Arial"/>
              </w:rPr>
            </w:pPr>
            <w:r>
              <w:rPr>
                <w:rFonts w:ascii="Arial" w:hAnsi="Arial" w:cs="Arial"/>
                <w:b/>
                <w:bCs/>
              </w:rPr>
              <w:t>Scalability for 30+ stores</w:t>
            </w:r>
          </w:p>
        </w:tc>
        <w:tc>
          <w:tcPr>
            <w:tcW w:w="2400" w:type="dxa"/>
          </w:tcPr>
          <w:p w14:paraId="339BFC7D" w14:textId="77777777" w:rsidR="000002E7" w:rsidRPr="000D581E" w:rsidRDefault="00DB16A6">
            <w:pPr>
              <w:rPr>
                <w:rFonts w:ascii="Arial" w:hAnsi="Arial" w:cs="Arial"/>
              </w:rPr>
            </w:pPr>
            <w:r>
              <w:rPr>
                <w:rFonts w:ascii="Arial" w:hAnsi="Arial" w:cs="Arial"/>
              </w:rPr>
              <w:t>Designed for enterprise-scale growth without re-platforming</w:t>
            </w:r>
          </w:p>
        </w:tc>
        <w:tc>
          <w:tcPr>
            <w:tcW w:w="2300" w:type="dxa"/>
          </w:tcPr>
          <w:p w14:paraId="02320A1A" w14:textId="77777777" w:rsidR="000002E7" w:rsidRPr="000D581E" w:rsidRDefault="00DB16A6">
            <w:pPr>
              <w:rPr>
                <w:rFonts w:ascii="Arial" w:hAnsi="Arial" w:cs="Arial"/>
              </w:rPr>
            </w:pPr>
            <w:r>
              <w:rPr>
                <w:rFonts w:ascii="Arial" w:hAnsi="Arial" w:cs="Arial"/>
              </w:rPr>
              <w:t>Scales well, some modules need upgrade tiers</w:t>
            </w:r>
          </w:p>
        </w:tc>
        <w:tc>
          <w:tcPr>
            <w:tcW w:w="2300" w:type="dxa"/>
          </w:tcPr>
          <w:p w14:paraId="54BA2DE2" w14:textId="77777777" w:rsidR="000002E7" w:rsidRPr="000D581E" w:rsidRDefault="00DB16A6">
            <w:pPr>
              <w:rPr>
                <w:rFonts w:ascii="Arial" w:hAnsi="Arial" w:cs="Arial"/>
              </w:rPr>
            </w:pPr>
            <w:r>
              <w:rPr>
                <w:rFonts w:ascii="Arial" w:hAnsi="Arial" w:cs="Arial"/>
              </w:rPr>
              <w:t>Better suited to smaller multi-channel operations</w:t>
            </w:r>
          </w:p>
        </w:tc>
      </w:tr>
    </w:tbl>
    <w:p w14:paraId="77C52A32" w14:textId="10B53474" w:rsidR="000002E7" w:rsidRDefault="00DB16A6">
      <w:pPr>
        <w:spacing w:before="80" w:after="240"/>
        <w:jc w:val="center"/>
        <w:rPr>
          <w:rFonts w:ascii="Arial" w:hAnsi="Arial" w:cs="Arial"/>
          <w:i/>
          <w:iCs/>
          <w:sz w:val="19"/>
          <w:szCs w:val="19"/>
        </w:rPr>
      </w:pPr>
      <w:r>
        <w:rPr>
          <w:rFonts w:ascii="Arial" w:hAnsi="Arial" w:cs="Arial"/>
          <w:i/>
          <w:iCs/>
          <w:sz w:val="19"/>
          <w:szCs w:val="19"/>
        </w:rPr>
        <w:t>Table 2: Options appraisal- SAP S/4HANA Cloud versus alternative platforms</w:t>
      </w:r>
    </w:p>
    <w:p w14:paraId="2CE0426E" w14:textId="77777777" w:rsidR="000D581E" w:rsidRPr="005062C5" w:rsidRDefault="000D581E" w:rsidP="00151C06">
      <w:pPr>
        <w:pStyle w:val="NoSpacing"/>
      </w:pPr>
    </w:p>
    <w:p w14:paraId="61F0B739" w14:textId="66F125B9" w:rsidR="000002E7" w:rsidRPr="005062C5" w:rsidRDefault="00DB16A6">
      <w:pPr>
        <w:spacing w:line="300" w:lineRule="auto"/>
        <w:jc w:val="both"/>
        <w:rPr>
          <w:rFonts w:ascii="Arial" w:hAnsi="Arial" w:cs="Arial"/>
        </w:rPr>
      </w:pPr>
      <w:r>
        <w:rPr>
          <w:rFonts w:ascii="Arial" w:hAnsi="Arial" w:cs="Arial"/>
        </w:rPr>
        <w:t>Microsoft Dynamics 365 and Oracle NetSuite are both credible platforms and were not dismissed lightly. Still, neither offers the same depth of purpose-built retail logic, including assortment management, store-level stock allocation, and promotion planning, built into the core system rather than added afterwards (ERP Research, 2026); this comparison draws on specialist analyst reporting rather than independent academic testing, so it is treated here as directional rather than definitive. Given that Maldiva's central problem is store-versus-web stock visibility across 30 locations, a platform designed for that exact use case carries less integration risk than one that would need to be extended to support it.</w:t>
      </w:r>
    </w:p>
    <w:p w14:paraId="6AB1F7AC" w14:textId="77777777" w:rsidR="000002E7" w:rsidRDefault="00DB16A6">
      <w:pPr>
        <w:pStyle w:val="Heading2"/>
        <w:spacing w:before="240" w:after="120"/>
        <w:rPr>
          <w:rFonts w:ascii="Arial" w:hAnsi="Arial" w:cs="Arial"/>
          <w:b/>
          <w:bCs/>
          <w:color w:val="auto"/>
          <w:sz w:val="24"/>
          <w:szCs w:val="24"/>
        </w:rPr>
      </w:pPr>
      <w:r>
        <w:rPr>
          <w:rFonts w:ascii="Arial" w:hAnsi="Arial" w:cs="Arial"/>
          <w:b/>
          <w:bCs/>
          <w:color w:val="auto"/>
          <w:sz w:val="24"/>
          <w:szCs w:val="24"/>
        </w:rPr>
        <w:t>3.3 How the system resolves Maldiva's five problems</w:t>
      </w:r>
    </w:p>
    <w:p w14:paraId="1C30A5D1" w14:textId="77777777" w:rsidR="002E4454" w:rsidRPr="002E4454" w:rsidRDefault="002E4454" w:rsidP="00151C06">
      <w:pPr>
        <w:pStyle w:val="NoSpacing"/>
      </w:pPr>
    </w:p>
    <w:p w14:paraId="487765E3" w14:textId="3F4964BA" w:rsidR="000002E7" w:rsidRPr="005062C5" w:rsidRDefault="00DB16A6">
      <w:pPr>
        <w:spacing w:line="300" w:lineRule="auto"/>
        <w:jc w:val="both"/>
        <w:rPr>
          <w:rFonts w:ascii="Arial" w:hAnsi="Arial" w:cs="Arial"/>
        </w:rPr>
      </w:pPr>
      <w:r>
        <w:rPr>
          <w:rFonts w:ascii="Arial" w:hAnsi="Arial" w:cs="Arial"/>
        </w:rPr>
        <w:t xml:space="preserve">Inventory: the platform maintains a single stock ledger with real-time available-to-promise checks, so a sale in a Birmingham store is reflected on the website within the same transaction rather than the next overnight run. This directly targets the cancelled-order complaints in the business case and </w:t>
      </w:r>
      <w:r w:rsidR="002E136E">
        <w:rPr>
          <w:rFonts w:ascii="Arial" w:hAnsi="Arial" w:cs="Arial"/>
        </w:rPr>
        <w:t>aligns with the broader</w:t>
      </w:r>
      <w:r>
        <w:rPr>
          <w:rFonts w:ascii="Arial" w:hAnsi="Arial" w:cs="Arial"/>
        </w:rPr>
        <w:t xml:space="preserve"> finding that unifying channel inventory reduces exactly this kind of stock-visibility failure (Gallino, Moreno and Stamatopoulos, 2017).</w:t>
      </w:r>
    </w:p>
    <w:p w14:paraId="278C9E97" w14:textId="77777777" w:rsidR="000002E7" w:rsidRPr="005062C5" w:rsidRDefault="00DB16A6">
      <w:pPr>
        <w:spacing w:line="300" w:lineRule="auto"/>
        <w:jc w:val="both"/>
        <w:rPr>
          <w:rFonts w:ascii="Arial" w:hAnsi="Arial" w:cs="Arial"/>
        </w:rPr>
      </w:pPr>
      <w:r>
        <w:rPr>
          <w:rFonts w:ascii="Arial" w:hAnsi="Arial" w:cs="Arial"/>
        </w:rPr>
        <w:t>CRM: customer touchpoints across stores, the website and support are written to a single customer profile, giving marketing a genuine purchase history to target and giving support staff the same record a customer is describing on the phone, rather than three partial ones (Navigator Business Solutions, 2024). This addresses a problem well documented in current CRM research, where fragmented data is repeatedly identified as the single biggest obstacle to effective personalisation and loyalty building (Sweeney, 2024).</w:t>
      </w:r>
    </w:p>
    <w:p w14:paraId="365CF457" w14:textId="27167B75" w:rsidR="00725177" w:rsidRDefault="00DB16A6">
      <w:pPr>
        <w:spacing w:line="300" w:lineRule="auto"/>
        <w:jc w:val="both"/>
      </w:pPr>
      <w:r>
        <w:rPr>
          <w:rFonts w:ascii="Arial" w:hAnsi="Arial" w:cs="Arial"/>
        </w:rPr>
        <w:t xml:space="preserve">Decision-making: manual spreadsheet reporting is replaced by embedded analytics built on the same live transactional data, so a sales trend, an ageing stock line or an overdue receivable can be reviewed in real time rather than reconstructed from last week's export. Industry-reported figures suggest retailers </w:t>
      </w:r>
      <w:r w:rsidRPr="00725177">
        <w:rPr>
          <w:rFonts w:ascii="Arial" w:hAnsi="Arial" w:cs="Arial"/>
        </w:rPr>
        <w:t xml:space="preserve">using real-time analytics in place of manual reporting can cut decision-making </w:t>
      </w:r>
      <w:r w:rsidRPr="00725177">
        <w:rPr>
          <w:rFonts w:ascii="Arial" w:hAnsi="Arial" w:cs="Arial"/>
        </w:rPr>
        <w:lastRenderedPageBreak/>
        <w:t xml:space="preserve">time by around 30 per cent (Reenbit, 2026). </w:t>
      </w:r>
      <w:r w:rsidR="00E462D8" w:rsidRPr="00725177">
        <w:rPr>
          <w:rFonts w:ascii="Arial" w:hAnsi="Arial" w:cs="Arial"/>
        </w:rPr>
        <w:t>This figure comes from practitioner research rather than a peer-reviewed study, so it is used here to illustrate scale rather than as a number Maldiva should hold itself to</w:t>
      </w:r>
      <w:r w:rsidR="00725177" w:rsidRPr="00725177">
        <w:rPr>
          <w:rFonts w:ascii="Arial" w:hAnsi="Arial" w:cs="Arial"/>
        </w:rPr>
        <w:t>.</w:t>
      </w:r>
    </w:p>
    <w:p w14:paraId="7A4C08CF" w14:textId="55132544" w:rsidR="000002E7" w:rsidRPr="005062C5" w:rsidRDefault="00DB16A6">
      <w:pPr>
        <w:spacing w:line="300" w:lineRule="auto"/>
        <w:jc w:val="both"/>
        <w:rPr>
          <w:rFonts w:ascii="Arial" w:hAnsi="Arial" w:cs="Arial"/>
        </w:rPr>
      </w:pPr>
      <w:r>
        <w:rPr>
          <w:rFonts w:ascii="Arial" w:hAnsi="Arial" w:cs="Arial"/>
        </w:rPr>
        <w:t xml:space="preserve">Compliance: cloud hosting is delivered under internationally recognised security standards, with role-based access replacing the shared logins currently in use, so who accessed a given customer record becomes auditable rather than a guess, directly addressing the GDPR exposure raised in the business case. The regulatory stakes of leaving this unresolved are not hypothetical: the Information Commissioner's Office fined Capita £14 million in October 2025 after finding that inadequate access controls and weak administrator permissions had created a foreseeable, avoidable risk, and it explicitly rejected cost and inconvenience as an excuse for not fixing them (Skadden, Arps, Slate, Meagher and Flom LLP, 2026). </w:t>
      </w:r>
      <w:r w:rsidR="002E136E">
        <w:rPr>
          <w:rFonts w:ascii="Arial" w:hAnsi="Arial" w:cs="Arial"/>
        </w:rPr>
        <w:t>Maldives' shared-login practice falls into</w:t>
      </w:r>
      <w:r>
        <w:rPr>
          <w:rFonts w:ascii="Arial" w:hAnsi="Arial" w:cs="Arial"/>
        </w:rPr>
        <w:t xml:space="preserve"> the same category of weakness.</w:t>
      </w:r>
    </w:p>
    <w:p w14:paraId="51FAE17D" w14:textId="1BE9C284" w:rsidR="000002E7" w:rsidRPr="005062C5" w:rsidRDefault="00DB16A6">
      <w:pPr>
        <w:spacing w:line="300" w:lineRule="auto"/>
        <w:jc w:val="both"/>
        <w:rPr>
          <w:rFonts w:ascii="Arial" w:hAnsi="Arial" w:cs="Arial"/>
        </w:rPr>
      </w:pPr>
      <w:r>
        <w:rPr>
          <w:rFonts w:ascii="Arial" w:hAnsi="Arial" w:cs="Arial"/>
        </w:rPr>
        <w:t>Integration: because sales, finance, and inventory sit on a single data model rather than three disconnected systems, the manual rekeying between departments that currently wastes staff time and introduces errors is removed at the source, rather than patched over with another spreadsheet.</w:t>
      </w:r>
    </w:p>
    <w:p w14:paraId="20A94EA8" w14:textId="2BF53177" w:rsidR="000002E7" w:rsidRPr="0074159F" w:rsidRDefault="00DB16A6">
      <w:pPr>
        <w:spacing w:line="300" w:lineRule="auto"/>
        <w:jc w:val="both"/>
        <w:rPr>
          <w:rFonts w:ascii="Arial" w:hAnsi="Arial" w:cs="Arial"/>
        </w:rPr>
      </w:pPr>
      <w:r w:rsidRPr="0074159F">
        <w:rPr>
          <w:rFonts w:ascii="Arial" w:hAnsi="Arial" w:cs="Arial"/>
        </w:rPr>
        <w:t xml:space="preserve">Figure 1 summarises the scale of benefit retailers report after adopting real-time, ERP-embedded analytics of this kind, drawn from current industry evidence rather than vendor claims alone. </w:t>
      </w:r>
      <w:r w:rsidR="0074159F" w:rsidRPr="0074159F">
        <w:rPr>
          <w:rFonts w:ascii="Arial" w:hAnsi="Arial" w:cs="Arial"/>
        </w:rPr>
        <w:t>Maldiva should treat these percentages as context for the size of opportunity rather than a forecast, since none of the underlying studies isolates a thirty-store electronics retailer specifically</w:t>
      </w:r>
      <w:r w:rsidR="0074159F">
        <w:rPr>
          <w:rFonts w:ascii="Arial" w:hAnsi="Arial" w:cs="Arial"/>
        </w:rPr>
        <w:t>;</w:t>
      </w:r>
      <w:r w:rsidRPr="0074159F">
        <w:rPr>
          <w:rFonts w:ascii="Arial" w:hAnsi="Arial" w:cs="Arial"/>
        </w:rPr>
        <w:t xml:space="preserve"> they describe average outcomes across retailers of varying size and starting maturity, and Maldiva's own gains will depend on how faithfully the fit-to-standard configuration is followed during rollout.</w:t>
      </w:r>
    </w:p>
    <w:p w14:paraId="1A3B3922" w14:textId="77777777" w:rsidR="000002E7" w:rsidRPr="005062C5" w:rsidRDefault="00DB16A6">
      <w:pPr>
        <w:spacing w:before="120" w:after="40"/>
        <w:jc w:val="center"/>
        <w:rPr>
          <w:rFonts w:ascii="Arial" w:hAnsi="Arial" w:cs="Arial"/>
        </w:rPr>
      </w:pPr>
      <w:r>
        <w:rPr>
          <w:rFonts w:ascii="Arial" w:hAnsi="Arial" w:cs="Arial"/>
          <w:noProof/>
        </w:rPr>
        <w:drawing>
          <wp:inline distT="0" distB="0" distL="0" distR="0" wp14:anchorId="2FB78685" wp14:editId="0D60D260">
            <wp:extent cx="5105400" cy="2835320"/>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Lst>
                    </a:blip>
                    <a:srcRect/>
                    <a:stretch>
                      <a:fillRect/>
                    </a:stretch>
                  </pic:blipFill>
                  <pic:spPr bwMode="auto">
                    <a:xfrm>
                      <a:off x="0" y="0"/>
                      <a:ext cx="5133211" cy="2850765"/>
                    </a:xfrm>
                    <a:prstGeom prst="rect">
                      <a:avLst/>
                    </a:prstGeom>
                  </pic:spPr>
                </pic:pic>
              </a:graphicData>
            </a:graphic>
          </wp:inline>
        </w:drawing>
      </w:r>
    </w:p>
    <w:p w14:paraId="2D6CB5F7" w14:textId="03BA5B69" w:rsidR="002E4454" w:rsidRDefault="00DB16A6" w:rsidP="00621B5F">
      <w:pPr>
        <w:pStyle w:val="Heading2"/>
        <w:spacing w:before="240" w:after="120"/>
        <w:rPr>
          <w:rFonts w:ascii="Arial" w:hAnsi="Arial" w:cs="Arial"/>
          <w:b/>
          <w:bCs/>
          <w:color w:val="auto"/>
          <w:sz w:val="24"/>
          <w:szCs w:val="24"/>
        </w:rPr>
      </w:pPr>
      <w:r>
        <w:rPr>
          <w:rFonts w:ascii="Arial" w:hAnsi="Arial" w:cs="Arial"/>
          <w:b/>
          <w:bCs/>
          <w:color w:val="auto"/>
          <w:sz w:val="24"/>
          <w:szCs w:val="24"/>
        </w:rPr>
        <w:t>3.4 Cost and scalability</w:t>
      </w:r>
    </w:p>
    <w:p w14:paraId="138A95E9" w14:textId="77777777" w:rsidR="00621B5F" w:rsidRPr="00621B5F" w:rsidRDefault="00621B5F" w:rsidP="002E136E">
      <w:pPr>
        <w:pStyle w:val="NoSpacing"/>
      </w:pPr>
    </w:p>
    <w:p w14:paraId="6E2ECD1D" w14:textId="09E78A85" w:rsidR="000002E7" w:rsidRDefault="00DB16A6">
      <w:pPr>
        <w:spacing w:line="300" w:lineRule="auto"/>
        <w:jc w:val="both"/>
        <w:rPr>
          <w:rFonts w:ascii="Arial" w:hAnsi="Arial" w:cs="Arial"/>
        </w:rPr>
      </w:pPr>
      <w:r>
        <w:rPr>
          <w:rFonts w:ascii="Arial" w:hAnsi="Arial" w:cs="Arial"/>
        </w:rPr>
        <w:t xml:space="preserve">The public cloud edition is delivered as a subscription rather than a capital purchase, uses a standardised 'fit-to-standard' configuration that reduces implementation cost compared with a heavily customised build, and receives quarterly feature updates without the disruptive upgrade projects associated with older on-premises ERP (ERP Research, 2026). This matters for a company at the Maldives' stage: cloud ERP consistently scores well on affordability and agility for growing mid-sized retailers precisely because it avoids the up-front infrastructure costs that made </w:t>
      </w:r>
      <w:r>
        <w:rPr>
          <w:rFonts w:ascii="Arial" w:hAnsi="Arial" w:cs="Arial"/>
        </w:rPr>
        <w:lastRenderedPageBreak/>
        <w:t>earlier ERP generations a large-enterprise-only proposition (Barbieri, Sott and Monticelli, 2024). As Maldiva opens further stores, additional locations are added to the same platform rather than triggering a re-platforming exercise.</w:t>
      </w:r>
    </w:p>
    <w:p w14:paraId="2D6CB600" w14:textId="03BA5B70" w:rsidR="002E4454" w:rsidRDefault="00DB16A6" w:rsidP="00621B5F">
      <w:pPr>
        <w:pStyle w:val="Heading2"/>
        <w:spacing w:before="240" w:after="120"/>
        <w:rPr>
          <w:rFonts w:ascii="Arial" w:hAnsi="Arial" w:cs="Arial"/>
          <w:b/>
          <w:bCs/>
          <w:color w:val="auto"/>
          <w:sz w:val="24"/>
          <w:szCs w:val="24"/>
        </w:rPr>
      </w:pPr>
      <w:r>
        <w:rPr>
          <w:rFonts w:ascii="Arial" w:hAnsi="Arial" w:cs="Arial"/>
          <w:b/>
          <w:bCs/>
          <w:color w:val="auto"/>
          <w:sz w:val="24"/>
          <w:szCs w:val="24"/>
        </w:rPr>
        <w:t>3.5 Limitations of the recommended approach</w:t>
      </w:r>
    </w:p>
    <w:p w14:paraId="09BD5407" w14:textId="77777777" w:rsidR="00151C06" w:rsidRPr="00151C06" w:rsidRDefault="00151C06" w:rsidP="002E136E">
      <w:pPr>
        <w:pStyle w:val="NoSpacing"/>
      </w:pPr>
    </w:p>
    <w:p w14:paraId="54581FE6" w14:textId="77777777" w:rsidR="00F1599E" w:rsidRDefault="00DB19CF" w:rsidP="00BC108F">
      <w:pPr>
        <w:spacing w:line="300" w:lineRule="auto"/>
        <w:jc w:val="both"/>
        <w:rPr>
          <w:rFonts w:ascii="Arial" w:hAnsi="Arial" w:cs="Arial"/>
        </w:rPr>
      </w:pPr>
      <w:r>
        <w:rPr>
          <w:rFonts w:ascii="Arial" w:hAnsi="Arial" w:cs="Arial"/>
        </w:rPr>
        <w:t xml:space="preserve">The recommendation is not without trade-offs, and the Board should weigh them alongside the benefits set out above. SAP carries a cost premium over Dynamics 365 and NetSuite (Table 2), which is justified here by lower integration risk rather than by price, and Finance should treat that as a deliberate trade-off rather than a hidden cost. The fit-to-standard configuration that keeps implementation affordable also limits flexibility: Maldiva's own processes, not the software, will need to bend towards SAP's retail template in places, and any store-level practice judged essential but incompatible with that template becomes a harder change to make later than a bespoke build would allow. Committing to a single vendor's cloud platform also creates a dependency that the current fragmented landscape, for all its faults, did not </w:t>
      </w:r>
      <w:r w:rsidRPr="00B54336">
        <w:rPr>
          <w:rFonts w:ascii="Arial" w:hAnsi="Arial" w:cs="Arial"/>
        </w:rPr>
        <w:t xml:space="preserve">carry; that switching cost is a genuine risk and belongs in the business case rather than being left implicit. </w:t>
      </w:r>
      <w:r w:rsidR="00B54336" w:rsidRPr="00B54336">
        <w:rPr>
          <w:rFonts w:ascii="Arial" w:hAnsi="Arial" w:cs="Arial"/>
        </w:rPr>
        <w:t xml:space="preserve">This risk is manageable rather than prohibitive: data portability, exit costs, and contract break clauses should be negotiated into the SAP </w:t>
      </w:r>
      <w:r w:rsidR="00B54336" w:rsidRPr="0027491C">
        <w:rPr>
          <w:rFonts w:ascii="Arial" w:hAnsi="Arial" w:cs="Arial"/>
        </w:rPr>
        <w:t>agreement at the outset, not treated as an afterthought once Maldiva is several years into the platform.</w:t>
      </w:r>
      <w:r w:rsidR="002E136E" w:rsidRPr="0027491C">
        <w:rPr>
          <w:rFonts w:ascii="Arial" w:hAnsi="Arial" w:cs="Arial"/>
        </w:rPr>
        <w:t xml:space="preserve"> </w:t>
      </w:r>
      <w:r w:rsidRPr="0027491C">
        <w:rPr>
          <w:rFonts w:ascii="Arial" w:hAnsi="Arial" w:cs="Arial"/>
        </w:rPr>
        <w:t>None of this weakens the recommendation, but a Board sign-off that treats it as risk-free would not withstand scrutiny.</w:t>
      </w:r>
      <w:r w:rsidR="00F1599E">
        <w:rPr>
          <w:rFonts w:ascii="Arial" w:hAnsi="Arial" w:cs="Arial"/>
        </w:rPr>
        <w:t xml:space="preserve"> </w:t>
      </w:r>
    </w:p>
    <w:p w14:paraId="76953B84" w14:textId="75C2FC5B" w:rsidR="00BC108F" w:rsidRDefault="00BC108F" w:rsidP="00F1599E">
      <w:pPr>
        <w:pStyle w:val="Heading1"/>
        <w:rPr>
          <w:color w:val="auto"/>
        </w:rPr>
      </w:pPr>
      <w:r w:rsidRPr="00F1599E">
        <w:rPr>
          <w:color w:val="auto"/>
        </w:rPr>
        <w:t>IMPLEMENTATION PLAN</w:t>
      </w:r>
    </w:p>
    <w:p w14:paraId="68B8EAB7" w14:textId="77777777" w:rsidR="00F1599E" w:rsidRPr="00F1599E" w:rsidRDefault="00F1599E" w:rsidP="00F1599E">
      <w:pPr>
        <w:pStyle w:val="NoSpacing"/>
      </w:pPr>
    </w:p>
    <w:p w14:paraId="265AC14C" w14:textId="77777777" w:rsidR="00BC108F" w:rsidRPr="00BC108F" w:rsidRDefault="00BC108F" w:rsidP="00BC108F">
      <w:pPr>
        <w:spacing w:line="300" w:lineRule="auto"/>
        <w:jc w:val="both"/>
        <w:rPr>
          <w:rFonts w:ascii="Arial" w:hAnsi="Arial" w:cs="Arial"/>
        </w:rPr>
      </w:pPr>
      <w:r w:rsidRPr="00BC108F">
        <w:rPr>
          <w:rFonts w:ascii="Arial" w:hAnsi="Arial" w:cs="Arial"/>
        </w:rPr>
        <w:t>Roughly a third to a half of ERP implementations that struggle do so for reasons that have nothing to do with the software itself, weak sponsorship, resistance to changed working practices, and rushed training are the recurring culprits in the implementation literature (Barbieri, Sott and Monticelli, 2024). Kotter's eight-step model is used here to shape the plan around that risk rather than the technology alone; a recent case study of a comparable CRM rollout found that change stalled specifically where later steps were skipped in favour of technical delivery, which is the trap this plan is designed to avoid (Sittrop and Crosthwaite, 2021). Phase 1 corresponds to Kotter's early steps of establishing urgency and forming the guiding coalition through named Board and DPO sponsorship; the pilot in Phase 3 is designed to generate the short-term wins Kotter identifies as necessary to sustain momentum into full rollout; and Phase 5 is built explicitly around his final step, anchoring the new way of working once go-live novelty has worn off, rather than treating go-live itself as the end of the project (Kotter, 2012). The model has been criticised for presenting change as a tidy linear sequence when real rollouts are rarely that orderly, so it is applied here as a sequencing discipline rather than a guarantee of smooth execution (Appelbaum et al., 2012).</w:t>
      </w:r>
    </w:p>
    <w:p w14:paraId="37471F9E" w14:textId="02B64A31" w:rsidR="00BC108F" w:rsidRPr="0027491C" w:rsidRDefault="00BC108F" w:rsidP="00BC108F">
      <w:pPr>
        <w:spacing w:line="300" w:lineRule="auto"/>
        <w:jc w:val="both"/>
        <w:rPr>
          <w:rFonts w:ascii="Arial" w:hAnsi="Arial" w:cs="Arial"/>
        </w:rPr>
      </w:pPr>
      <w:r w:rsidRPr="00BC108F">
        <w:rPr>
          <w:rFonts w:ascii="Arial" w:hAnsi="Arial" w:cs="Arial"/>
        </w:rPr>
        <w:t>A phased, 18-month rollout, in line with typical timelines for retail ERP of this scope, is outlined in Table 3.</w:t>
      </w:r>
    </w:p>
    <w:p w14:paraId="75C8DB2C" w14:textId="77777777" w:rsidR="001B0515" w:rsidRPr="001B0515" w:rsidRDefault="001B0515" w:rsidP="001B0515"/>
    <w:p w14:paraId="30125466" w14:textId="77777777" w:rsidR="002E136E" w:rsidRDefault="002E136E" w:rsidP="00340B6A">
      <w:pPr>
        <w:spacing w:line="300" w:lineRule="auto"/>
        <w:jc w:val="both"/>
        <w:rPr>
          <w:rFonts w:ascii="Arial" w:hAnsi="Arial" w:cs="Arial"/>
        </w:rPr>
      </w:pPr>
    </w:p>
    <w:p w14:paraId="11910B40" w14:textId="77777777" w:rsidR="002E136E" w:rsidRDefault="002E136E" w:rsidP="00340B6A">
      <w:pPr>
        <w:spacing w:line="300" w:lineRule="auto"/>
        <w:jc w:val="both"/>
        <w:rPr>
          <w:rFonts w:ascii="Arial" w:hAnsi="Arial" w:cs="Arial"/>
        </w:rPr>
      </w:pPr>
    </w:p>
    <w:p w14:paraId="55AE7CB5" w14:textId="77777777" w:rsidR="002E136E" w:rsidRPr="005062C5" w:rsidRDefault="002E136E" w:rsidP="00340B6A">
      <w:pPr>
        <w:spacing w:line="300" w:lineRule="auto"/>
        <w:jc w:val="both"/>
        <w:rPr>
          <w:rFonts w:ascii="Arial" w:hAnsi="Arial" w:cs="Arial"/>
        </w:rPr>
      </w:pPr>
    </w:p>
    <w:tbl>
      <w:tblPr>
        <w:tblStyle w:val="TableGrid"/>
        <w:tblW w:w="9300" w:type="dxa"/>
        <w:tblLook w:val="0000" w:firstRow="0" w:lastRow="0" w:firstColumn="0" w:lastColumn="0" w:noHBand="0" w:noVBand="0"/>
      </w:tblPr>
      <w:tblGrid>
        <w:gridCol w:w="1800"/>
        <w:gridCol w:w="2400"/>
        <w:gridCol w:w="5100"/>
      </w:tblGrid>
      <w:tr w:rsidR="000002E7" w:rsidRPr="00332D43" w14:paraId="6FCBFE79" w14:textId="77777777" w:rsidTr="00332D43">
        <w:tc>
          <w:tcPr>
            <w:tcW w:w="1800" w:type="dxa"/>
            <w:shd w:val="clear" w:color="auto" w:fill="D9D9D9" w:themeFill="background1" w:themeFillShade="D9"/>
          </w:tcPr>
          <w:p w14:paraId="168EE8F5" w14:textId="77777777" w:rsidR="000002E7" w:rsidRPr="00332D43" w:rsidRDefault="00DB16A6">
            <w:pPr>
              <w:rPr>
                <w:rFonts w:ascii="Arial" w:hAnsi="Arial" w:cs="Arial"/>
              </w:rPr>
            </w:pPr>
            <w:r>
              <w:rPr>
                <w:rFonts w:ascii="Arial" w:hAnsi="Arial" w:cs="Arial"/>
                <w:b/>
                <w:bCs/>
              </w:rPr>
              <w:lastRenderedPageBreak/>
              <w:t>Phase</w:t>
            </w:r>
          </w:p>
        </w:tc>
        <w:tc>
          <w:tcPr>
            <w:tcW w:w="2400" w:type="dxa"/>
            <w:shd w:val="clear" w:color="auto" w:fill="D9D9D9" w:themeFill="background1" w:themeFillShade="D9"/>
          </w:tcPr>
          <w:p w14:paraId="038BAA3E" w14:textId="77777777" w:rsidR="000002E7" w:rsidRPr="00332D43" w:rsidRDefault="00DB16A6">
            <w:pPr>
              <w:rPr>
                <w:rFonts w:ascii="Arial" w:hAnsi="Arial" w:cs="Arial"/>
              </w:rPr>
            </w:pPr>
            <w:r>
              <w:rPr>
                <w:rFonts w:ascii="Arial" w:hAnsi="Arial" w:cs="Arial"/>
                <w:b/>
                <w:bCs/>
              </w:rPr>
              <w:t>Timeframe</w:t>
            </w:r>
          </w:p>
        </w:tc>
        <w:tc>
          <w:tcPr>
            <w:tcW w:w="5100" w:type="dxa"/>
            <w:shd w:val="clear" w:color="auto" w:fill="D9D9D9" w:themeFill="background1" w:themeFillShade="D9"/>
          </w:tcPr>
          <w:p w14:paraId="200EB895" w14:textId="77777777" w:rsidR="000002E7" w:rsidRPr="00332D43" w:rsidRDefault="00DB16A6">
            <w:pPr>
              <w:rPr>
                <w:rFonts w:ascii="Arial" w:hAnsi="Arial" w:cs="Arial"/>
              </w:rPr>
            </w:pPr>
            <w:r>
              <w:rPr>
                <w:rFonts w:ascii="Arial" w:hAnsi="Arial" w:cs="Arial"/>
                <w:b/>
                <w:bCs/>
              </w:rPr>
              <w:t>Key Activities</w:t>
            </w:r>
          </w:p>
        </w:tc>
      </w:tr>
      <w:tr w:rsidR="000002E7" w:rsidRPr="00332D43" w14:paraId="607AB536" w14:textId="77777777" w:rsidTr="00332D43">
        <w:tc>
          <w:tcPr>
            <w:tcW w:w="1800" w:type="dxa"/>
          </w:tcPr>
          <w:p w14:paraId="7FEE59B2" w14:textId="77777777" w:rsidR="000002E7" w:rsidRPr="00332D43" w:rsidRDefault="00DB16A6">
            <w:pPr>
              <w:rPr>
                <w:rFonts w:ascii="Arial" w:hAnsi="Arial" w:cs="Arial"/>
              </w:rPr>
            </w:pPr>
            <w:r>
              <w:rPr>
                <w:rFonts w:ascii="Arial" w:hAnsi="Arial" w:cs="Arial"/>
                <w:b/>
                <w:bCs/>
              </w:rPr>
              <w:t>1. Discovery &amp; design</w:t>
            </w:r>
          </w:p>
        </w:tc>
        <w:tc>
          <w:tcPr>
            <w:tcW w:w="2400" w:type="dxa"/>
          </w:tcPr>
          <w:p w14:paraId="75F3F786" w14:textId="77777777" w:rsidR="000002E7" w:rsidRPr="00332D43" w:rsidRDefault="00DB16A6">
            <w:pPr>
              <w:rPr>
                <w:rFonts w:ascii="Arial" w:hAnsi="Arial" w:cs="Arial"/>
              </w:rPr>
            </w:pPr>
            <w:r>
              <w:rPr>
                <w:rFonts w:ascii="Arial" w:hAnsi="Arial" w:cs="Arial"/>
              </w:rPr>
              <w:t>Months 0–3</w:t>
            </w:r>
          </w:p>
        </w:tc>
        <w:tc>
          <w:tcPr>
            <w:tcW w:w="5100" w:type="dxa"/>
          </w:tcPr>
          <w:p w14:paraId="2B6BC53E" w14:textId="44B410A9" w:rsidR="000002E7" w:rsidRPr="00332D43" w:rsidRDefault="00DB16A6">
            <w:pPr>
              <w:rPr>
                <w:rFonts w:ascii="Arial" w:hAnsi="Arial" w:cs="Arial"/>
              </w:rPr>
            </w:pPr>
            <w:r>
              <w:rPr>
                <w:rFonts w:ascii="Arial" w:hAnsi="Arial" w:cs="Arial"/>
              </w:rPr>
              <w:t>Process mapping against the fit-to-standard retail template, access-control and GDPR requirements agreed with the Data Protection Officer.</w:t>
            </w:r>
          </w:p>
        </w:tc>
      </w:tr>
      <w:tr w:rsidR="000002E7" w:rsidRPr="00332D43" w14:paraId="48591BE3" w14:textId="77777777" w:rsidTr="00332D43">
        <w:tc>
          <w:tcPr>
            <w:tcW w:w="1800" w:type="dxa"/>
          </w:tcPr>
          <w:p w14:paraId="5E86C2B7" w14:textId="77777777" w:rsidR="000002E7" w:rsidRPr="00332D43" w:rsidRDefault="00DB16A6">
            <w:pPr>
              <w:rPr>
                <w:rFonts w:ascii="Arial" w:hAnsi="Arial" w:cs="Arial"/>
              </w:rPr>
            </w:pPr>
            <w:r>
              <w:rPr>
                <w:rFonts w:ascii="Arial" w:hAnsi="Arial" w:cs="Arial"/>
                <w:b/>
                <w:bCs/>
              </w:rPr>
              <w:t>2. Build &amp; migration</w:t>
            </w:r>
          </w:p>
        </w:tc>
        <w:tc>
          <w:tcPr>
            <w:tcW w:w="2400" w:type="dxa"/>
          </w:tcPr>
          <w:p w14:paraId="72E8C81C" w14:textId="77777777" w:rsidR="000002E7" w:rsidRPr="00332D43" w:rsidRDefault="00DB16A6">
            <w:pPr>
              <w:rPr>
                <w:rFonts w:ascii="Arial" w:hAnsi="Arial" w:cs="Arial"/>
              </w:rPr>
            </w:pPr>
            <w:r>
              <w:rPr>
                <w:rFonts w:ascii="Arial" w:hAnsi="Arial" w:cs="Arial"/>
              </w:rPr>
              <w:t>Months 3–6</w:t>
            </w:r>
          </w:p>
        </w:tc>
        <w:tc>
          <w:tcPr>
            <w:tcW w:w="5100" w:type="dxa"/>
          </w:tcPr>
          <w:p w14:paraId="6751CE02" w14:textId="6ED8815B" w:rsidR="000002E7" w:rsidRPr="00332D43" w:rsidRDefault="00DB16A6">
            <w:pPr>
              <w:rPr>
                <w:rFonts w:ascii="Arial" w:hAnsi="Arial" w:cs="Arial"/>
              </w:rPr>
            </w:pPr>
            <w:r>
              <w:rPr>
                <w:rFonts w:ascii="Arial" w:hAnsi="Arial" w:cs="Arial"/>
              </w:rPr>
              <w:t>Product, customer, and financial data cleansed and migrated; integration built with the remaining POS and payment infrastructure.</w:t>
            </w:r>
          </w:p>
        </w:tc>
      </w:tr>
      <w:tr w:rsidR="000002E7" w:rsidRPr="00332D43" w14:paraId="43D88051" w14:textId="77777777" w:rsidTr="00332D43">
        <w:tc>
          <w:tcPr>
            <w:tcW w:w="1800" w:type="dxa"/>
          </w:tcPr>
          <w:p w14:paraId="1D8FA24B" w14:textId="77777777" w:rsidR="000002E7" w:rsidRPr="00332D43" w:rsidRDefault="00DB16A6">
            <w:pPr>
              <w:rPr>
                <w:rFonts w:ascii="Arial" w:hAnsi="Arial" w:cs="Arial"/>
              </w:rPr>
            </w:pPr>
            <w:r>
              <w:rPr>
                <w:rFonts w:ascii="Arial" w:hAnsi="Arial" w:cs="Arial"/>
                <w:b/>
                <w:bCs/>
              </w:rPr>
              <w:t>3. Pilot</w:t>
            </w:r>
          </w:p>
        </w:tc>
        <w:tc>
          <w:tcPr>
            <w:tcW w:w="2400" w:type="dxa"/>
          </w:tcPr>
          <w:p w14:paraId="2A51CE05" w14:textId="77777777" w:rsidR="000002E7" w:rsidRPr="00332D43" w:rsidRDefault="00DB16A6">
            <w:pPr>
              <w:rPr>
                <w:rFonts w:ascii="Arial" w:hAnsi="Arial" w:cs="Arial"/>
              </w:rPr>
            </w:pPr>
            <w:r>
              <w:rPr>
                <w:rFonts w:ascii="Arial" w:hAnsi="Arial" w:cs="Arial"/>
              </w:rPr>
              <w:t>Months 6–9</w:t>
            </w:r>
          </w:p>
        </w:tc>
        <w:tc>
          <w:tcPr>
            <w:tcW w:w="5100" w:type="dxa"/>
          </w:tcPr>
          <w:p w14:paraId="1F596731" w14:textId="45FEBCB1" w:rsidR="000002E7" w:rsidRPr="00332D43" w:rsidRDefault="00DB16A6">
            <w:pPr>
              <w:rPr>
                <w:rFonts w:ascii="Arial" w:hAnsi="Arial" w:cs="Arial"/>
              </w:rPr>
            </w:pPr>
            <w:r>
              <w:rPr>
                <w:rFonts w:ascii="Arial" w:hAnsi="Arial" w:cs="Arial"/>
              </w:rPr>
              <w:t>Live running in three stores plus the website; super-users trained, issues logged and resolved before wider rollout.</w:t>
            </w:r>
          </w:p>
        </w:tc>
      </w:tr>
      <w:tr w:rsidR="000002E7" w:rsidRPr="00332D43" w14:paraId="28342B1C" w14:textId="77777777" w:rsidTr="00332D43">
        <w:tc>
          <w:tcPr>
            <w:tcW w:w="1800" w:type="dxa"/>
          </w:tcPr>
          <w:p w14:paraId="63BF8222" w14:textId="77777777" w:rsidR="000002E7" w:rsidRPr="00332D43" w:rsidRDefault="00DB16A6">
            <w:pPr>
              <w:rPr>
                <w:rFonts w:ascii="Arial" w:hAnsi="Arial" w:cs="Arial"/>
              </w:rPr>
            </w:pPr>
            <w:r>
              <w:rPr>
                <w:rFonts w:ascii="Arial" w:hAnsi="Arial" w:cs="Arial"/>
                <w:b/>
                <w:bCs/>
              </w:rPr>
              <w:t>4. Rollout</w:t>
            </w:r>
          </w:p>
        </w:tc>
        <w:tc>
          <w:tcPr>
            <w:tcW w:w="2400" w:type="dxa"/>
          </w:tcPr>
          <w:p w14:paraId="44F042F8" w14:textId="77777777" w:rsidR="000002E7" w:rsidRPr="00332D43" w:rsidRDefault="00DB16A6">
            <w:pPr>
              <w:rPr>
                <w:rFonts w:ascii="Arial" w:hAnsi="Arial" w:cs="Arial"/>
              </w:rPr>
            </w:pPr>
            <w:r>
              <w:rPr>
                <w:rFonts w:ascii="Arial" w:hAnsi="Arial" w:cs="Arial"/>
              </w:rPr>
              <w:t>Months 9–14</w:t>
            </w:r>
          </w:p>
        </w:tc>
        <w:tc>
          <w:tcPr>
            <w:tcW w:w="5100" w:type="dxa"/>
          </w:tcPr>
          <w:p w14:paraId="5045FE28" w14:textId="1C124CE8" w:rsidR="000002E7" w:rsidRPr="00332D43" w:rsidRDefault="00DB16A6">
            <w:pPr>
              <w:rPr>
                <w:rFonts w:ascii="Arial" w:hAnsi="Arial" w:cs="Arial"/>
              </w:rPr>
            </w:pPr>
            <w:r>
              <w:rPr>
                <w:rFonts w:ascii="Arial" w:hAnsi="Arial" w:cs="Arial"/>
              </w:rPr>
              <w:t>Phased go-live across remaining stores in waves of five to six, role-based training delivered ahead of each wave</w:t>
            </w:r>
          </w:p>
        </w:tc>
      </w:tr>
      <w:tr w:rsidR="000002E7" w:rsidRPr="00332D43" w14:paraId="354B37DB" w14:textId="77777777" w:rsidTr="00332D43">
        <w:tc>
          <w:tcPr>
            <w:tcW w:w="1800" w:type="dxa"/>
          </w:tcPr>
          <w:p w14:paraId="74669E32" w14:textId="77777777" w:rsidR="000002E7" w:rsidRPr="00332D43" w:rsidRDefault="00DB16A6">
            <w:pPr>
              <w:rPr>
                <w:rFonts w:ascii="Arial" w:hAnsi="Arial" w:cs="Arial"/>
              </w:rPr>
            </w:pPr>
            <w:r>
              <w:rPr>
                <w:rFonts w:ascii="Arial" w:hAnsi="Arial" w:cs="Arial"/>
                <w:b/>
                <w:bCs/>
              </w:rPr>
              <w:t>5. Stabilise &amp; optimise</w:t>
            </w:r>
          </w:p>
        </w:tc>
        <w:tc>
          <w:tcPr>
            <w:tcW w:w="2400" w:type="dxa"/>
          </w:tcPr>
          <w:p w14:paraId="1FCFD9E1" w14:textId="77777777" w:rsidR="000002E7" w:rsidRPr="00332D43" w:rsidRDefault="00DB16A6">
            <w:pPr>
              <w:rPr>
                <w:rFonts w:ascii="Arial" w:hAnsi="Arial" w:cs="Arial"/>
              </w:rPr>
            </w:pPr>
            <w:r>
              <w:rPr>
                <w:rFonts w:ascii="Arial" w:hAnsi="Arial" w:cs="Arial"/>
              </w:rPr>
              <w:t>Months 14–18</w:t>
            </w:r>
          </w:p>
        </w:tc>
        <w:tc>
          <w:tcPr>
            <w:tcW w:w="5100" w:type="dxa"/>
          </w:tcPr>
          <w:p w14:paraId="03E64E01" w14:textId="77777777" w:rsidR="000002E7" w:rsidRPr="00332D43" w:rsidRDefault="00DB16A6">
            <w:pPr>
              <w:rPr>
                <w:rFonts w:ascii="Arial" w:hAnsi="Arial" w:cs="Arial"/>
              </w:rPr>
            </w:pPr>
            <w:r>
              <w:rPr>
                <w:rFonts w:ascii="Arial" w:hAnsi="Arial" w:cs="Arial"/>
              </w:rPr>
              <w:t>Hypercare support, benefits review against KPIs, embedded analytics dashboards refined for management reporting</w:t>
            </w:r>
          </w:p>
        </w:tc>
      </w:tr>
    </w:tbl>
    <w:p w14:paraId="059452FA" w14:textId="69BBF2B7" w:rsidR="00151C06" w:rsidRDefault="00DB16A6" w:rsidP="00151C06">
      <w:pPr>
        <w:spacing w:before="80" w:after="240"/>
        <w:jc w:val="center"/>
        <w:rPr>
          <w:rFonts w:ascii="Arial" w:hAnsi="Arial" w:cs="Arial"/>
          <w:i/>
          <w:iCs/>
          <w:sz w:val="19"/>
          <w:szCs w:val="19"/>
        </w:rPr>
      </w:pPr>
      <w:r>
        <w:rPr>
          <w:rFonts w:ascii="Arial" w:hAnsi="Arial" w:cs="Arial"/>
          <w:i/>
          <w:iCs/>
          <w:sz w:val="19"/>
          <w:szCs w:val="19"/>
        </w:rPr>
        <w:t>Table 3: Proposed implementation roadmap</w:t>
      </w:r>
    </w:p>
    <w:p w14:paraId="63EA4EA5" w14:textId="77777777" w:rsidR="00151C06" w:rsidRPr="00151C06" w:rsidRDefault="00151C06" w:rsidP="00151C06">
      <w:pPr>
        <w:spacing w:before="80" w:after="240"/>
        <w:jc w:val="center"/>
        <w:rPr>
          <w:rFonts w:ascii="Arial" w:hAnsi="Arial" w:cs="Arial"/>
          <w:i/>
          <w:iCs/>
          <w:sz w:val="19"/>
          <w:szCs w:val="19"/>
        </w:rPr>
      </w:pPr>
    </w:p>
    <w:p w14:paraId="2C0619FC" w14:textId="145ED746" w:rsidR="000002E7" w:rsidRPr="005062C5" w:rsidRDefault="00DB16A6">
      <w:pPr>
        <w:spacing w:line="300" w:lineRule="auto"/>
        <w:jc w:val="both"/>
        <w:rPr>
          <w:rFonts w:ascii="Arial" w:hAnsi="Arial" w:cs="Arial"/>
        </w:rPr>
      </w:pPr>
      <w:r>
        <w:rPr>
          <w:rFonts w:ascii="Arial" w:hAnsi="Arial" w:cs="Arial"/>
        </w:rPr>
        <w:t>Training is treated as a workstream rather than a final step before go-live. Role-based, hands-on training tied to each store team's actual day-to-day tasks has been shown to produce stronger adoption and fewer post-launch errors than generic classroom sessions, and this approach is recommended for every rollout wave rather than a single company-wide session (Barbieri, Sott and Monticelli, 2024).</w:t>
      </w:r>
    </w:p>
    <w:p w14:paraId="3EE27A43" w14:textId="05DC7634" w:rsidR="001859E8" w:rsidRDefault="00DB16A6">
      <w:pPr>
        <w:spacing w:line="300" w:lineRule="auto"/>
        <w:jc w:val="both"/>
        <w:rPr>
          <w:rFonts w:ascii="Arial" w:hAnsi="Arial" w:cs="Arial"/>
        </w:rPr>
      </w:pPr>
      <w:r>
        <w:rPr>
          <w:rFonts w:ascii="Arial" w:hAnsi="Arial" w:cs="Arial"/>
        </w:rPr>
        <w:t>Two integration challenges deserve particular attention. First, existing point-of-sale hardware and payment terminals will need to connect to the new platform via supported APIs rather than being replaced outright, minimising store disruption during rollout. Second, historic sales and customer data will require cleansing before migration; poor-quality legacy data is one of the most common causes of post-launch reporting errors and should not be underestimated in the project timeline. A standing risk register, reviewed monthly by the project sponsor, should track both alongside the change-management risks noted above.</w:t>
      </w:r>
    </w:p>
    <w:p w14:paraId="60620248" w14:textId="4393CCD8" w:rsidR="0039585F" w:rsidRPr="005062C5" w:rsidRDefault="0039585F" w:rsidP="0039585F">
      <w:pPr>
        <w:pStyle w:val="Heading1"/>
        <w:rPr>
          <w:color w:val="auto"/>
        </w:rPr>
      </w:pPr>
      <w:r>
        <w:rPr>
          <w:color w:val="auto"/>
        </w:rPr>
        <w:t>CONCLUSION</w:t>
      </w:r>
    </w:p>
    <w:p w14:paraId="049C4336" w14:textId="77777777" w:rsidR="0039585F" w:rsidRPr="005062C5" w:rsidRDefault="0039585F" w:rsidP="0039585F"/>
    <w:p w14:paraId="48F91A0A" w14:textId="7229CDF2" w:rsidR="000002E7" w:rsidRDefault="00DB16A6">
      <w:pPr>
        <w:spacing w:line="300" w:lineRule="auto"/>
        <w:jc w:val="both"/>
        <w:rPr>
          <w:rFonts w:ascii="Arial" w:hAnsi="Arial" w:cs="Arial"/>
        </w:rPr>
      </w:pPr>
      <w:r>
        <w:rPr>
          <w:rFonts w:ascii="Arial" w:hAnsi="Arial" w:cs="Arial"/>
        </w:rPr>
        <w:t>Maldiva Ltd's operational difficulties, stock discrepancies, fragmented customer data, slow reporting, compliance exposure, and disconnected departments share a single root cause: a systems landscape that was never designed as a single system. Replacing it with SAP S/4HANA Cloud Public Edition for retail gives Maldiva a single stock ledger, a single customer profile, and a single source of management information, built specifically for the operating model it already runs. The expected benefits are not abstract: faster, more accurate decisions, fewer cancelled online orders; marketing informed by what a customer has bought and a defensible position on data protection. None of this is presented as risk-free: the cost premium, the discipline the fit-to-standard model demands of Maldiva's own processes, and the dependency that comes with a single cloud vendor are real and should be sponsored into the business case with eyes open, not discovered mid-project. Delivered through the phased, change-management-led approach set out above, this investment gives Maldiva the systems foundation its recent growth has already outpaced, and the platform to keep growing on.</w:t>
      </w:r>
    </w:p>
    <w:p w14:paraId="25637EBE" w14:textId="44348D67" w:rsidR="00170395" w:rsidRPr="005062C5" w:rsidRDefault="00170395" w:rsidP="00170395">
      <w:pPr>
        <w:pStyle w:val="Heading1"/>
        <w:rPr>
          <w:color w:val="auto"/>
        </w:rPr>
      </w:pPr>
      <w:r>
        <w:rPr>
          <w:color w:val="auto"/>
        </w:rPr>
        <w:lastRenderedPageBreak/>
        <w:t>REFERENCES</w:t>
      </w:r>
    </w:p>
    <w:p w14:paraId="713B19D7" w14:textId="77777777" w:rsidR="00170395" w:rsidRDefault="00170395" w:rsidP="00170395"/>
    <w:p w14:paraId="4FEF5447" w14:textId="3F40ACC1" w:rsidR="00C3590B" w:rsidRPr="00C3590B" w:rsidRDefault="00C3590B" w:rsidP="00170395">
      <w:pPr>
        <w:rPr>
          <w:rFonts w:ascii="Arial" w:hAnsi="Arial" w:cs="Arial"/>
        </w:rPr>
      </w:pPr>
      <w:r w:rsidRPr="00C3590B">
        <w:rPr>
          <w:rFonts w:ascii="Arial" w:hAnsi="Arial" w:cs="Arial"/>
        </w:rPr>
        <w:t xml:space="preserve">Appelbaum, S., Habashy, S., Malo, J.-L. and Shafiq, H. (2012) 'Back to the future: revisiting Kotter's 1996 change model', </w:t>
      </w:r>
      <w:r w:rsidRPr="00C3590B">
        <w:rPr>
          <w:rStyle w:val="Emphasis"/>
          <w:rFonts w:ascii="Arial" w:hAnsi="Arial" w:cs="Arial"/>
        </w:rPr>
        <w:t>Journal of Management Development</w:t>
      </w:r>
      <w:r w:rsidRPr="00C3590B">
        <w:rPr>
          <w:rFonts w:ascii="Arial" w:hAnsi="Arial" w:cs="Arial"/>
        </w:rPr>
        <w:t>, 31(8), pp.764–782.</w:t>
      </w:r>
    </w:p>
    <w:p w14:paraId="58ACDAA1" w14:textId="77777778" w:rsidR="000002E7" w:rsidRPr="005062C5" w:rsidRDefault="00DB16A6">
      <w:pPr>
        <w:spacing w:line="300" w:lineRule="auto"/>
        <w:jc w:val="both"/>
        <w:rPr>
          <w:rFonts w:ascii="Arial" w:hAnsi="Arial" w:cs="Arial"/>
        </w:rPr>
      </w:pPr>
      <w:r>
        <w:rPr>
          <w:rFonts w:ascii="Arial" w:hAnsi="Arial" w:cs="Arial"/>
        </w:rPr>
        <w:t>Barbieri, L.M., Sott, M.K. and Monticelli, J.M. (2024</w:t>
      </w:r>
      <w:r>
        <w:rPr>
          <w:rFonts w:ascii="Arial" w:hAnsi="Arial" w:cs="Arial"/>
          <w:i/>
          <w:iCs/>
        </w:rPr>
        <w:t>) 'Critical success factors for implementing cloud ERP in SMEs: a systematic review', International Journal of Innovation and Technology Management</w:t>
      </w:r>
      <w:r>
        <w:rPr>
          <w:rFonts w:ascii="Arial" w:hAnsi="Arial" w:cs="Arial"/>
        </w:rPr>
        <w:t>, 21(2), pp.1–21.</w:t>
      </w:r>
    </w:p>
    <w:p w14:paraId="0821EA24" w14:textId="51272641" w:rsidR="000002E7" w:rsidRPr="005062C5" w:rsidRDefault="00DB16A6">
      <w:pPr>
        <w:spacing w:line="300" w:lineRule="auto"/>
        <w:jc w:val="both"/>
        <w:rPr>
          <w:rFonts w:ascii="Arial" w:hAnsi="Arial" w:cs="Arial"/>
        </w:rPr>
      </w:pPr>
      <w:r>
        <w:rPr>
          <w:rFonts w:ascii="Arial" w:hAnsi="Arial" w:cs="Arial"/>
        </w:rPr>
        <w:t xml:space="preserve">ERP Research (2026) </w:t>
      </w:r>
      <w:r>
        <w:rPr>
          <w:rFonts w:ascii="Arial" w:hAnsi="Arial" w:cs="Arial"/>
          <w:i/>
          <w:iCs/>
        </w:rPr>
        <w:t xml:space="preserve">SAP S/4HANA for retail: features, benefits and costs. </w:t>
      </w:r>
      <w:r>
        <w:rPr>
          <w:rFonts w:ascii="Arial" w:hAnsi="Arial" w:cs="Arial"/>
        </w:rPr>
        <w:t>Available at: https://www.erpresearch.com/en-us/sap-s4-hana-for-retail (Accessed: 8 July 2026).</w:t>
      </w:r>
    </w:p>
    <w:p w14:paraId="1A2B3C01" w14:textId="1A2B3C02" w:rsidR="000002E7" w:rsidRPr="005062C5" w:rsidRDefault="00DB16A6">
      <w:pPr>
        <w:spacing w:line="300" w:lineRule="auto"/>
        <w:jc w:val="both"/>
        <w:rPr>
          <w:rFonts w:ascii="Arial" w:hAnsi="Arial" w:cs="Arial"/>
        </w:rPr>
      </w:pPr>
      <w:r>
        <w:rPr>
          <w:rFonts w:ascii="Arial" w:hAnsi="Arial" w:cs="Arial"/>
        </w:rPr>
        <w:t>Gallino, S., Moreno, A. and Stamatopoulos, I. (2017</w:t>
      </w:r>
      <w:r>
        <w:rPr>
          <w:rFonts w:ascii="Arial" w:hAnsi="Arial" w:cs="Arial"/>
          <w:i/>
          <w:iCs/>
        </w:rPr>
        <w:t>) 'Channel integration, sales dispersion, and inventory management', Management Science</w:t>
      </w:r>
      <w:r>
        <w:rPr>
          <w:rFonts w:ascii="Arial" w:hAnsi="Arial" w:cs="Arial"/>
        </w:rPr>
        <w:t>, 63(9), pp.2813–2831.</w:t>
      </w:r>
    </w:p>
    <w:p w14:paraId="181FFC11" w14:textId="166A6283" w:rsidR="000002E7" w:rsidRPr="005062C5" w:rsidRDefault="00DB16A6">
      <w:pPr>
        <w:spacing w:line="300" w:lineRule="auto"/>
        <w:jc w:val="both"/>
        <w:rPr>
          <w:rFonts w:ascii="Arial" w:hAnsi="Arial" w:cs="Arial"/>
        </w:rPr>
      </w:pPr>
      <w:r>
        <w:rPr>
          <w:rFonts w:ascii="Arial" w:hAnsi="Arial" w:cs="Arial"/>
        </w:rPr>
        <w:t>Kotter, J.P. (2012).</w:t>
      </w:r>
      <w:r>
        <w:rPr>
          <w:rFonts w:ascii="Arial" w:hAnsi="Arial" w:cs="Arial"/>
          <w:i/>
          <w:iCs/>
        </w:rPr>
        <w:t xml:space="preserve"> Leading change</w:t>
      </w:r>
      <w:r>
        <w:rPr>
          <w:rFonts w:ascii="Arial" w:hAnsi="Arial" w:cs="Arial"/>
        </w:rPr>
        <w:t>. Boston, MA: Harvard Business Review Press.</w:t>
      </w:r>
    </w:p>
    <w:p w14:paraId="1E159FE6" w14:textId="05FDE817" w:rsidR="000002E7" w:rsidRPr="005062C5" w:rsidRDefault="00DB16A6">
      <w:pPr>
        <w:spacing w:line="300" w:lineRule="auto"/>
        <w:jc w:val="both"/>
        <w:rPr>
          <w:rFonts w:ascii="Arial" w:hAnsi="Arial" w:cs="Arial"/>
        </w:rPr>
      </w:pPr>
      <w:r>
        <w:rPr>
          <w:rFonts w:ascii="Arial" w:hAnsi="Arial" w:cs="Arial"/>
        </w:rPr>
        <w:t xml:space="preserve">Navigator Business Solutions (2024) </w:t>
      </w:r>
      <w:r>
        <w:rPr>
          <w:rFonts w:ascii="Arial" w:hAnsi="Arial" w:cs="Arial"/>
          <w:i/>
          <w:iCs/>
        </w:rPr>
        <w:t>SAP S/4HANA Cloud Public Edition for retail</w:t>
      </w:r>
      <w:r>
        <w:rPr>
          <w:rFonts w:ascii="Arial" w:hAnsi="Arial" w:cs="Arial"/>
        </w:rPr>
        <w:t>. Available at: https://www.nbs-us.com/sap-s4-hana-cloud-for-retail (Accessed: 8 July 2026).</w:t>
      </w:r>
    </w:p>
    <w:p w14:paraId="3EA3E2DF" w14:textId="1C1E6538" w:rsidR="000002E7" w:rsidRPr="005062C5" w:rsidRDefault="00DB16A6">
      <w:pPr>
        <w:spacing w:line="300" w:lineRule="auto"/>
        <w:jc w:val="both"/>
        <w:rPr>
          <w:rFonts w:ascii="Arial" w:hAnsi="Arial" w:cs="Arial"/>
        </w:rPr>
      </w:pPr>
      <w:r>
        <w:rPr>
          <w:rFonts w:ascii="Arial" w:hAnsi="Arial" w:cs="Arial"/>
        </w:rPr>
        <w:t xml:space="preserve">Reenbit (2026). </w:t>
      </w:r>
      <w:r>
        <w:rPr>
          <w:rFonts w:ascii="Arial" w:hAnsi="Arial" w:cs="Arial"/>
          <w:i/>
          <w:iCs/>
        </w:rPr>
        <w:t>How the retail industry uses business intelligence for growth</w:t>
      </w:r>
      <w:r>
        <w:rPr>
          <w:rFonts w:ascii="Arial" w:hAnsi="Arial" w:cs="Arial"/>
        </w:rPr>
        <w:t>. Available at: https://reenbit.com/how-the-retail-industry-uses-business-intelligence-for-growth/ (Accessed: 13 July 2026).</w:t>
      </w:r>
    </w:p>
    <w:p w14:paraId="30432DDA" w14:textId="1EA030DE" w:rsidR="000002E7" w:rsidRPr="005062C5" w:rsidRDefault="00DB16A6">
      <w:pPr>
        <w:spacing w:line="300" w:lineRule="auto"/>
        <w:jc w:val="both"/>
        <w:rPr>
          <w:rFonts w:ascii="Arial" w:hAnsi="Arial" w:cs="Arial"/>
        </w:rPr>
      </w:pPr>
      <w:r>
        <w:rPr>
          <w:rFonts w:ascii="Arial" w:hAnsi="Arial" w:cs="Arial"/>
        </w:rPr>
        <w:t>Rizing (2026</w:t>
      </w:r>
      <w:r>
        <w:rPr>
          <w:rFonts w:ascii="Arial" w:hAnsi="Arial" w:cs="Arial"/>
          <w:i/>
          <w:iCs/>
        </w:rPr>
        <w:t>) Fashion &amp; retail cloud ERP modernisation: why the move to SAP S/4HANA is a strategic opportunity to future-proof operations</w:t>
      </w:r>
      <w:r>
        <w:rPr>
          <w:rFonts w:ascii="Arial" w:hAnsi="Arial" w:cs="Arial"/>
        </w:rPr>
        <w:t>. Available at: https://rizing.com/consumer-industries-fashion-retail-grocery/cloud-erp-modernisation-sap-s4hana/ (Accessed: 8 July 2026).</w:t>
      </w:r>
    </w:p>
    <w:p w14:paraId="1A2B3C03" w14:textId="1A2B3C04" w:rsidR="000002E7" w:rsidRPr="005062C5" w:rsidRDefault="00DB16A6">
      <w:pPr>
        <w:spacing w:line="300" w:lineRule="auto"/>
        <w:jc w:val="both"/>
        <w:rPr>
          <w:rFonts w:ascii="Arial" w:hAnsi="Arial" w:cs="Arial"/>
        </w:rPr>
      </w:pPr>
      <w:r>
        <w:rPr>
          <w:rFonts w:ascii="Arial" w:hAnsi="Arial" w:cs="Arial"/>
        </w:rPr>
        <w:t>Sittrop, D. and Crosthwaite, C. (2021</w:t>
      </w:r>
      <w:r>
        <w:rPr>
          <w:rFonts w:ascii="Arial" w:hAnsi="Arial" w:cs="Arial"/>
          <w:i/>
          <w:iCs/>
        </w:rPr>
        <w:t>) 'Minimising risk: the application of Kotter’s change management model on customer relationship management systems: a case study', Journal of Risk and Financial Management</w:t>
      </w:r>
      <w:r>
        <w:rPr>
          <w:rFonts w:ascii="Arial" w:hAnsi="Arial" w:cs="Arial"/>
        </w:rPr>
        <w:t>, 14(10), p.496.</w:t>
      </w:r>
    </w:p>
    <w:p w14:paraId="1A2B3C05" w14:textId="1A2B3C06" w:rsidR="000002E7" w:rsidRPr="005062C5" w:rsidRDefault="00DB16A6">
      <w:pPr>
        <w:spacing w:line="300" w:lineRule="auto"/>
        <w:jc w:val="both"/>
        <w:rPr>
          <w:rFonts w:ascii="Arial" w:hAnsi="Arial" w:cs="Arial"/>
        </w:rPr>
      </w:pPr>
      <w:r>
        <w:rPr>
          <w:rFonts w:ascii="Arial" w:hAnsi="Arial" w:cs="Arial"/>
        </w:rPr>
        <w:t xml:space="preserve">Skadden, Arps, Slate, Meagher &amp; Flom LLP (2026) </w:t>
      </w:r>
      <w:r>
        <w:rPr>
          <w:rFonts w:ascii="Arial" w:hAnsi="Arial" w:cs="Arial"/>
          <w:i/>
          <w:iCs/>
        </w:rPr>
        <w:t>Recent ICO data breach enforcement emphasises the importance of a robust breach response.</w:t>
      </w:r>
      <w:r>
        <w:rPr>
          <w:rFonts w:ascii="Arial" w:hAnsi="Arial" w:cs="Arial"/>
        </w:rPr>
        <w:t xml:space="preserve"> Available at: https://www.skadden.com/insights/publications/2026/02/recent-ico-data-breach-enforcement (Accessed: 18 July 2026).</w:t>
      </w:r>
    </w:p>
    <w:p w14:paraId="4684738C" w14:textId="77777779" w:rsidR="000002E7" w:rsidRPr="005062C5" w:rsidRDefault="00DB16A6">
      <w:pPr>
        <w:spacing w:line="300" w:lineRule="auto"/>
        <w:jc w:val="both"/>
        <w:rPr>
          <w:rFonts w:ascii="Arial" w:hAnsi="Arial" w:cs="Arial"/>
        </w:rPr>
      </w:pPr>
      <w:r>
        <w:rPr>
          <w:rFonts w:ascii="Arial" w:hAnsi="Arial" w:cs="Arial"/>
        </w:rPr>
        <w:t xml:space="preserve">Sweeney, J. (2024) </w:t>
      </w:r>
      <w:r>
        <w:rPr>
          <w:rFonts w:ascii="Arial" w:hAnsi="Arial" w:cs="Arial"/>
          <w:i/>
          <w:iCs/>
        </w:rPr>
        <w:t>'Digital transformation and CRM: the role of big data and AI in customer relationship management'</w:t>
      </w:r>
      <w:r>
        <w:rPr>
          <w:rFonts w:ascii="Arial" w:hAnsi="Arial" w:cs="Arial"/>
        </w:rPr>
        <w:t>, International Journal of Marketing Technology, 32(3), pp.78–95.</w:t>
      </w:r>
    </w:p>
    <w:sectPr w:rsidR="000002E7" w:rsidRPr="005062C5">
      <w:headerReference w:type="default" r:id="rId11"/>
      <w:footerReference w:type="default" r:id="rId12"/>
      <w:pgSz w:w="11906" w:h="16838"/>
      <w:pgMar w:top="1100" w:right="1200" w:bottom="1100" w:left="12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6AF89" w14:textId="77777777" w:rsidR="004F121F" w:rsidRDefault="004F121F">
      <w:r>
        <w:separator/>
      </w:r>
    </w:p>
  </w:endnote>
  <w:endnote w:type="continuationSeparator" w:id="0">
    <w:p w14:paraId="4524C1D7" w14:textId="77777777" w:rsidR="004F121F" w:rsidRDefault="004F1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yriad Pro">
    <w:panose1 w:val="020B0503030403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DAC64" w14:textId="1F0132DC" w:rsidR="000002E7" w:rsidRDefault="00DB16A6">
    <w:pPr>
      <w:jc w:val="center"/>
    </w:pPr>
    <w:r>
      <w:rPr>
        <w:color w:val="595959"/>
        <w:sz w:val="16"/>
        <w:szCs w:val="16"/>
      </w:rPr>
      <w:t xml:space="preserve">Page </w:t>
    </w:r>
    <w:r>
      <w:rPr>
        <w:color w:val="595959"/>
        <w:sz w:val="16"/>
        <w:szCs w:val="16"/>
      </w:rPr>
      <w:fldChar w:fldCharType="begin"/>
    </w:r>
    <w:r>
      <w:rPr>
        <w:color w:val="595959"/>
        <w:sz w:val="16"/>
        <w:szCs w:val="16"/>
      </w:rPr>
      <w:instrText>PAGE</w:instrText>
    </w:r>
    <w:r>
      <w:rPr>
        <w:color w:val="595959"/>
        <w:sz w:val="16"/>
        <w:szCs w:val="16"/>
      </w:rPr>
      <w:fldChar w:fldCharType="separate"/>
    </w:r>
    <w:r w:rsidR="001A2CDF">
      <w:rPr>
        <w:noProof/>
        <w:color w:val="595959"/>
        <w:sz w:val="16"/>
        <w:szCs w:val="16"/>
      </w:rPr>
      <w:t>1</w:t>
    </w:r>
    <w:r>
      <w:rPr>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8BBE9" w14:textId="77777777" w:rsidR="004F121F" w:rsidRDefault="004F121F">
      <w:r>
        <w:separator/>
      </w:r>
    </w:p>
  </w:footnote>
  <w:footnote w:type="continuationSeparator" w:id="0">
    <w:p w14:paraId="16B6AB10" w14:textId="77777777" w:rsidR="004F121F" w:rsidRDefault="004F12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3B88" w14:textId="321081B5" w:rsidR="000002E7" w:rsidRDefault="00DB16A6">
    <w:pPr>
      <w:jc w:val="right"/>
    </w:pPr>
    <w:r>
      <w:rPr>
        <w:i/>
        <w:iCs/>
        <w:color w:val="595959"/>
        <w:sz w:val="16"/>
        <w:szCs w:val="16"/>
      </w:rPr>
      <w:t xml:space="preserve">Maldiva </w:t>
    </w:r>
    <w:r w:rsidR="001C635A">
      <w:rPr>
        <w:i/>
        <w:iCs/>
        <w:color w:val="595959"/>
        <w:sz w:val="16"/>
        <w:szCs w:val="16"/>
      </w:rPr>
      <w:t>Ltd IT</w:t>
    </w:r>
    <w:r>
      <w:rPr>
        <w:i/>
        <w:iCs/>
        <w:color w:val="595959"/>
        <w:sz w:val="16"/>
        <w:szCs w:val="16"/>
      </w:rPr>
      <w:t xml:space="preserve"> Systems Consultancy Proposal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606A46"/>
    <w:multiLevelType w:val="hybridMultilevel"/>
    <w:tmpl w:val="FFFFFFFF"/>
    <w:lvl w:ilvl="0" w:tplc="917CA860">
      <w:start w:val="1"/>
      <w:numFmt w:val="bullet"/>
      <w:lvlText w:val="●"/>
      <w:lvlJc w:val="left"/>
      <w:pPr>
        <w:ind w:left="720" w:hanging="360"/>
      </w:pPr>
    </w:lvl>
    <w:lvl w:ilvl="1" w:tplc="D5F0E2DA">
      <w:start w:val="1"/>
      <w:numFmt w:val="bullet"/>
      <w:lvlText w:val="○"/>
      <w:lvlJc w:val="left"/>
      <w:pPr>
        <w:ind w:left="1440" w:hanging="360"/>
      </w:pPr>
    </w:lvl>
    <w:lvl w:ilvl="2" w:tplc="4CDE4526">
      <w:start w:val="1"/>
      <w:numFmt w:val="bullet"/>
      <w:lvlText w:val="■"/>
      <w:lvlJc w:val="left"/>
      <w:pPr>
        <w:ind w:left="2160" w:hanging="360"/>
      </w:pPr>
    </w:lvl>
    <w:lvl w:ilvl="3" w:tplc="41F6C632">
      <w:start w:val="1"/>
      <w:numFmt w:val="bullet"/>
      <w:lvlText w:val="●"/>
      <w:lvlJc w:val="left"/>
      <w:pPr>
        <w:ind w:left="2880" w:hanging="360"/>
      </w:pPr>
    </w:lvl>
    <w:lvl w:ilvl="4" w:tplc="EC6EF096">
      <w:start w:val="1"/>
      <w:numFmt w:val="bullet"/>
      <w:lvlText w:val="○"/>
      <w:lvlJc w:val="left"/>
      <w:pPr>
        <w:ind w:left="3600" w:hanging="360"/>
      </w:pPr>
    </w:lvl>
    <w:lvl w:ilvl="5" w:tplc="3AF8B56C">
      <w:start w:val="1"/>
      <w:numFmt w:val="bullet"/>
      <w:lvlText w:val="■"/>
      <w:lvlJc w:val="left"/>
      <w:pPr>
        <w:ind w:left="4320" w:hanging="360"/>
      </w:pPr>
    </w:lvl>
    <w:lvl w:ilvl="6" w:tplc="62B64190">
      <w:start w:val="1"/>
      <w:numFmt w:val="bullet"/>
      <w:lvlText w:val="●"/>
      <w:lvlJc w:val="left"/>
      <w:pPr>
        <w:ind w:left="5040" w:hanging="360"/>
      </w:pPr>
    </w:lvl>
    <w:lvl w:ilvl="7" w:tplc="7C3438F6">
      <w:start w:val="1"/>
      <w:numFmt w:val="bullet"/>
      <w:lvlText w:val="●"/>
      <w:lvlJc w:val="left"/>
      <w:pPr>
        <w:ind w:left="5760" w:hanging="360"/>
      </w:pPr>
    </w:lvl>
    <w:lvl w:ilvl="8" w:tplc="9B6E3192">
      <w:start w:val="1"/>
      <w:numFmt w:val="bullet"/>
      <w:lvlText w:val="●"/>
      <w:lvlJc w:val="left"/>
      <w:pPr>
        <w:ind w:left="6480" w:hanging="360"/>
      </w:pPr>
    </w:lvl>
  </w:abstractNum>
  <w:abstractNum w:abstractNumId="1" w15:restartNumberingAfterBreak="0">
    <w:nsid w:val="1D4345FB"/>
    <w:multiLevelType w:val="hybridMultilevel"/>
    <w:tmpl w:val="FFFFFFFF"/>
    <w:lvl w:ilvl="0" w:tplc="E08CE318">
      <w:start w:val="1"/>
      <w:numFmt w:val="bullet"/>
      <w:lvlText w:val="•"/>
      <w:lvlJc w:val="left"/>
      <w:pPr>
        <w:ind w:left="420" w:hanging="260"/>
      </w:pPr>
    </w:lvl>
    <w:lvl w:ilvl="1" w:tplc="A9024730">
      <w:numFmt w:val="decimal"/>
      <w:lvlText w:val=""/>
      <w:lvlJc w:val="left"/>
    </w:lvl>
    <w:lvl w:ilvl="2" w:tplc="7DD4978A">
      <w:numFmt w:val="decimal"/>
      <w:lvlText w:val=""/>
      <w:lvlJc w:val="left"/>
    </w:lvl>
    <w:lvl w:ilvl="3" w:tplc="055E4636">
      <w:numFmt w:val="decimal"/>
      <w:lvlText w:val=""/>
      <w:lvlJc w:val="left"/>
    </w:lvl>
    <w:lvl w:ilvl="4" w:tplc="0CC4FC84">
      <w:numFmt w:val="decimal"/>
      <w:lvlText w:val=""/>
      <w:lvlJc w:val="left"/>
    </w:lvl>
    <w:lvl w:ilvl="5" w:tplc="F19EEB9C">
      <w:numFmt w:val="decimal"/>
      <w:lvlText w:val=""/>
      <w:lvlJc w:val="left"/>
    </w:lvl>
    <w:lvl w:ilvl="6" w:tplc="597C641C">
      <w:numFmt w:val="decimal"/>
      <w:lvlText w:val=""/>
      <w:lvlJc w:val="left"/>
    </w:lvl>
    <w:lvl w:ilvl="7" w:tplc="DF4274BA">
      <w:numFmt w:val="decimal"/>
      <w:lvlText w:val=""/>
      <w:lvlJc w:val="left"/>
    </w:lvl>
    <w:lvl w:ilvl="8" w:tplc="8714AE18">
      <w:numFmt w:val="decimal"/>
      <w:lvlText w:val=""/>
      <w:lvlJc w:val="left"/>
    </w:lvl>
  </w:abstractNum>
  <w:num w:numId="1" w16cid:durableId="5606806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2E7"/>
    <w:rsid w:val="000002E7"/>
    <w:rsid w:val="00041821"/>
    <w:rsid w:val="00044584"/>
    <w:rsid w:val="000546B2"/>
    <w:rsid w:val="00097478"/>
    <w:rsid w:val="000A0009"/>
    <w:rsid w:val="000D47C6"/>
    <w:rsid w:val="000D581E"/>
    <w:rsid w:val="0010147A"/>
    <w:rsid w:val="001323C7"/>
    <w:rsid w:val="00151C06"/>
    <w:rsid w:val="00170395"/>
    <w:rsid w:val="001859E8"/>
    <w:rsid w:val="001A0D68"/>
    <w:rsid w:val="001A2CDF"/>
    <w:rsid w:val="001B0515"/>
    <w:rsid w:val="001C635A"/>
    <w:rsid w:val="00230D8C"/>
    <w:rsid w:val="0027491C"/>
    <w:rsid w:val="002E136E"/>
    <w:rsid w:val="002E4454"/>
    <w:rsid w:val="00324980"/>
    <w:rsid w:val="00332D43"/>
    <w:rsid w:val="00340B6A"/>
    <w:rsid w:val="0039585F"/>
    <w:rsid w:val="00397810"/>
    <w:rsid w:val="003F5AA5"/>
    <w:rsid w:val="004C1F7A"/>
    <w:rsid w:val="004C7401"/>
    <w:rsid w:val="004F121F"/>
    <w:rsid w:val="005062C5"/>
    <w:rsid w:val="0053270F"/>
    <w:rsid w:val="00535B62"/>
    <w:rsid w:val="005C699D"/>
    <w:rsid w:val="006162EA"/>
    <w:rsid w:val="00621B5F"/>
    <w:rsid w:val="00725177"/>
    <w:rsid w:val="00731312"/>
    <w:rsid w:val="0074159F"/>
    <w:rsid w:val="007513CC"/>
    <w:rsid w:val="007D7D12"/>
    <w:rsid w:val="0086420B"/>
    <w:rsid w:val="0089045C"/>
    <w:rsid w:val="008C0A07"/>
    <w:rsid w:val="008C4608"/>
    <w:rsid w:val="009372E6"/>
    <w:rsid w:val="00A20F11"/>
    <w:rsid w:val="00A7603E"/>
    <w:rsid w:val="00AE4FBA"/>
    <w:rsid w:val="00AF2D8C"/>
    <w:rsid w:val="00B41F47"/>
    <w:rsid w:val="00B54336"/>
    <w:rsid w:val="00BC108F"/>
    <w:rsid w:val="00C10A43"/>
    <w:rsid w:val="00C3590B"/>
    <w:rsid w:val="00CB7872"/>
    <w:rsid w:val="00CE5079"/>
    <w:rsid w:val="00D41D81"/>
    <w:rsid w:val="00D54501"/>
    <w:rsid w:val="00DB16A6"/>
    <w:rsid w:val="00DB19CF"/>
    <w:rsid w:val="00E462D8"/>
    <w:rsid w:val="00F1599E"/>
    <w:rsid w:val="00F23A48"/>
    <w:rsid w:val="00FF20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6444B"/>
  <w15:docId w15:val="{8125A20B-0E08-6C4F-B384-5F0CE958D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CDF"/>
  </w:style>
  <w:style w:type="paragraph" w:styleId="Heading1">
    <w:name w:val="heading 1"/>
    <w:basedOn w:val="Normal"/>
    <w:next w:val="Normal"/>
    <w:link w:val="Heading1Char"/>
    <w:uiPriority w:val="9"/>
    <w:qFormat/>
    <w:rsid w:val="001A2CDF"/>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Heading2">
    <w:name w:val="heading 2"/>
    <w:basedOn w:val="Normal"/>
    <w:next w:val="Normal"/>
    <w:link w:val="Heading2Char"/>
    <w:uiPriority w:val="9"/>
    <w:unhideWhenUsed/>
    <w:qFormat/>
    <w:rsid w:val="001A2CDF"/>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A2CDF"/>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A2CDF"/>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Heading5">
    <w:name w:val="heading 5"/>
    <w:basedOn w:val="Normal"/>
    <w:next w:val="Normal"/>
    <w:link w:val="Heading5Char"/>
    <w:uiPriority w:val="9"/>
    <w:semiHidden/>
    <w:unhideWhenUsed/>
    <w:qFormat/>
    <w:rsid w:val="001A2CDF"/>
    <w:pPr>
      <w:keepNext/>
      <w:keepLines/>
      <w:spacing w:before="40" w:after="0"/>
      <w:outlineLvl w:val="4"/>
    </w:pPr>
    <w:rPr>
      <w:rFonts w:asciiTheme="majorHAnsi" w:eastAsiaTheme="majorEastAsia" w:hAnsiTheme="majorHAnsi" w:cstheme="majorBidi"/>
      <w:caps/>
      <w:color w:val="0F4761" w:themeColor="accent1" w:themeShade="BF"/>
    </w:rPr>
  </w:style>
  <w:style w:type="paragraph" w:styleId="Heading6">
    <w:name w:val="heading 6"/>
    <w:basedOn w:val="Normal"/>
    <w:next w:val="Normal"/>
    <w:link w:val="Heading6Char"/>
    <w:uiPriority w:val="9"/>
    <w:semiHidden/>
    <w:unhideWhenUsed/>
    <w:qFormat/>
    <w:rsid w:val="001A2CDF"/>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Heading7">
    <w:name w:val="heading 7"/>
    <w:basedOn w:val="Normal"/>
    <w:next w:val="Normal"/>
    <w:link w:val="Heading7Char"/>
    <w:uiPriority w:val="9"/>
    <w:semiHidden/>
    <w:unhideWhenUsed/>
    <w:qFormat/>
    <w:rsid w:val="001A2CDF"/>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Heading8">
    <w:name w:val="heading 8"/>
    <w:basedOn w:val="Normal"/>
    <w:next w:val="Normal"/>
    <w:link w:val="Heading8Char"/>
    <w:uiPriority w:val="9"/>
    <w:semiHidden/>
    <w:unhideWhenUsed/>
    <w:qFormat/>
    <w:rsid w:val="001A2CDF"/>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Heading9">
    <w:name w:val="heading 9"/>
    <w:basedOn w:val="Normal"/>
    <w:next w:val="Normal"/>
    <w:link w:val="Heading9Char"/>
    <w:uiPriority w:val="9"/>
    <w:semiHidden/>
    <w:unhideWhenUsed/>
    <w:qFormat/>
    <w:rsid w:val="001A2CDF"/>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A2CDF"/>
    <w:pPr>
      <w:spacing w:after="0" w:line="204" w:lineRule="auto"/>
      <w:contextualSpacing/>
    </w:pPr>
    <w:rPr>
      <w:rFonts w:asciiTheme="majorHAnsi" w:eastAsiaTheme="majorEastAsia" w:hAnsiTheme="majorHAnsi" w:cstheme="majorBidi"/>
      <w:caps/>
      <w:color w:val="0E2841" w:themeColor="text2"/>
      <w:spacing w:val="-15"/>
      <w:sz w:val="72"/>
      <w:szCs w:val="72"/>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character" w:customStyle="1" w:styleId="Heading1Char">
    <w:name w:val="Heading 1 Char"/>
    <w:basedOn w:val="DefaultParagraphFont"/>
    <w:link w:val="Heading1"/>
    <w:uiPriority w:val="9"/>
    <w:rsid w:val="001A2CDF"/>
    <w:rPr>
      <w:rFonts w:asciiTheme="majorHAnsi" w:eastAsiaTheme="majorEastAsia" w:hAnsiTheme="majorHAnsi" w:cstheme="majorBidi"/>
      <w:color w:val="0A2F41" w:themeColor="accent1" w:themeShade="80"/>
      <w:sz w:val="36"/>
      <w:szCs w:val="36"/>
    </w:rPr>
  </w:style>
  <w:style w:type="character" w:customStyle="1" w:styleId="Heading2Char">
    <w:name w:val="Heading 2 Char"/>
    <w:basedOn w:val="DefaultParagraphFont"/>
    <w:link w:val="Heading2"/>
    <w:uiPriority w:val="9"/>
    <w:rsid w:val="001A2C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A2CDF"/>
    <w:rPr>
      <w:rFonts w:asciiTheme="majorHAnsi" w:eastAsiaTheme="majorEastAsia" w:hAnsiTheme="maj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A2CDF"/>
    <w:rPr>
      <w:rFonts w:asciiTheme="majorHAnsi" w:eastAsiaTheme="majorEastAsia" w:hAnsiTheme="majorHAnsi" w:cstheme="majorBidi"/>
      <w:color w:val="0F4761" w:themeColor="accent1" w:themeShade="BF"/>
      <w:sz w:val="24"/>
      <w:szCs w:val="24"/>
    </w:rPr>
  </w:style>
  <w:style w:type="character" w:customStyle="1" w:styleId="Heading5Char">
    <w:name w:val="Heading 5 Char"/>
    <w:basedOn w:val="DefaultParagraphFont"/>
    <w:link w:val="Heading5"/>
    <w:uiPriority w:val="9"/>
    <w:semiHidden/>
    <w:rsid w:val="001A2CDF"/>
    <w:rPr>
      <w:rFonts w:asciiTheme="majorHAnsi" w:eastAsiaTheme="majorEastAsia" w:hAnsiTheme="majorHAnsi" w:cstheme="majorBidi"/>
      <w:caps/>
      <w:color w:val="0F4761" w:themeColor="accent1" w:themeShade="BF"/>
    </w:rPr>
  </w:style>
  <w:style w:type="character" w:customStyle="1" w:styleId="Heading6Char">
    <w:name w:val="Heading 6 Char"/>
    <w:basedOn w:val="DefaultParagraphFont"/>
    <w:link w:val="Heading6"/>
    <w:uiPriority w:val="9"/>
    <w:semiHidden/>
    <w:rsid w:val="001A2CDF"/>
    <w:rPr>
      <w:rFonts w:asciiTheme="majorHAnsi" w:eastAsiaTheme="majorEastAsia" w:hAnsiTheme="majorHAnsi" w:cstheme="majorBidi"/>
      <w:i/>
      <w:iCs/>
      <w:caps/>
      <w:color w:val="0A2F41" w:themeColor="accent1" w:themeShade="80"/>
    </w:rPr>
  </w:style>
  <w:style w:type="character" w:customStyle="1" w:styleId="Heading7Char">
    <w:name w:val="Heading 7 Char"/>
    <w:basedOn w:val="DefaultParagraphFont"/>
    <w:link w:val="Heading7"/>
    <w:uiPriority w:val="9"/>
    <w:semiHidden/>
    <w:rsid w:val="001A2CDF"/>
    <w:rPr>
      <w:rFonts w:asciiTheme="majorHAnsi" w:eastAsiaTheme="majorEastAsia" w:hAnsiTheme="majorHAnsi" w:cstheme="majorBidi"/>
      <w:b/>
      <w:bCs/>
      <w:color w:val="0A2F41" w:themeColor="accent1" w:themeShade="80"/>
    </w:rPr>
  </w:style>
  <w:style w:type="character" w:customStyle="1" w:styleId="Heading8Char">
    <w:name w:val="Heading 8 Char"/>
    <w:basedOn w:val="DefaultParagraphFont"/>
    <w:link w:val="Heading8"/>
    <w:uiPriority w:val="9"/>
    <w:semiHidden/>
    <w:rsid w:val="001A2CDF"/>
    <w:rPr>
      <w:rFonts w:asciiTheme="majorHAnsi" w:eastAsiaTheme="majorEastAsia" w:hAnsiTheme="majorHAnsi" w:cstheme="majorBidi"/>
      <w:b/>
      <w:bCs/>
      <w:i/>
      <w:iCs/>
      <w:color w:val="0A2F41" w:themeColor="accent1" w:themeShade="80"/>
    </w:rPr>
  </w:style>
  <w:style w:type="character" w:customStyle="1" w:styleId="Heading9Char">
    <w:name w:val="Heading 9 Char"/>
    <w:basedOn w:val="DefaultParagraphFont"/>
    <w:link w:val="Heading9"/>
    <w:uiPriority w:val="9"/>
    <w:semiHidden/>
    <w:rsid w:val="001A2CDF"/>
    <w:rPr>
      <w:rFonts w:asciiTheme="majorHAnsi" w:eastAsiaTheme="majorEastAsia" w:hAnsiTheme="majorHAnsi" w:cstheme="majorBidi"/>
      <w:i/>
      <w:iCs/>
      <w:color w:val="0A2F41" w:themeColor="accent1" w:themeShade="80"/>
    </w:rPr>
  </w:style>
  <w:style w:type="paragraph" w:styleId="Caption">
    <w:name w:val="caption"/>
    <w:basedOn w:val="Normal"/>
    <w:next w:val="Normal"/>
    <w:uiPriority w:val="35"/>
    <w:semiHidden/>
    <w:unhideWhenUsed/>
    <w:qFormat/>
    <w:rsid w:val="001A2CDF"/>
    <w:pPr>
      <w:spacing w:line="240" w:lineRule="auto"/>
    </w:pPr>
    <w:rPr>
      <w:b/>
      <w:bCs/>
      <w:smallCaps/>
      <w:color w:val="0E2841" w:themeColor="text2"/>
    </w:rPr>
  </w:style>
  <w:style w:type="character" w:customStyle="1" w:styleId="TitleChar">
    <w:name w:val="Title Char"/>
    <w:basedOn w:val="DefaultParagraphFont"/>
    <w:link w:val="Title"/>
    <w:uiPriority w:val="10"/>
    <w:rsid w:val="001A2CDF"/>
    <w:rPr>
      <w:rFonts w:asciiTheme="majorHAnsi" w:eastAsiaTheme="majorEastAsia" w:hAnsiTheme="majorHAnsi" w:cstheme="majorBidi"/>
      <w:caps/>
      <w:color w:val="0E2841" w:themeColor="text2"/>
      <w:spacing w:val="-15"/>
      <w:sz w:val="72"/>
      <w:szCs w:val="72"/>
    </w:rPr>
  </w:style>
  <w:style w:type="paragraph" w:styleId="Subtitle">
    <w:name w:val="Subtitle"/>
    <w:basedOn w:val="Normal"/>
    <w:next w:val="Normal"/>
    <w:link w:val="SubtitleChar"/>
    <w:uiPriority w:val="11"/>
    <w:qFormat/>
    <w:rsid w:val="001A2CDF"/>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itleChar">
    <w:name w:val="Subtitle Char"/>
    <w:basedOn w:val="DefaultParagraphFont"/>
    <w:link w:val="Subtitle"/>
    <w:uiPriority w:val="11"/>
    <w:rsid w:val="001A2CDF"/>
    <w:rPr>
      <w:rFonts w:asciiTheme="majorHAnsi" w:eastAsiaTheme="majorEastAsia" w:hAnsiTheme="majorHAnsi" w:cstheme="majorBidi"/>
      <w:color w:val="156082" w:themeColor="accent1"/>
      <w:sz w:val="28"/>
      <w:szCs w:val="28"/>
    </w:rPr>
  </w:style>
  <w:style w:type="character" w:styleId="Strong">
    <w:name w:val="Strong"/>
    <w:basedOn w:val="DefaultParagraphFont"/>
    <w:uiPriority w:val="22"/>
    <w:qFormat/>
    <w:rsid w:val="001A2CDF"/>
    <w:rPr>
      <w:b/>
      <w:bCs/>
    </w:rPr>
  </w:style>
  <w:style w:type="character" w:styleId="Emphasis">
    <w:name w:val="Emphasis"/>
    <w:basedOn w:val="DefaultParagraphFont"/>
    <w:uiPriority w:val="20"/>
    <w:qFormat/>
    <w:rsid w:val="001A2CDF"/>
    <w:rPr>
      <w:i/>
      <w:iCs/>
    </w:rPr>
  </w:style>
  <w:style w:type="paragraph" w:styleId="NoSpacing">
    <w:name w:val="No Spacing"/>
    <w:uiPriority w:val="1"/>
    <w:qFormat/>
    <w:rsid w:val="001A2CDF"/>
    <w:pPr>
      <w:spacing w:after="0" w:line="240" w:lineRule="auto"/>
    </w:pPr>
  </w:style>
  <w:style w:type="paragraph" w:styleId="Quote">
    <w:name w:val="Quote"/>
    <w:basedOn w:val="Normal"/>
    <w:next w:val="Normal"/>
    <w:link w:val="QuoteChar"/>
    <w:uiPriority w:val="29"/>
    <w:qFormat/>
    <w:rsid w:val="001A2CDF"/>
    <w:pPr>
      <w:spacing w:before="120" w:after="120"/>
      <w:ind w:left="720"/>
    </w:pPr>
    <w:rPr>
      <w:color w:val="0E2841" w:themeColor="text2"/>
      <w:sz w:val="24"/>
      <w:szCs w:val="24"/>
    </w:rPr>
  </w:style>
  <w:style w:type="character" w:customStyle="1" w:styleId="QuoteChar">
    <w:name w:val="Quote Char"/>
    <w:basedOn w:val="DefaultParagraphFont"/>
    <w:link w:val="Quote"/>
    <w:uiPriority w:val="29"/>
    <w:rsid w:val="001A2CDF"/>
    <w:rPr>
      <w:color w:val="0E2841" w:themeColor="text2"/>
      <w:sz w:val="24"/>
      <w:szCs w:val="24"/>
    </w:rPr>
  </w:style>
  <w:style w:type="paragraph" w:styleId="IntenseQuote">
    <w:name w:val="Intense Quote"/>
    <w:basedOn w:val="Normal"/>
    <w:next w:val="Normal"/>
    <w:link w:val="IntenseQuoteChar"/>
    <w:uiPriority w:val="30"/>
    <w:qFormat/>
    <w:rsid w:val="001A2CDF"/>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IntenseQuoteChar">
    <w:name w:val="Intense Quote Char"/>
    <w:basedOn w:val="DefaultParagraphFont"/>
    <w:link w:val="IntenseQuote"/>
    <w:uiPriority w:val="30"/>
    <w:rsid w:val="001A2CDF"/>
    <w:rPr>
      <w:rFonts w:asciiTheme="majorHAnsi" w:eastAsiaTheme="majorEastAsia" w:hAnsiTheme="majorHAnsi" w:cstheme="majorBidi"/>
      <w:color w:val="0E2841" w:themeColor="text2"/>
      <w:spacing w:val="-6"/>
      <w:sz w:val="32"/>
      <w:szCs w:val="32"/>
    </w:rPr>
  </w:style>
  <w:style w:type="character" w:styleId="SubtleEmphasis">
    <w:name w:val="Subtle Emphasis"/>
    <w:basedOn w:val="DefaultParagraphFont"/>
    <w:uiPriority w:val="19"/>
    <w:qFormat/>
    <w:rsid w:val="001A2CDF"/>
    <w:rPr>
      <w:i/>
      <w:iCs/>
      <w:color w:val="595959" w:themeColor="text1" w:themeTint="A6"/>
    </w:rPr>
  </w:style>
  <w:style w:type="character" w:styleId="IntenseEmphasis">
    <w:name w:val="Intense Emphasis"/>
    <w:basedOn w:val="DefaultParagraphFont"/>
    <w:uiPriority w:val="21"/>
    <w:qFormat/>
    <w:rsid w:val="001A2CDF"/>
    <w:rPr>
      <w:b/>
      <w:bCs/>
      <w:i/>
      <w:iCs/>
    </w:rPr>
  </w:style>
  <w:style w:type="character" w:styleId="SubtleReference">
    <w:name w:val="Subtle Reference"/>
    <w:basedOn w:val="DefaultParagraphFont"/>
    <w:uiPriority w:val="31"/>
    <w:qFormat/>
    <w:rsid w:val="001A2CD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1A2CDF"/>
    <w:rPr>
      <w:b/>
      <w:bCs/>
      <w:smallCaps/>
      <w:color w:val="0E2841" w:themeColor="text2"/>
      <w:u w:val="single"/>
    </w:rPr>
  </w:style>
  <w:style w:type="character" w:styleId="BookTitle">
    <w:name w:val="Book Title"/>
    <w:basedOn w:val="DefaultParagraphFont"/>
    <w:uiPriority w:val="33"/>
    <w:qFormat/>
    <w:rsid w:val="001A2CDF"/>
    <w:rPr>
      <w:b/>
      <w:bCs/>
      <w:smallCaps/>
      <w:spacing w:val="10"/>
    </w:rPr>
  </w:style>
  <w:style w:type="paragraph" w:styleId="TOCHeading">
    <w:name w:val="TOC Heading"/>
    <w:basedOn w:val="Heading1"/>
    <w:next w:val="Normal"/>
    <w:uiPriority w:val="39"/>
    <w:semiHidden/>
    <w:unhideWhenUsed/>
    <w:qFormat/>
    <w:rsid w:val="001A2CDF"/>
    <w:pPr>
      <w:outlineLvl w:val="9"/>
    </w:pPr>
  </w:style>
  <w:style w:type="paragraph" w:styleId="Header">
    <w:name w:val="header"/>
    <w:basedOn w:val="Normal"/>
    <w:link w:val="HeaderChar"/>
    <w:uiPriority w:val="99"/>
    <w:unhideWhenUsed/>
    <w:rsid w:val="001703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0395"/>
  </w:style>
  <w:style w:type="paragraph" w:styleId="Footer">
    <w:name w:val="footer"/>
    <w:basedOn w:val="Normal"/>
    <w:link w:val="FooterChar"/>
    <w:uiPriority w:val="99"/>
    <w:unhideWhenUsed/>
    <w:rsid w:val="001703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0395"/>
  </w:style>
  <w:style w:type="table" w:styleId="GridTable1Light">
    <w:name w:val="Grid Table 1 Light"/>
    <w:basedOn w:val="TableNormal"/>
    <w:uiPriority w:val="46"/>
    <w:rsid w:val="00FF20F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
    <w:name w:val="Table Grid"/>
    <w:basedOn w:val="TableNormal"/>
    <w:uiPriority w:val="39"/>
    <w:rsid w:val="00FF20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A20F1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3292C7F-90E7-4851-8BB5-BBE46A6CB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8</Pages>
  <Words>2957</Words>
  <Characters>16861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T2 DABIZZLE</cp:lastModifiedBy>
  <cp:revision>22</cp:revision>
  <dcterms:created xsi:type="dcterms:W3CDTF">2026-07-18T00:34:00Z</dcterms:created>
  <dcterms:modified xsi:type="dcterms:W3CDTF">2026-07-18T01:50:00Z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5fc7d6fd-f8df-4384-a535-938c93cef9ca</vt:lpwstr>
  </property>
</Properties>
</file>