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206E1" w14:textId="77777777" w:rsidR="00723E46" w:rsidRPr="00E2104C" w:rsidRDefault="00723E46" w:rsidP="00723E46"/>
    <w:p w14:paraId="10AE92C6" w14:textId="77777777" w:rsidR="00723E46" w:rsidRPr="00E2104C" w:rsidRDefault="00723E46" w:rsidP="00723E46">
      <w:pPr>
        <w:jc w:val="center"/>
        <w:rPr>
          <w:sz w:val="72"/>
          <w:szCs w:val="72"/>
        </w:rPr>
      </w:pPr>
    </w:p>
    <w:p w14:paraId="14416FC7" w14:textId="2C966A93" w:rsidR="00723E46" w:rsidRPr="00E2104C" w:rsidRDefault="00723E46" w:rsidP="00723E46">
      <w:pPr>
        <w:jc w:val="center"/>
        <w:rPr>
          <w:sz w:val="72"/>
          <w:szCs w:val="72"/>
        </w:rPr>
      </w:pPr>
      <w:r w:rsidRPr="00E2104C">
        <w:rPr>
          <w:sz w:val="72"/>
          <w:szCs w:val="72"/>
        </w:rPr>
        <w:t>ECIE</w:t>
      </w:r>
      <w:r>
        <w:rPr>
          <w:sz w:val="72"/>
          <w:szCs w:val="72"/>
        </w:rPr>
        <w:t>5002</w:t>
      </w:r>
    </w:p>
    <w:p w14:paraId="2D69E176" w14:textId="66EB8B0F" w:rsidR="00723E46" w:rsidRPr="00E2104C" w:rsidRDefault="00723E46" w:rsidP="00723E46">
      <w:pPr>
        <w:jc w:val="center"/>
        <w:rPr>
          <w:sz w:val="72"/>
          <w:szCs w:val="72"/>
        </w:rPr>
      </w:pPr>
      <w:r>
        <w:rPr>
          <w:sz w:val="72"/>
          <w:szCs w:val="72"/>
        </w:rPr>
        <w:t>Numbers Count</w:t>
      </w:r>
    </w:p>
    <w:p w14:paraId="51FB403C" w14:textId="77777777" w:rsidR="00723E46" w:rsidRPr="00E2104C" w:rsidRDefault="00723E46" w:rsidP="00723E46">
      <w:pPr>
        <w:jc w:val="center"/>
        <w:rPr>
          <w:sz w:val="72"/>
          <w:szCs w:val="72"/>
        </w:rPr>
      </w:pPr>
    </w:p>
    <w:p w14:paraId="2EDC2BDE" w14:textId="77777777" w:rsidR="00723E46" w:rsidRPr="00E2104C" w:rsidRDefault="00723E46" w:rsidP="00723E46">
      <w:pPr>
        <w:jc w:val="center"/>
        <w:rPr>
          <w:b/>
          <w:bCs/>
          <w:sz w:val="72"/>
          <w:szCs w:val="72"/>
          <w:u w:val="single"/>
        </w:rPr>
      </w:pPr>
      <w:r w:rsidRPr="00E2104C">
        <w:rPr>
          <w:b/>
          <w:bCs/>
          <w:sz w:val="72"/>
          <w:szCs w:val="72"/>
          <w:u w:val="single"/>
        </w:rPr>
        <w:t>Portfolio</w:t>
      </w:r>
    </w:p>
    <w:p w14:paraId="4F8BB6F8" w14:textId="77777777" w:rsidR="00723E46" w:rsidRPr="00E2104C" w:rsidRDefault="00723E46" w:rsidP="00723E46">
      <w:pPr>
        <w:jc w:val="center"/>
        <w:rPr>
          <w:b/>
          <w:bCs/>
          <w:sz w:val="72"/>
          <w:szCs w:val="72"/>
          <w:u w:val="single"/>
        </w:rPr>
      </w:pPr>
    </w:p>
    <w:p w14:paraId="3DF72155" w14:textId="77777777" w:rsidR="00723E46" w:rsidRDefault="00723E46" w:rsidP="00723E46">
      <w:pPr>
        <w:jc w:val="center"/>
        <w:rPr>
          <w:sz w:val="72"/>
          <w:szCs w:val="72"/>
        </w:rPr>
      </w:pPr>
      <w:r w:rsidRPr="00E2104C">
        <w:rPr>
          <w:sz w:val="72"/>
          <w:szCs w:val="72"/>
        </w:rPr>
        <w:t>Student Number:</w:t>
      </w:r>
    </w:p>
    <w:p w14:paraId="4CC6A088" w14:textId="77777777" w:rsidR="00723E46" w:rsidRDefault="00723E46" w:rsidP="00723E46">
      <w:pPr>
        <w:jc w:val="center"/>
        <w:rPr>
          <w:sz w:val="72"/>
          <w:szCs w:val="72"/>
        </w:rPr>
      </w:pPr>
      <w:r>
        <w:rPr>
          <w:sz w:val="72"/>
          <w:szCs w:val="72"/>
        </w:rPr>
        <w:t>2307229</w:t>
      </w:r>
    </w:p>
    <w:p w14:paraId="1CC69580" w14:textId="77777777" w:rsidR="00723E46" w:rsidRDefault="00723E46"/>
    <w:p w14:paraId="1C510193" w14:textId="77777777" w:rsidR="00723E46" w:rsidRDefault="00723E46"/>
    <w:p w14:paraId="6AA177A9" w14:textId="77777777" w:rsidR="00723E46" w:rsidRDefault="00723E46"/>
    <w:p w14:paraId="5DFAE126" w14:textId="77777777" w:rsidR="00723E46" w:rsidRDefault="00723E46"/>
    <w:p w14:paraId="179DB9F0" w14:textId="77777777" w:rsidR="00723E46" w:rsidRDefault="00723E46"/>
    <w:p w14:paraId="38EE4942" w14:textId="77777777" w:rsidR="00723E46" w:rsidRDefault="00723E46"/>
    <w:p w14:paraId="66B2F207" w14:textId="77777777" w:rsidR="00723E46" w:rsidRDefault="00723E46"/>
    <w:p w14:paraId="68410E1A" w14:textId="77777777" w:rsidR="00723E46" w:rsidRDefault="00723E46"/>
    <w:p w14:paraId="56AC48E8" w14:textId="094FA5BA" w:rsidR="00283A3E" w:rsidRDefault="00723E46" w:rsidP="00283A3E">
      <w:pPr>
        <w:jc w:val="center"/>
        <w:rPr>
          <w:sz w:val="32"/>
          <w:szCs w:val="32"/>
        </w:rPr>
      </w:pPr>
      <w:r>
        <w:rPr>
          <w:sz w:val="32"/>
          <w:szCs w:val="32"/>
        </w:rPr>
        <w:lastRenderedPageBreak/>
        <w:t>Table of Content</w:t>
      </w:r>
      <w:r w:rsidR="00283A3E">
        <w:rPr>
          <w:sz w:val="32"/>
          <w:szCs w:val="32"/>
        </w:rPr>
        <w:t>s</w:t>
      </w:r>
    </w:p>
    <w:sdt>
      <w:sdtPr>
        <w:rPr>
          <w:rFonts w:asciiTheme="minorHAnsi" w:eastAsiaTheme="minorHAnsi" w:hAnsiTheme="minorHAnsi" w:cstheme="minorBidi"/>
          <w:color w:val="auto"/>
          <w:kern w:val="2"/>
          <w:sz w:val="24"/>
          <w:szCs w:val="24"/>
          <w:lang w:val="en-GB"/>
          <w14:ligatures w14:val="standardContextual"/>
        </w:rPr>
        <w:id w:val="-1946679510"/>
        <w:docPartObj>
          <w:docPartGallery w:val="Table of Contents"/>
          <w:docPartUnique/>
        </w:docPartObj>
      </w:sdtPr>
      <w:sdtContent>
        <w:p w14:paraId="10563551" w14:textId="02161E18" w:rsidR="00351800" w:rsidRDefault="00351800">
          <w:pPr>
            <w:pStyle w:val="TOCHeading"/>
          </w:pPr>
        </w:p>
        <w:p w14:paraId="56480E76" w14:textId="39A5BC8A" w:rsidR="00351800" w:rsidRPr="00351800" w:rsidRDefault="00351800" w:rsidP="00351800">
          <w:pPr>
            <w:pStyle w:val="TOC1"/>
          </w:pPr>
          <w:r w:rsidRPr="00351800">
            <w:t>Portfolio details</w:t>
          </w:r>
          <w:r w:rsidRPr="00351800">
            <w:ptab w:relativeTo="margin" w:alignment="right" w:leader="dot"/>
          </w:r>
          <w:r w:rsidRPr="00351800">
            <w:t>1</w:t>
          </w:r>
        </w:p>
        <w:p w14:paraId="255F9AE3" w14:textId="6AA237FE" w:rsidR="00351800" w:rsidRDefault="00351800" w:rsidP="00351800">
          <w:pPr>
            <w:pStyle w:val="TOC2"/>
            <w:ind w:left="0"/>
          </w:pPr>
          <w:r>
            <w:t>Table of Contents</w:t>
          </w:r>
          <w:r>
            <w:ptab w:relativeTo="margin" w:alignment="right" w:leader="dot"/>
          </w:r>
          <w:r>
            <w:t>2</w:t>
          </w:r>
        </w:p>
        <w:p w14:paraId="5FC5BE05" w14:textId="2947EE56" w:rsidR="00351800" w:rsidRDefault="00351800" w:rsidP="00351800">
          <w:pPr>
            <w:pStyle w:val="TOC3"/>
            <w:ind w:left="0"/>
          </w:pPr>
          <w:r>
            <w:t>Element 1: Essay - Why is good numeracy important</w:t>
          </w:r>
          <w:r>
            <w:ptab w:relativeTo="margin" w:alignment="right" w:leader="dot"/>
          </w:r>
          <w:r>
            <w:t>3</w:t>
          </w:r>
        </w:p>
        <w:p w14:paraId="7446066E" w14:textId="4D133508" w:rsidR="00351800" w:rsidRDefault="00351800" w:rsidP="00351800">
          <w:pPr>
            <w:pStyle w:val="TOC1"/>
          </w:pPr>
          <w:r>
            <w:t>Element 1: Reference</w:t>
          </w:r>
          <w:r>
            <w:ptab w:relativeTo="margin" w:alignment="right" w:leader="dot"/>
          </w:r>
          <w:r w:rsidR="004511A2">
            <w:t>5</w:t>
          </w:r>
        </w:p>
        <w:p w14:paraId="42935B62" w14:textId="449D0EE6" w:rsidR="00351800" w:rsidRDefault="00351800" w:rsidP="00351800">
          <w:pPr>
            <w:pStyle w:val="TOC1"/>
          </w:pPr>
          <w:r>
            <w:t>Element 2: Blog – What can schools do to encourage numeracy?</w:t>
          </w:r>
          <w:r>
            <w:ptab w:relativeTo="margin" w:alignment="right" w:leader="dot"/>
          </w:r>
          <w:r w:rsidR="004511A2">
            <w:t>7</w:t>
          </w:r>
        </w:p>
        <w:p w14:paraId="3A84B77F" w14:textId="63854B20" w:rsidR="00351800" w:rsidRDefault="00351800" w:rsidP="00351800">
          <w:pPr>
            <w:pStyle w:val="TOC1"/>
          </w:pPr>
          <w:r>
            <w:t>Element 2: References</w:t>
          </w:r>
          <w:r>
            <w:ptab w:relativeTo="margin" w:alignment="right" w:leader="dot"/>
          </w:r>
          <w:r w:rsidR="004154A7">
            <w:t>10</w:t>
          </w:r>
        </w:p>
        <w:p w14:paraId="41ACCF81" w14:textId="58EBCCB6" w:rsidR="00351800" w:rsidRDefault="00351800" w:rsidP="00351800">
          <w:pPr>
            <w:pStyle w:val="TOC3"/>
            <w:ind w:left="0"/>
          </w:pPr>
          <w:r>
            <w:t>Element 3: Resource – Information Sheet</w:t>
          </w:r>
          <w:r>
            <w:ptab w:relativeTo="margin" w:alignment="right" w:leader="dot"/>
          </w:r>
          <w:r w:rsidR="004154A7">
            <w:t>12</w:t>
          </w:r>
        </w:p>
        <w:p w14:paraId="1DA15C89" w14:textId="610E1D25" w:rsidR="00351800" w:rsidRDefault="00351800" w:rsidP="00351800">
          <w:pPr>
            <w:pStyle w:val="TOC1"/>
          </w:pPr>
          <w:r>
            <w:t>Element 3: References</w:t>
          </w:r>
          <w:r>
            <w:ptab w:relativeTo="margin" w:alignment="right" w:leader="dot"/>
          </w:r>
          <w:r w:rsidR="004154A7">
            <w:t>15</w:t>
          </w:r>
        </w:p>
        <w:p w14:paraId="6EFD9CBE" w14:textId="14D5B9FA" w:rsidR="00351800" w:rsidRDefault="00351800" w:rsidP="00351800">
          <w:pPr>
            <w:pStyle w:val="TOC1"/>
          </w:pPr>
          <w:r>
            <w:t>Element 4: Video of resource in action</w:t>
          </w:r>
          <w:r>
            <w:ptab w:relativeTo="margin" w:alignment="right" w:leader="dot"/>
          </w:r>
          <w:r w:rsidR="004154A7">
            <w:t>16</w:t>
          </w:r>
        </w:p>
        <w:p w14:paraId="6B0483CF" w14:textId="511A58A3" w:rsidR="00351800" w:rsidRDefault="00351800" w:rsidP="00351800">
          <w:pPr>
            <w:pStyle w:val="TOC3"/>
            <w:ind w:left="0"/>
          </w:pPr>
          <w:r>
            <w:t>Element 5: Evaluation of t</w:t>
          </w:r>
          <w:r w:rsidR="00971313">
            <w:t>he resource</w:t>
          </w:r>
          <w:r>
            <w:ptab w:relativeTo="margin" w:alignment="right" w:leader="dot"/>
          </w:r>
          <w:r w:rsidR="004154A7">
            <w:t>17</w:t>
          </w:r>
        </w:p>
        <w:p w14:paraId="27417F8E" w14:textId="65B5615F" w:rsidR="00351800" w:rsidRDefault="00351800" w:rsidP="00351800">
          <w:pPr>
            <w:pStyle w:val="TOC1"/>
          </w:pPr>
          <w:r>
            <w:t>Element 5: References</w:t>
          </w:r>
          <w:r>
            <w:ptab w:relativeTo="margin" w:alignment="right" w:leader="dot"/>
          </w:r>
          <w:r w:rsidR="004154A7">
            <w:t>19</w:t>
          </w:r>
        </w:p>
        <w:p w14:paraId="74C9E494" w14:textId="0052F755" w:rsidR="00351800" w:rsidRDefault="00351800" w:rsidP="00351800">
          <w:pPr>
            <w:pStyle w:val="TOC1"/>
          </w:pPr>
        </w:p>
        <w:p w14:paraId="7354CBA5" w14:textId="1B91916D" w:rsidR="00351800" w:rsidRPr="00351800" w:rsidRDefault="00000000" w:rsidP="00351800">
          <w:pPr>
            <w:rPr>
              <w:lang w:val="en-US"/>
            </w:rPr>
          </w:pPr>
        </w:p>
      </w:sdtContent>
    </w:sdt>
    <w:p w14:paraId="354DF9AA" w14:textId="77777777" w:rsidR="00283A3E" w:rsidRDefault="00283A3E" w:rsidP="00283A3E">
      <w:pPr>
        <w:jc w:val="center"/>
        <w:rPr>
          <w:sz w:val="32"/>
          <w:szCs w:val="32"/>
        </w:rPr>
      </w:pPr>
    </w:p>
    <w:p w14:paraId="568FB3DF" w14:textId="77777777" w:rsidR="00283A3E" w:rsidRDefault="00283A3E" w:rsidP="00283A3E">
      <w:pPr>
        <w:jc w:val="center"/>
        <w:rPr>
          <w:sz w:val="32"/>
          <w:szCs w:val="32"/>
        </w:rPr>
      </w:pPr>
    </w:p>
    <w:p w14:paraId="745698A2" w14:textId="77777777" w:rsidR="00283A3E" w:rsidRDefault="00283A3E" w:rsidP="00283A3E">
      <w:pPr>
        <w:jc w:val="center"/>
        <w:rPr>
          <w:sz w:val="32"/>
          <w:szCs w:val="32"/>
        </w:rPr>
      </w:pPr>
    </w:p>
    <w:p w14:paraId="2A56DC14" w14:textId="77777777" w:rsidR="00283A3E" w:rsidRDefault="00283A3E" w:rsidP="00283A3E">
      <w:pPr>
        <w:jc w:val="center"/>
        <w:rPr>
          <w:sz w:val="32"/>
          <w:szCs w:val="32"/>
        </w:rPr>
      </w:pPr>
    </w:p>
    <w:p w14:paraId="4AEFA244" w14:textId="77777777" w:rsidR="00283A3E" w:rsidRDefault="00283A3E" w:rsidP="00283A3E">
      <w:pPr>
        <w:jc w:val="center"/>
        <w:rPr>
          <w:sz w:val="32"/>
          <w:szCs w:val="32"/>
        </w:rPr>
      </w:pPr>
    </w:p>
    <w:p w14:paraId="7F2C3E1A" w14:textId="77777777" w:rsidR="00283A3E" w:rsidRDefault="00283A3E" w:rsidP="00283A3E">
      <w:pPr>
        <w:jc w:val="center"/>
        <w:rPr>
          <w:sz w:val="32"/>
          <w:szCs w:val="32"/>
        </w:rPr>
      </w:pPr>
    </w:p>
    <w:p w14:paraId="35EF4677" w14:textId="77777777" w:rsidR="00283A3E" w:rsidRDefault="00283A3E" w:rsidP="00283A3E">
      <w:pPr>
        <w:jc w:val="center"/>
        <w:rPr>
          <w:sz w:val="32"/>
          <w:szCs w:val="32"/>
        </w:rPr>
      </w:pPr>
    </w:p>
    <w:p w14:paraId="3D2B282B" w14:textId="77777777" w:rsidR="00283A3E" w:rsidRDefault="00283A3E" w:rsidP="00283A3E">
      <w:pPr>
        <w:jc w:val="center"/>
        <w:rPr>
          <w:sz w:val="32"/>
          <w:szCs w:val="32"/>
        </w:rPr>
      </w:pPr>
    </w:p>
    <w:p w14:paraId="088514DD" w14:textId="77777777" w:rsidR="00283A3E" w:rsidRDefault="00283A3E" w:rsidP="00283A3E">
      <w:pPr>
        <w:jc w:val="center"/>
        <w:rPr>
          <w:sz w:val="32"/>
          <w:szCs w:val="32"/>
        </w:rPr>
      </w:pPr>
    </w:p>
    <w:p w14:paraId="24634806" w14:textId="77777777" w:rsidR="00283A3E" w:rsidRDefault="00283A3E" w:rsidP="00283A3E">
      <w:pPr>
        <w:jc w:val="center"/>
        <w:rPr>
          <w:sz w:val="32"/>
          <w:szCs w:val="32"/>
        </w:rPr>
      </w:pPr>
    </w:p>
    <w:p w14:paraId="0A6C55C2" w14:textId="77777777" w:rsidR="00283A3E" w:rsidRDefault="00283A3E" w:rsidP="00283A3E">
      <w:pPr>
        <w:jc w:val="center"/>
        <w:rPr>
          <w:sz w:val="32"/>
          <w:szCs w:val="32"/>
        </w:rPr>
      </w:pPr>
    </w:p>
    <w:p w14:paraId="12799107" w14:textId="77777777" w:rsidR="00A81357" w:rsidRDefault="00A81357" w:rsidP="00A81357">
      <w:pPr>
        <w:rPr>
          <w:sz w:val="32"/>
          <w:szCs w:val="32"/>
        </w:rPr>
      </w:pPr>
    </w:p>
    <w:p w14:paraId="647F557E" w14:textId="77777777" w:rsidR="00090A02" w:rsidRDefault="00090A02" w:rsidP="00A81357">
      <w:pPr>
        <w:jc w:val="center"/>
        <w:rPr>
          <w:rFonts w:ascii="Times New Roman" w:hAnsi="Times New Roman" w:cs="Times New Roman"/>
        </w:rPr>
      </w:pPr>
    </w:p>
    <w:p w14:paraId="47FACB40" w14:textId="71B9159E" w:rsidR="00283A3E" w:rsidRPr="009E649C" w:rsidRDefault="00283A3E" w:rsidP="00A81357">
      <w:pPr>
        <w:jc w:val="center"/>
        <w:rPr>
          <w:rFonts w:ascii="Times New Roman" w:hAnsi="Times New Roman" w:cs="Times New Roman"/>
        </w:rPr>
      </w:pPr>
      <w:r>
        <w:rPr>
          <w:rFonts w:ascii="Times New Roman" w:hAnsi="Times New Roman" w:cs="Times New Roman"/>
        </w:rPr>
        <w:lastRenderedPageBreak/>
        <w:t xml:space="preserve">Element 1: </w:t>
      </w:r>
      <w:r w:rsidRPr="009E649C">
        <w:rPr>
          <w:rFonts w:ascii="Times New Roman" w:hAnsi="Times New Roman" w:cs="Times New Roman"/>
        </w:rPr>
        <w:t>Good Numeracy</w:t>
      </w:r>
      <w:r>
        <w:rPr>
          <w:rFonts w:ascii="Times New Roman" w:hAnsi="Times New Roman" w:cs="Times New Roman"/>
        </w:rPr>
        <w:t xml:space="preserve"> - </w:t>
      </w:r>
      <w:r w:rsidRPr="009E649C">
        <w:rPr>
          <w:rFonts w:ascii="Times New Roman" w:hAnsi="Times New Roman" w:cs="Times New Roman"/>
        </w:rPr>
        <w:t>Why It Is Important</w:t>
      </w:r>
      <w:r>
        <w:rPr>
          <w:rFonts w:ascii="Times New Roman" w:hAnsi="Times New Roman" w:cs="Times New Roman"/>
        </w:rPr>
        <w:t>.</w:t>
      </w:r>
    </w:p>
    <w:p w14:paraId="7B543807" w14:textId="77777777" w:rsidR="00283A3E" w:rsidRDefault="00283A3E" w:rsidP="00283A3E">
      <w:pPr>
        <w:rPr>
          <w:rFonts w:ascii="Times New Roman" w:hAnsi="Times New Roman" w:cs="Times New Roman"/>
        </w:rPr>
      </w:pPr>
      <w:r w:rsidRPr="008B62D7">
        <w:rPr>
          <w:rFonts w:ascii="Times New Roman" w:hAnsi="Times New Roman" w:cs="Times New Roman"/>
        </w:rPr>
        <w:t xml:space="preserve">This essay will </w:t>
      </w:r>
      <w:r>
        <w:rPr>
          <w:rFonts w:ascii="Times New Roman" w:hAnsi="Times New Roman" w:cs="Times New Roman"/>
        </w:rPr>
        <w:t>discuss</w:t>
      </w:r>
      <w:r w:rsidRPr="008B62D7">
        <w:rPr>
          <w:rFonts w:ascii="Times New Roman" w:hAnsi="Times New Roman" w:cs="Times New Roman"/>
        </w:rPr>
        <w:t xml:space="preserve"> why good numeracy is important</w:t>
      </w:r>
      <w:r>
        <w:rPr>
          <w:rFonts w:ascii="Times New Roman" w:hAnsi="Times New Roman" w:cs="Times New Roman"/>
        </w:rPr>
        <w:t xml:space="preserve"> and how it is facilitated in a school setting for children aged 3-7</w:t>
      </w:r>
      <w:r w:rsidRPr="008B62D7">
        <w:rPr>
          <w:rFonts w:ascii="Times New Roman" w:hAnsi="Times New Roman" w:cs="Times New Roman"/>
        </w:rPr>
        <w:t>. It will aim to critically analyse theoretical perspectives and key trends in numeracy strategies in education</w:t>
      </w:r>
      <w:r>
        <w:rPr>
          <w:rFonts w:ascii="Times New Roman" w:hAnsi="Times New Roman" w:cs="Times New Roman"/>
        </w:rPr>
        <w:t xml:space="preserve"> and </w:t>
      </w:r>
      <w:r w:rsidRPr="008B62D7">
        <w:rPr>
          <w:rFonts w:ascii="Times New Roman" w:hAnsi="Times New Roman" w:cs="Times New Roman"/>
        </w:rPr>
        <w:t xml:space="preserve">evaluate links between numeracy and other </w:t>
      </w:r>
      <w:r>
        <w:rPr>
          <w:rFonts w:ascii="Times New Roman" w:hAnsi="Times New Roman" w:cs="Times New Roman"/>
        </w:rPr>
        <w:t xml:space="preserve">areas of the </w:t>
      </w:r>
      <w:r w:rsidRPr="008B62D7">
        <w:rPr>
          <w:rFonts w:ascii="Times New Roman" w:hAnsi="Times New Roman" w:cs="Times New Roman"/>
        </w:rPr>
        <w:t xml:space="preserve">curriculum. </w:t>
      </w:r>
      <w:r>
        <w:rPr>
          <w:rFonts w:ascii="Times New Roman" w:hAnsi="Times New Roman" w:cs="Times New Roman"/>
        </w:rPr>
        <w:t>Numeracy is the term used in education that covers all aspects of mathematical arithmetic and</w:t>
      </w:r>
      <w:r w:rsidRPr="008B62D7">
        <w:rPr>
          <w:rFonts w:ascii="Times New Roman" w:hAnsi="Times New Roman" w:cs="Times New Roman"/>
        </w:rPr>
        <w:t xml:space="preserve"> is an essential everyday life skill that benefits the </w:t>
      </w:r>
      <w:r>
        <w:rPr>
          <w:rFonts w:ascii="Times New Roman" w:hAnsi="Times New Roman" w:cs="Times New Roman"/>
        </w:rPr>
        <w:t>learner and</w:t>
      </w:r>
      <w:r w:rsidRPr="008B62D7">
        <w:rPr>
          <w:rFonts w:ascii="Times New Roman" w:hAnsi="Times New Roman" w:cs="Times New Roman"/>
        </w:rPr>
        <w:t xml:space="preserve"> economy</w:t>
      </w:r>
      <w:r>
        <w:rPr>
          <w:rFonts w:ascii="Times New Roman" w:hAnsi="Times New Roman" w:cs="Times New Roman"/>
        </w:rPr>
        <w:t>.</w:t>
      </w:r>
      <w:r w:rsidRPr="008B62D7">
        <w:rPr>
          <w:rFonts w:ascii="Times New Roman" w:hAnsi="Times New Roman" w:cs="Times New Roman"/>
        </w:rPr>
        <w:t xml:space="preserve"> </w:t>
      </w:r>
      <w:r>
        <w:rPr>
          <w:rFonts w:ascii="Times New Roman" w:hAnsi="Times New Roman" w:cs="Times New Roman"/>
        </w:rPr>
        <w:t>It a</w:t>
      </w:r>
      <w:r w:rsidRPr="008B62D7">
        <w:rPr>
          <w:rFonts w:ascii="Times New Roman" w:hAnsi="Times New Roman" w:cs="Times New Roman"/>
        </w:rPr>
        <w:t xml:space="preserve">llows </w:t>
      </w:r>
      <w:r>
        <w:rPr>
          <w:rFonts w:ascii="Times New Roman" w:hAnsi="Times New Roman" w:cs="Times New Roman"/>
        </w:rPr>
        <w:t>the learner</w:t>
      </w:r>
      <w:r w:rsidRPr="008B62D7">
        <w:rPr>
          <w:rFonts w:ascii="Times New Roman" w:hAnsi="Times New Roman" w:cs="Times New Roman"/>
        </w:rPr>
        <w:t xml:space="preserve"> to make informed decisions </w:t>
      </w:r>
      <w:r>
        <w:rPr>
          <w:rFonts w:ascii="Times New Roman" w:hAnsi="Times New Roman" w:cs="Times New Roman"/>
        </w:rPr>
        <w:t xml:space="preserve">through critical thinking, analysing and interpreting data and problem solving </w:t>
      </w:r>
      <w:r w:rsidRPr="008B62D7">
        <w:rPr>
          <w:rFonts w:ascii="Times New Roman" w:hAnsi="Times New Roman" w:cs="Times New Roman"/>
        </w:rPr>
        <w:t>(</w:t>
      </w:r>
      <w:r>
        <w:rPr>
          <w:rFonts w:ascii="Times New Roman" w:hAnsi="Times New Roman" w:cs="Times New Roman"/>
        </w:rPr>
        <w:t>National Numeracy</w:t>
      </w:r>
      <w:r w:rsidRPr="00297F18">
        <w:rPr>
          <w:rFonts w:ascii="Times New Roman" w:hAnsi="Times New Roman" w:cs="Times New Roman"/>
        </w:rPr>
        <w:t xml:space="preserve">, </w:t>
      </w:r>
      <w:r w:rsidRPr="008B62D7">
        <w:rPr>
          <w:rFonts w:ascii="Times New Roman" w:hAnsi="Times New Roman" w:cs="Times New Roman"/>
        </w:rPr>
        <w:t>20</w:t>
      </w:r>
      <w:r w:rsidRPr="00297F18">
        <w:rPr>
          <w:rFonts w:ascii="Times New Roman" w:hAnsi="Times New Roman" w:cs="Times New Roman"/>
        </w:rPr>
        <w:t>14)</w:t>
      </w:r>
      <w:r w:rsidRPr="008B62D7">
        <w:rPr>
          <w:rFonts w:ascii="Times New Roman" w:hAnsi="Times New Roman" w:cs="Times New Roman"/>
        </w:rPr>
        <w:t>.</w:t>
      </w:r>
      <w:r>
        <w:rPr>
          <w:rFonts w:ascii="Times New Roman" w:hAnsi="Times New Roman" w:cs="Times New Roman"/>
        </w:rPr>
        <w:t xml:space="preserve"> </w:t>
      </w:r>
    </w:p>
    <w:p w14:paraId="68F66651" w14:textId="77777777" w:rsidR="00283A3E" w:rsidRPr="00D73D45" w:rsidRDefault="00283A3E" w:rsidP="00283A3E">
      <w:pPr>
        <w:rPr>
          <w:rFonts w:eastAsia="Times New Roman" w:cs="Times New Roman"/>
          <w:kern w:val="0"/>
          <w:lang w:eastAsia="en-GB"/>
          <w14:ligatures w14:val="none"/>
        </w:rPr>
      </w:pPr>
      <w:r w:rsidRPr="002D4301">
        <w:rPr>
          <w:rFonts w:ascii="Times New Roman" w:hAnsi="Times New Roman" w:cs="Times New Roman"/>
        </w:rPr>
        <w:t>It can be said that good numeracy is important due to the world becoming more technologically advanced (Craig and Guzmán, 2018) and so it is an essential skill needed to navigate the new digital age.</w:t>
      </w:r>
      <w:r>
        <w:rPr>
          <w:rFonts w:ascii="Times New Roman" w:hAnsi="Times New Roman" w:cs="Times New Roman"/>
        </w:rPr>
        <w:t xml:space="preserve"> This technological advancement has required educators to facilitate learning through connectivism, a relatively new theoretical approach that emphasises the role of technology and the internet in the learning process. The ability to find and filter information are key skills required in </w:t>
      </w:r>
      <w:r w:rsidRPr="00117CBE">
        <w:rPr>
          <w:rFonts w:ascii="Times New Roman" w:hAnsi="Times New Roman" w:cs="Times New Roman"/>
        </w:rPr>
        <w:t>connectivism (</w:t>
      </w:r>
      <w:r w:rsidRPr="008744F7">
        <w:rPr>
          <w:rFonts w:ascii="Times New Roman" w:eastAsia="Times New Roman" w:hAnsi="Times New Roman" w:cs="Times New Roman"/>
          <w:kern w:val="0"/>
          <w:lang w:eastAsia="en-GB"/>
          <w14:ligatures w14:val="none"/>
        </w:rPr>
        <w:t>Kop and Hill</w:t>
      </w:r>
      <w:r w:rsidRPr="00117CBE">
        <w:rPr>
          <w:rFonts w:ascii="Times New Roman" w:eastAsia="Times New Roman" w:hAnsi="Times New Roman" w:cs="Times New Roman"/>
          <w:kern w:val="0"/>
          <w:lang w:eastAsia="en-GB"/>
          <w14:ligatures w14:val="none"/>
        </w:rPr>
        <w:t>,</w:t>
      </w:r>
      <w:r w:rsidRPr="008744F7">
        <w:rPr>
          <w:rFonts w:ascii="Times New Roman" w:eastAsia="Times New Roman" w:hAnsi="Times New Roman" w:cs="Times New Roman"/>
          <w:kern w:val="0"/>
          <w:lang w:eastAsia="en-GB"/>
          <w14:ligatures w14:val="none"/>
        </w:rPr>
        <w:t xml:space="preserve"> </w:t>
      </w:r>
      <w:r w:rsidRPr="00117CBE">
        <w:rPr>
          <w:rFonts w:ascii="Times New Roman" w:eastAsia="Times New Roman" w:hAnsi="Times New Roman" w:cs="Times New Roman"/>
          <w:kern w:val="0"/>
          <w:lang w:eastAsia="en-GB"/>
          <w14:ligatures w14:val="none"/>
        </w:rPr>
        <w:t>2</w:t>
      </w:r>
      <w:r w:rsidRPr="008744F7">
        <w:rPr>
          <w:rFonts w:ascii="Times New Roman" w:eastAsia="Times New Roman" w:hAnsi="Times New Roman" w:cs="Times New Roman"/>
          <w:kern w:val="0"/>
          <w:lang w:eastAsia="en-GB"/>
          <w14:ligatures w14:val="none"/>
        </w:rPr>
        <w:t>008)</w:t>
      </w:r>
      <w:r>
        <w:rPr>
          <w:rFonts w:ascii="Times New Roman" w:eastAsia="Times New Roman" w:hAnsi="Times New Roman" w:cs="Times New Roman"/>
          <w:kern w:val="0"/>
          <w:lang w:eastAsia="en-GB"/>
          <w14:ligatures w14:val="none"/>
        </w:rPr>
        <w:t xml:space="preserve">. Therefore, the learner’s numerical ability to collect, record, analyse and interpret data is important, such learning requirements can be found in the 4 Strands of Numeracy Framework (Welsh Government, 2018). </w:t>
      </w:r>
      <w:r>
        <w:rPr>
          <w:rFonts w:ascii="Times New Roman" w:hAnsi="Times New Roman" w:cs="Times New Roman"/>
        </w:rPr>
        <w:t>Furthermore, it means that educators need to use technology and its applications to communicate key knowledge in areas such as numeracy and to perform numerical tasks where appropriate. Curriculum for Wales encourages learning and supports them to become resilient and confident individuals in transferable settings (Welsh Government, 2021). National Numeracy (2014) state that ninety percent of new graduate jobs require good numeracy due to the requirement of the digital skills therefore proving that good numeracy is essential for the learner and their future goals.</w:t>
      </w:r>
    </w:p>
    <w:p w14:paraId="4FC02258" w14:textId="77777777" w:rsidR="00283A3E" w:rsidRDefault="00283A3E" w:rsidP="00283A3E">
      <w:pPr>
        <w:rPr>
          <w:rFonts w:ascii="Times New Roman" w:hAnsi="Times New Roman" w:cs="Times New Roman"/>
        </w:rPr>
      </w:pPr>
      <w:r>
        <w:rPr>
          <w:rFonts w:ascii="Times New Roman" w:hAnsi="Times New Roman" w:cs="Times New Roman"/>
        </w:rPr>
        <w:t>Another factor to consider about why good numeracy is important is that it is a transferable skill that seeps into all aspects of the learner’s education, not just a mathematics lesson. UNICEF (2019) states that transferable skills can lead to personal, social and economic benefits and helps facilitate lifelong success for the learner. Numeracy can be linked to many areas of the curriculum and is a mandatory cross-curricular skill within the Welsh Curriculum (Welsh Government, 2023). Numeracy can be found in science in the form of measurements and data, it can be seen in geography through maps and statistics. In art, learning about symmetry and proportions and in music, counting times and beats. Thus, proving that numeracy is not just a mathematical skill but a vital skill for the leaner due to its connections to other subjects</w:t>
      </w:r>
      <w:r w:rsidRPr="00F77535">
        <w:rPr>
          <w:rFonts w:ascii="Times New Roman" w:hAnsi="Times New Roman" w:cs="Times New Roman"/>
        </w:rPr>
        <w:t>.</w:t>
      </w:r>
      <w:r>
        <w:rPr>
          <w:rFonts w:ascii="Times New Roman" w:hAnsi="Times New Roman" w:cs="Times New Roman"/>
        </w:rPr>
        <w:t xml:space="preserve"> </w:t>
      </w:r>
      <w:r w:rsidRPr="00EB153E">
        <w:rPr>
          <w:rFonts w:ascii="Times New Roman" w:hAnsi="Times New Roman" w:cs="Times New Roman"/>
        </w:rPr>
        <w:t>Fox</w:t>
      </w:r>
      <w:r w:rsidRPr="00F77535">
        <w:rPr>
          <w:rFonts w:ascii="Times New Roman" w:hAnsi="Times New Roman" w:cs="Times New Roman"/>
        </w:rPr>
        <w:t xml:space="preserve"> </w:t>
      </w:r>
      <w:r w:rsidRPr="00EB153E">
        <w:rPr>
          <w:rFonts w:ascii="Times New Roman" w:hAnsi="Times New Roman" w:cs="Times New Roman"/>
        </w:rPr>
        <w:t>and Surtees (2010)</w:t>
      </w:r>
      <w:r w:rsidRPr="00F77535">
        <w:rPr>
          <w:rFonts w:ascii="Times New Roman" w:hAnsi="Times New Roman" w:cs="Times New Roman"/>
        </w:rPr>
        <w:t xml:space="preserve"> suggest that </w:t>
      </w:r>
      <w:r>
        <w:rPr>
          <w:rFonts w:ascii="Times New Roman" w:hAnsi="Times New Roman" w:cs="Times New Roman"/>
        </w:rPr>
        <w:t>cross-curricular pedagogy</w:t>
      </w:r>
      <w:r w:rsidRPr="00F77535">
        <w:rPr>
          <w:rFonts w:ascii="Times New Roman" w:hAnsi="Times New Roman" w:cs="Times New Roman"/>
        </w:rPr>
        <w:t xml:space="preserve"> is beneficial to the </w:t>
      </w:r>
      <w:r w:rsidRPr="00640C49">
        <w:rPr>
          <w:rFonts w:ascii="Times New Roman" w:hAnsi="Times New Roman" w:cs="Times New Roman"/>
        </w:rPr>
        <w:t>learner to</w:t>
      </w:r>
      <w:r>
        <w:rPr>
          <w:rFonts w:ascii="Times New Roman" w:hAnsi="Times New Roman" w:cs="Times New Roman"/>
        </w:rPr>
        <w:t xml:space="preserve"> help </w:t>
      </w:r>
      <w:r w:rsidRPr="00640C49">
        <w:rPr>
          <w:rFonts w:ascii="Times New Roman" w:hAnsi="Times New Roman" w:cs="Times New Roman"/>
        </w:rPr>
        <w:t>develop their</w:t>
      </w:r>
      <w:r>
        <w:rPr>
          <w:rFonts w:ascii="Times New Roman" w:hAnsi="Times New Roman" w:cs="Times New Roman"/>
        </w:rPr>
        <w:t xml:space="preserve"> mathematical</w:t>
      </w:r>
      <w:r w:rsidRPr="00640C49">
        <w:rPr>
          <w:rFonts w:ascii="Times New Roman" w:hAnsi="Times New Roman" w:cs="Times New Roman"/>
        </w:rPr>
        <w:t xml:space="preserve"> ability</w:t>
      </w:r>
      <w:r>
        <w:rPr>
          <w:rFonts w:ascii="Times New Roman" w:hAnsi="Times New Roman" w:cs="Times New Roman"/>
        </w:rPr>
        <w:t xml:space="preserve"> and understanding in new situations, allowing the learning to develop problem solving skills</w:t>
      </w:r>
      <w:r w:rsidRPr="00EB153E">
        <w:rPr>
          <w:rFonts w:cs="Times New Roman"/>
        </w:rPr>
        <w:t>.</w:t>
      </w:r>
      <w:r>
        <w:rPr>
          <w:rFonts w:ascii="Times New Roman" w:hAnsi="Times New Roman" w:cs="Times New Roman"/>
        </w:rPr>
        <w:t xml:space="preserve"> It plays an integral part of the pupil’s daily school and personal life and equips them with the tools needed to achieve their full potential. Numeracy is a transferable skill in the learner’s life outside of education, for example: having the ability to understand time to ensure that they get the correct bus or being knowledgeable about money when going to the shop to buy sweets. This has been seen in the case of the mathematics and numeracy plan 2023 (Welsh Government, 2023) where feedback from students have showed an interest in learning about budgeting and becoming financially </w:t>
      </w:r>
      <w:r>
        <w:rPr>
          <w:rFonts w:ascii="Times New Roman" w:hAnsi="Times New Roman" w:cs="Times New Roman"/>
        </w:rPr>
        <w:lastRenderedPageBreak/>
        <w:t>literate. Problem solving skills allows the learner to become an informed and confident individual ready to lead a fulfilling life as a member of society.</w:t>
      </w:r>
    </w:p>
    <w:p w14:paraId="18F2598C" w14:textId="77777777" w:rsidR="00283A3E" w:rsidRDefault="00283A3E" w:rsidP="00283A3E">
      <w:pPr>
        <w:rPr>
          <w:rFonts w:ascii="Times New Roman" w:hAnsi="Times New Roman" w:cs="Times New Roman"/>
        </w:rPr>
      </w:pPr>
      <w:r>
        <w:rPr>
          <w:rFonts w:ascii="Times New Roman" w:hAnsi="Times New Roman" w:cs="Times New Roman"/>
        </w:rPr>
        <w:t xml:space="preserve">Additionally, good numeracy is important to help resolve the issue of inequality of learners from socio-economically disadvantaged backgrounds. Bates (2019) draws attention to the economic, social and cultural background of the learner and the need for the educator to facilitate learning that reflect the needs of the society, culture and community in which the learner lives. This will allow for learning that is transferable between school and home. According to PISA (2022) tackling financial literacy in learners with socio-economic difficulties can prevent poor financial choices later in life (OECD, 2024). Bronfenbrenner’s Ecological Systems Theory (EST) (1979) suggests that the educator should encourage parents to be a participate in the learner’s numeracy development, discussing money and encouraging the learner to participate in financial decisions, allows the learner to develop the skills needed. This can be seen in the case of Corneli Primary School who launched a school’s saving scheme in 2015, the school has seen an improvement in problem solving and critical skills and believes that most learners and families now have a better understanding of financial numeracy (Estyn, 2024). Thus, proving the importance of good numeracy, it is essential that learners and their families are numerically informed so that they can avoid financial difficulties further in life. </w:t>
      </w:r>
    </w:p>
    <w:p w14:paraId="2461FF97" w14:textId="15BBB3ED" w:rsidR="00283A3E" w:rsidRDefault="00283A3E" w:rsidP="00283A3E">
      <w:pPr>
        <w:rPr>
          <w:rFonts w:ascii="Times New Roman" w:hAnsi="Times New Roman" w:cs="Times New Roman"/>
        </w:rPr>
      </w:pPr>
      <w:r>
        <w:rPr>
          <w:rFonts w:ascii="Times New Roman" w:hAnsi="Times New Roman" w:cs="Times New Roman"/>
        </w:rPr>
        <w:t>In summary, this</w:t>
      </w:r>
      <w:r w:rsidRPr="008B62D7">
        <w:rPr>
          <w:rFonts w:ascii="Times New Roman" w:hAnsi="Times New Roman" w:cs="Times New Roman"/>
        </w:rPr>
        <w:t xml:space="preserve"> essay </w:t>
      </w:r>
      <w:r>
        <w:rPr>
          <w:rFonts w:ascii="Times New Roman" w:hAnsi="Times New Roman" w:cs="Times New Roman"/>
        </w:rPr>
        <w:t>has</w:t>
      </w:r>
      <w:r w:rsidRPr="008B62D7">
        <w:rPr>
          <w:rFonts w:ascii="Times New Roman" w:hAnsi="Times New Roman" w:cs="Times New Roman"/>
        </w:rPr>
        <w:t xml:space="preserve"> </w:t>
      </w:r>
      <w:r>
        <w:rPr>
          <w:rFonts w:ascii="Times New Roman" w:hAnsi="Times New Roman" w:cs="Times New Roman"/>
        </w:rPr>
        <w:t xml:space="preserve">attempted to briefly </w:t>
      </w:r>
      <w:r w:rsidRPr="008B62D7">
        <w:rPr>
          <w:rFonts w:ascii="Times New Roman" w:hAnsi="Times New Roman" w:cs="Times New Roman"/>
        </w:rPr>
        <w:t>inform you why good numeracy is important</w:t>
      </w:r>
      <w:r>
        <w:rPr>
          <w:rFonts w:ascii="Times New Roman" w:hAnsi="Times New Roman" w:cs="Times New Roman"/>
        </w:rPr>
        <w:t xml:space="preserve"> and how it is facilitated in a school setting</w:t>
      </w:r>
      <w:r w:rsidRPr="008B62D7">
        <w:rPr>
          <w:rFonts w:ascii="Times New Roman" w:hAnsi="Times New Roman" w:cs="Times New Roman"/>
        </w:rPr>
        <w:t xml:space="preserve">. It </w:t>
      </w:r>
      <w:r>
        <w:rPr>
          <w:rFonts w:ascii="Times New Roman" w:hAnsi="Times New Roman" w:cs="Times New Roman"/>
        </w:rPr>
        <w:t>has</w:t>
      </w:r>
      <w:r w:rsidRPr="008B62D7">
        <w:rPr>
          <w:rFonts w:ascii="Times New Roman" w:hAnsi="Times New Roman" w:cs="Times New Roman"/>
        </w:rPr>
        <w:t xml:space="preserve"> critically analyse</w:t>
      </w:r>
      <w:r>
        <w:rPr>
          <w:rFonts w:ascii="Times New Roman" w:hAnsi="Times New Roman" w:cs="Times New Roman"/>
        </w:rPr>
        <w:t>d</w:t>
      </w:r>
      <w:r w:rsidRPr="008B62D7">
        <w:rPr>
          <w:rFonts w:ascii="Times New Roman" w:hAnsi="Times New Roman" w:cs="Times New Roman"/>
        </w:rPr>
        <w:t xml:space="preserve"> theoretical perspectives and key trends in numeracy strategies in education</w:t>
      </w:r>
      <w:r>
        <w:rPr>
          <w:rFonts w:ascii="Times New Roman" w:hAnsi="Times New Roman" w:cs="Times New Roman"/>
        </w:rPr>
        <w:t xml:space="preserve"> and</w:t>
      </w:r>
      <w:r w:rsidRPr="008B62D7">
        <w:rPr>
          <w:rFonts w:ascii="Times New Roman" w:hAnsi="Times New Roman" w:cs="Times New Roman"/>
        </w:rPr>
        <w:t xml:space="preserve"> </w:t>
      </w:r>
      <w:r>
        <w:rPr>
          <w:rFonts w:ascii="Times New Roman" w:hAnsi="Times New Roman" w:cs="Times New Roman"/>
        </w:rPr>
        <w:t>has</w:t>
      </w:r>
      <w:r w:rsidRPr="008B62D7">
        <w:rPr>
          <w:rFonts w:ascii="Times New Roman" w:hAnsi="Times New Roman" w:cs="Times New Roman"/>
        </w:rPr>
        <w:t xml:space="preserve"> evaluate</w:t>
      </w:r>
      <w:r>
        <w:rPr>
          <w:rFonts w:ascii="Times New Roman" w:hAnsi="Times New Roman" w:cs="Times New Roman"/>
        </w:rPr>
        <w:t>d</w:t>
      </w:r>
      <w:r w:rsidRPr="008B62D7">
        <w:rPr>
          <w:rFonts w:ascii="Times New Roman" w:hAnsi="Times New Roman" w:cs="Times New Roman"/>
        </w:rPr>
        <w:t xml:space="preserve"> links between numeracy and other curriculum</w:t>
      </w:r>
      <w:r>
        <w:rPr>
          <w:rFonts w:ascii="Times New Roman" w:hAnsi="Times New Roman" w:cs="Times New Roman"/>
        </w:rPr>
        <w:t>.</w:t>
      </w:r>
      <w:r w:rsidRPr="008B62D7">
        <w:rPr>
          <w:rFonts w:ascii="Times New Roman" w:hAnsi="Times New Roman" w:cs="Times New Roman"/>
        </w:rPr>
        <w:t xml:space="preserve"> </w:t>
      </w:r>
      <w:r>
        <w:rPr>
          <w:rFonts w:ascii="Times New Roman" w:hAnsi="Times New Roman" w:cs="Times New Roman"/>
        </w:rPr>
        <w:t xml:space="preserve">Good numeracy is not just about the ability to do mathematical arithmetic but is about the ability to use the skills in a transferable manner in everyday life. Good numeracy is important to ensure that learners can make numerically informed decisions and have the capacity to critically think, and problem solve. Furthermore, being numerically efficient can lead to confidence and a promote self- sufficiency and help promote to wellbeing of the economy. </w:t>
      </w:r>
    </w:p>
    <w:p w14:paraId="29A20732" w14:textId="77777777" w:rsidR="00283A3E" w:rsidRDefault="00283A3E" w:rsidP="00283A3E">
      <w:pPr>
        <w:jc w:val="center"/>
        <w:rPr>
          <w:sz w:val="32"/>
          <w:szCs w:val="32"/>
        </w:rPr>
      </w:pPr>
    </w:p>
    <w:p w14:paraId="1E069176" w14:textId="77777777" w:rsidR="00283A3E" w:rsidRDefault="00283A3E" w:rsidP="00283A3E">
      <w:pPr>
        <w:jc w:val="center"/>
        <w:rPr>
          <w:sz w:val="32"/>
          <w:szCs w:val="32"/>
        </w:rPr>
      </w:pPr>
    </w:p>
    <w:p w14:paraId="53436B7D" w14:textId="77777777" w:rsidR="00283A3E" w:rsidRDefault="00283A3E" w:rsidP="00283A3E">
      <w:pPr>
        <w:jc w:val="center"/>
        <w:rPr>
          <w:sz w:val="32"/>
          <w:szCs w:val="32"/>
        </w:rPr>
      </w:pPr>
    </w:p>
    <w:p w14:paraId="22563902" w14:textId="77777777" w:rsidR="00283A3E" w:rsidRDefault="00283A3E" w:rsidP="00283A3E">
      <w:pPr>
        <w:jc w:val="center"/>
        <w:rPr>
          <w:sz w:val="32"/>
          <w:szCs w:val="32"/>
        </w:rPr>
      </w:pPr>
    </w:p>
    <w:p w14:paraId="0424C015" w14:textId="77777777" w:rsidR="00283A3E" w:rsidRDefault="00283A3E" w:rsidP="00283A3E">
      <w:pPr>
        <w:jc w:val="center"/>
        <w:rPr>
          <w:sz w:val="32"/>
          <w:szCs w:val="32"/>
        </w:rPr>
      </w:pPr>
    </w:p>
    <w:p w14:paraId="69BDD3D8" w14:textId="77777777" w:rsidR="00283A3E" w:rsidRDefault="00283A3E" w:rsidP="00283A3E">
      <w:pPr>
        <w:jc w:val="center"/>
        <w:rPr>
          <w:sz w:val="32"/>
          <w:szCs w:val="32"/>
        </w:rPr>
      </w:pPr>
    </w:p>
    <w:p w14:paraId="5A0A18FD" w14:textId="77777777" w:rsidR="00283A3E" w:rsidRDefault="00283A3E" w:rsidP="00283A3E">
      <w:pPr>
        <w:rPr>
          <w:sz w:val="32"/>
          <w:szCs w:val="32"/>
        </w:rPr>
      </w:pPr>
    </w:p>
    <w:p w14:paraId="1CBACF32" w14:textId="77777777" w:rsidR="00347124" w:rsidRDefault="00347124" w:rsidP="00283A3E">
      <w:pPr>
        <w:rPr>
          <w:sz w:val="32"/>
          <w:szCs w:val="32"/>
        </w:rPr>
      </w:pPr>
    </w:p>
    <w:p w14:paraId="175582A1" w14:textId="70EC14F8" w:rsidR="00347124" w:rsidRPr="00B76E4F" w:rsidRDefault="00347124" w:rsidP="00347124">
      <w:pPr>
        <w:jc w:val="center"/>
        <w:rPr>
          <w:rFonts w:ascii="Times New Roman" w:hAnsi="Times New Roman" w:cs="Times New Roman"/>
        </w:rPr>
      </w:pPr>
      <w:r>
        <w:rPr>
          <w:rFonts w:ascii="Times New Roman" w:hAnsi="Times New Roman" w:cs="Times New Roman"/>
        </w:rPr>
        <w:lastRenderedPageBreak/>
        <w:t>Element 1: References</w:t>
      </w:r>
    </w:p>
    <w:p w14:paraId="468109FE" w14:textId="77777777" w:rsidR="00347124" w:rsidRPr="00B76E4F" w:rsidRDefault="00347124" w:rsidP="00347124">
      <w:pPr>
        <w:jc w:val="center"/>
        <w:rPr>
          <w:rFonts w:ascii="Times New Roman" w:hAnsi="Times New Roman" w:cs="Times New Roman"/>
        </w:rPr>
      </w:pPr>
    </w:p>
    <w:p w14:paraId="5F693541" w14:textId="77777777" w:rsidR="00347124" w:rsidRPr="00DD7BE3" w:rsidRDefault="00347124" w:rsidP="00347124">
      <w:pPr>
        <w:spacing w:line="360" w:lineRule="auto"/>
        <w:rPr>
          <w:rFonts w:ascii="Times New Roman" w:hAnsi="Times New Roman" w:cs="Times New Roman"/>
        </w:rPr>
      </w:pPr>
      <w:r w:rsidRPr="00DD7BE3">
        <w:rPr>
          <w:rFonts w:ascii="Times New Roman" w:hAnsi="Times New Roman" w:cs="Times New Roman"/>
        </w:rPr>
        <w:t xml:space="preserve">Bates, B. (2019). </w:t>
      </w:r>
      <w:r w:rsidRPr="00DD7BE3">
        <w:rPr>
          <w:rFonts w:ascii="Times New Roman" w:hAnsi="Times New Roman" w:cs="Times New Roman"/>
          <w:i/>
          <w:iCs/>
        </w:rPr>
        <w:t>Learning Theories Simplified</w:t>
      </w:r>
      <w:r w:rsidRPr="00DD7BE3">
        <w:rPr>
          <w:rFonts w:ascii="Times New Roman" w:hAnsi="Times New Roman" w:cs="Times New Roman"/>
        </w:rPr>
        <w:t>. London: Sage Publishing.</w:t>
      </w:r>
    </w:p>
    <w:p w14:paraId="622CF29A" w14:textId="77777777" w:rsidR="00347124" w:rsidRPr="00B76E4F" w:rsidRDefault="00347124" w:rsidP="00347124">
      <w:pPr>
        <w:spacing w:line="360" w:lineRule="auto"/>
        <w:rPr>
          <w:rFonts w:ascii="Times New Roman" w:hAnsi="Times New Roman" w:cs="Times New Roman"/>
        </w:rPr>
      </w:pPr>
      <w:r w:rsidRPr="00B76E4F">
        <w:rPr>
          <w:rFonts w:ascii="Times New Roman" w:hAnsi="Times New Roman" w:cs="Times New Roman"/>
        </w:rPr>
        <w:t xml:space="preserve">Bronfenbrenner, U. (1979). </w:t>
      </w:r>
      <w:r w:rsidRPr="00B76E4F">
        <w:rPr>
          <w:rFonts w:ascii="Times New Roman" w:hAnsi="Times New Roman" w:cs="Times New Roman"/>
          <w:i/>
          <w:iCs/>
        </w:rPr>
        <w:t>The Ecology of Human Development.</w:t>
      </w:r>
      <w:r w:rsidRPr="00B76E4F">
        <w:rPr>
          <w:rFonts w:ascii="Times New Roman" w:hAnsi="Times New Roman" w:cs="Times New Roman"/>
        </w:rPr>
        <w:t xml:space="preserve"> Cambridge, MA: Harvard University Press.</w:t>
      </w:r>
    </w:p>
    <w:p w14:paraId="7163DEAD" w14:textId="77777777" w:rsidR="00347124" w:rsidRPr="00B76E4F" w:rsidRDefault="00347124" w:rsidP="00347124">
      <w:pPr>
        <w:spacing w:line="360" w:lineRule="auto"/>
        <w:rPr>
          <w:rFonts w:ascii="Times New Roman" w:hAnsi="Times New Roman" w:cs="Times New Roman"/>
        </w:rPr>
      </w:pPr>
      <w:r w:rsidRPr="00B76E4F">
        <w:rPr>
          <w:rFonts w:ascii="Times New Roman" w:hAnsi="Times New Roman" w:cs="Times New Roman"/>
        </w:rPr>
        <w:t>Castaneda Valle, R. (2024), “The triangle of lifelong learning: Strategies, motivation, and self-belief”, </w:t>
      </w:r>
      <w:r w:rsidRPr="00B76E4F">
        <w:rPr>
          <w:rFonts w:ascii="Times New Roman" w:hAnsi="Times New Roman" w:cs="Times New Roman"/>
          <w:i/>
          <w:iCs/>
        </w:rPr>
        <w:t>PISA in Focus</w:t>
      </w:r>
      <w:r w:rsidRPr="00B76E4F">
        <w:rPr>
          <w:rFonts w:ascii="Times New Roman" w:hAnsi="Times New Roman" w:cs="Times New Roman"/>
        </w:rPr>
        <w:t>, No. 128, OECD Publishing,</w:t>
      </w:r>
      <w:r>
        <w:rPr>
          <w:rFonts w:ascii="Times New Roman" w:hAnsi="Times New Roman" w:cs="Times New Roman"/>
        </w:rPr>
        <w:t xml:space="preserve"> </w:t>
      </w:r>
      <w:r w:rsidRPr="00B76E4F">
        <w:rPr>
          <w:rFonts w:ascii="Times New Roman" w:hAnsi="Times New Roman" w:cs="Times New Roman"/>
        </w:rPr>
        <w:t>Paris, </w:t>
      </w:r>
      <w:hyperlink r:id="rId7" w:history="1">
        <w:r w:rsidRPr="00513E4B">
          <w:rPr>
            <w:rStyle w:val="Hyperlink"/>
            <w:rFonts w:ascii="Times New Roman" w:hAnsi="Times New Roman" w:cs="Times New Roman"/>
          </w:rPr>
          <w:t>https://doi.org/10.1787/45ec682f-en</w:t>
        </w:r>
      </w:hyperlink>
      <w:r w:rsidRPr="00B76E4F">
        <w:rPr>
          <w:rFonts w:ascii="Times New Roman" w:hAnsi="Times New Roman" w:cs="Times New Roman"/>
        </w:rPr>
        <w:t>. (Accessed: 27</w:t>
      </w:r>
      <w:r w:rsidRPr="00B76E4F">
        <w:rPr>
          <w:rFonts w:ascii="Times New Roman" w:hAnsi="Times New Roman" w:cs="Times New Roman"/>
          <w:vertAlign w:val="superscript"/>
        </w:rPr>
        <w:t>th</w:t>
      </w:r>
      <w:r w:rsidRPr="00B76E4F">
        <w:rPr>
          <w:rFonts w:ascii="Times New Roman" w:hAnsi="Times New Roman" w:cs="Times New Roman"/>
        </w:rPr>
        <w:t xml:space="preserve"> February 2025).</w:t>
      </w:r>
    </w:p>
    <w:p w14:paraId="1F627FCC" w14:textId="77777777" w:rsidR="00347124" w:rsidRPr="00B76E4F" w:rsidRDefault="00347124" w:rsidP="00347124">
      <w:pPr>
        <w:spacing w:line="360" w:lineRule="auto"/>
        <w:rPr>
          <w:rFonts w:ascii="Times New Roman" w:hAnsi="Times New Roman" w:cs="Times New Roman"/>
        </w:rPr>
      </w:pPr>
      <w:r w:rsidRPr="00B76E4F">
        <w:rPr>
          <w:rFonts w:ascii="Times New Roman" w:hAnsi="Times New Roman" w:cs="Times New Roman"/>
        </w:rPr>
        <w:t xml:space="preserve">Craig, J. &amp; Guzmán, L. (2018). </w:t>
      </w:r>
      <w:r>
        <w:rPr>
          <w:rFonts w:ascii="Times New Roman" w:hAnsi="Times New Roman" w:cs="Times New Roman"/>
        </w:rPr>
        <w:t>‘</w:t>
      </w:r>
      <w:r w:rsidRPr="00B76E4F">
        <w:rPr>
          <w:rFonts w:ascii="Times New Roman" w:hAnsi="Times New Roman" w:cs="Times New Roman"/>
        </w:rPr>
        <w:t>Six Propositions of a Social Theory of Numeracy: Interpreting an Influential Theory of Literacy</w:t>
      </w:r>
      <w:r>
        <w:rPr>
          <w:rFonts w:ascii="Times New Roman" w:hAnsi="Times New Roman" w:cs="Times New Roman"/>
        </w:rPr>
        <w:t>’</w:t>
      </w:r>
      <w:r w:rsidRPr="00B76E4F">
        <w:rPr>
          <w:rFonts w:ascii="Times New Roman" w:hAnsi="Times New Roman" w:cs="Times New Roman"/>
        </w:rPr>
        <w:t xml:space="preserve">. </w:t>
      </w:r>
      <w:r w:rsidRPr="007F7FFC">
        <w:rPr>
          <w:rFonts w:ascii="Times New Roman" w:hAnsi="Times New Roman" w:cs="Times New Roman"/>
          <w:i/>
          <w:iCs/>
        </w:rPr>
        <w:t>Numeracy: Advancing Education in Quantitative Literacy</w:t>
      </w:r>
      <w:r w:rsidRPr="00B76E4F">
        <w:rPr>
          <w:rFonts w:ascii="Times New Roman" w:hAnsi="Times New Roman" w:cs="Times New Roman"/>
        </w:rPr>
        <w:t xml:space="preserve">. (2), 1–26. doi:10.5038/1936-4660.11.2.2. </w:t>
      </w:r>
    </w:p>
    <w:p w14:paraId="20CD6CC9" w14:textId="77777777" w:rsidR="00347124" w:rsidRPr="00B76E4F" w:rsidRDefault="00347124" w:rsidP="00347124">
      <w:pPr>
        <w:spacing w:line="360" w:lineRule="auto"/>
        <w:rPr>
          <w:rFonts w:ascii="Times New Roman" w:hAnsi="Times New Roman" w:cs="Times New Roman"/>
        </w:rPr>
      </w:pPr>
      <w:r w:rsidRPr="009825A2">
        <w:rPr>
          <w:rFonts w:ascii="Times New Roman" w:hAnsi="Times New Roman" w:cs="Times New Roman"/>
        </w:rPr>
        <w:t>Estyn</w:t>
      </w:r>
      <w:r w:rsidRPr="00B76E4F">
        <w:rPr>
          <w:rFonts w:ascii="Times New Roman" w:hAnsi="Times New Roman" w:cs="Times New Roman"/>
        </w:rPr>
        <w:t>.</w:t>
      </w:r>
      <w:r w:rsidRPr="009825A2">
        <w:rPr>
          <w:rFonts w:ascii="Times New Roman" w:hAnsi="Times New Roman" w:cs="Times New Roman"/>
        </w:rPr>
        <w:t xml:space="preserve"> (2024). </w:t>
      </w:r>
      <w:r w:rsidRPr="009825A2">
        <w:rPr>
          <w:rFonts w:ascii="Times New Roman" w:hAnsi="Times New Roman" w:cs="Times New Roman"/>
          <w:i/>
          <w:iCs/>
        </w:rPr>
        <w:t>Supporting pupils and families to develop positive financial literacy skills</w:t>
      </w:r>
      <w:r w:rsidRPr="009825A2">
        <w:rPr>
          <w:rFonts w:ascii="Times New Roman" w:hAnsi="Times New Roman" w:cs="Times New Roman"/>
        </w:rPr>
        <w:t>. [</w:t>
      </w:r>
      <w:r w:rsidRPr="00B76E4F">
        <w:rPr>
          <w:rFonts w:ascii="Times New Roman" w:hAnsi="Times New Roman" w:cs="Times New Roman"/>
        </w:rPr>
        <w:t>O</w:t>
      </w:r>
      <w:r w:rsidRPr="009825A2">
        <w:rPr>
          <w:rFonts w:ascii="Times New Roman" w:hAnsi="Times New Roman" w:cs="Times New Roman"/>
        </w:rPr>
        <w:t xml:space="preserve">nline]. Available at: </w:t>
      </w:r>
      <w:hyperlink r:id="rId8" w:history="1">
        <w:r w:rsidRPr="009825A2">
          <w:rPr>
            <w:rStyle w:val="Hyperlink"/>
            <w:rFonts w:ascii="Times New Roman" w:hAnsi="Times New Roman" w:cs="Times New Roman"/>
          </w:rPr>
          <w:t>https://estyn.gov.wales/improvement-resources/supporting-pupils-and-families-to-develop-positive-financial-literacy-skills/</w:t>
        </w:r>
      </w:hyperlink>
      <w:r w:rsidRPr="00B76E4F">
        <w:rPr>
          <w:rFonts w:ascii="Times New Roman" w:hAnsi="Times New Roman" w:cs="Times New Roman"/>
        </w:rPr>
        <w:t>. (Accessed: 27</w:t>
      </w:r>
      <w:r w:rsidRPr="00B76E4F">
        <w:rPr>
          <w:rFonts w:ascii="Times New Roman" w:hAnsi="Times New Roman" w:cs="Times New Roman"/>
          <w:vertAlign w:val="superscript"/>
        </w:rPr>
        <w:t>th</w:t>
      </w:r>
      <w:r w:rsidRPr="00B76E4F">
        <w:rPr>
          <w:rFonts w:ascii="Times New Roman" w:hAnsi="Times New Roman" w:cs="Times New Roman"/>
        </w:rPr>
        <w:t xml:space="preserve"> February 2025).</w:t>
      </w:r>
    </w:p>
    <w:p w14:paraId="03D30CED" w14:textId="77777777" w:rsidR="00347124" w:rsidRPr="00B76E4F" w:rsidRDefault="00347124" w:rsidP="00347124">
      <w:pPr>
        <w:spacing w:line="360" w:lineRule="auto"/>
        <w:rPr>
          <w:rFonts w:ascii="Times New Roman" w:hAnsi="Times New Roman" w:cs="Times New Roman"/>
        </w:rPr>
      </w:pPr>
      <w:r w:rsidRPr="00B76E4F">
        <w:rPr>
          <w:rFonts w:ascii="Times New Roman" w:hAnsi="Times New Roman" w:cs="Times New Roman"/>
        </w:rPr>
        <w:t xml:space="preserve">Fox, S. and Surtees, L. (2010). </w:t>
      </w:r>
      <w:r w:rsidRPr="00B76E4F">
        <w:rPr>
          <w:rFonts w:ascii="Times New Roman" w:hAnsi="Times New Roman" w:cs="Times New Roman"/>
          <w:i/>
          <w:iCs/>
        </w:rPr>
        <w:t>Mathematics across the curriculum: problem-solving, reasoning, and numeracy in primary schools</w:t>
      </w:r>
      <w:r w:rsidRPr="00B76E4F">
        <w:rPr>
          <w:rFonts w:ascii="Times New Roman" w:hAnsi="Times New Roman" w:cs="Times New Roman"/>
        </w:rPr>
        <w:t>. London; New York, Ny: Continuum International Pub. Group.</w:t>
      </w:r>
    </w:p>
    <w:p w14:paraId="52A39286" w14:textId="77777777" w:rsidR="00347124" w:rsidRPr="00B76E4F" w:rsidRDefault="00347124" w:rsidP="00347124">
      <w:pPr>
        <w:rPr>
          <w:rFonts w:ascii="Times New Roman" w:eastAsia="Times New Roman" w:hAnsi="Times New Roman" w:cs="Times New Roman"/>
          <w:kern w:val="0"/>
          <w:lang w:eastAsia="en-GB"/>
          <w14:ligatures w14:val="none"/>
        </w:rPr>
      </w:pPr>
      <w:r w:rsidRPr="00B76E4F">
        <w:rPr>
          <w:rFonts w:ascii="Times New Roman" w:eastAsia="Times New Roman" w:hAnsi="Times New Roman" w:cs="Times New Roman"/>
          <w:kern w:val="0"/>
          <w:lang w:eastAsia="en-GB"/>
          <w14:ligatures w14:val="none"/>
        </w:rPr>
        <w:t xml:space="preserve">Kop, R. and Hill, A. (2008). </w:t>
      </w:r>
      <w:r>
        <w:rPr>
          <w:rFonts w:ascii="Times New Roman" w:eastAsia="Times New Roman" w:hAnsi="Times New Roman" w:cs="Times New Roman"/>
          <w:kern w:val="0"/>
          <w:lang w:eastAsia="en-GB"/>
          <w14:ligatures w14:val="none"/>
        </w:rPr>
        <w:t>‘</w:t>
      </w:r>
      <w:r w:rsidRPr="00B76E4F">
        <w:rPr>
          <w:rFonts w:ascii="Times New Roman" w:eastAsia="Times New Roman" w:hAnsi="Times New Roman" w:cs="Times New Roman"/>
          <w:kern w:val="0"/>
          <w:lang w:eastAsia="en-GB"/>
          <w14:ligatures w14:val="none"/>
        </w:rPr>
        <w:t>Connectivism: Learning theory of the future or vestige of the past?</w:t>
      </w:r>
      <w:r>
        <w:rPr>
          <w:rFonts w:ascii="Times New Roman" w:eastAsia="Times New Roman" w:hAnsi="Times New Roman" w:cs="Times New Roman"/>
          <w:kern w:val="0"/>
          <w:lang w:eastAsia="en-GB"/>
          <w14:ligatures w14:val="none"/>
        </w:rPr>
        <w:t>’</w:t>
      </w:r>
      <w:r w:rsidRPr="00B76E4F">
        <w:rPr>
          <w:rFonts w:ascii="Times New Roman" w:eastAsia="Times New Roman" w:hAnsi="Times New Roman" w:cs="Times New Roman"/>
          <w:kern w:val="0"/>
          <w:lang w:eastAsia="en-GB"/>
          <w14:ligatures w14:val="none"/>
        </w:rPr>
        <w:t xml:space="preserve"> </w:t>
      </w:r>
      <w:r w:rsidRPr="00B76E4F">
        <w:rPr>
          <w:rFonts w:ascii="Times New Roman" w:eastAsia="Times New Roman" w:hAnsi="Times New Roman" w:cs="Times New Roman"/>
          <w:i/>
          <w:iCs/>
          <w:kern w:val="0"/>
          <w:lang w:eastAsia="en-GB"/>
          <w14:ligatures w14:val="none"/>
        </w:rPr>
        <w:t>The International Review of Research in Open and Distributed Learning</w:t>
      </w:r>
      <w:r w:rsidRPr="00B76E4F">
        <w:rPr>
          <w:rFonts w:ascii="Times New Roman" w:eastAsia="Times New Roman" w:hAnsi="Times New Roman" w:cs="Times New Roman"/>
          <w:kern w:val="0"/>
          <w:lang w:eastAsia="en-GB"/>
          <w14:ligatures w14:val="none"/>
        </w:rPr>
        <w:t>, 9(3), pp.1–13. doi:https://doi.org/10.19173/irrodl.v9i3.523. (Accessed: 25</w:t>
      </w:r>
      <w:r w:rsidRPr="00B76E4F">
        <w:rPr>
          <w:rFonts w:ascii="Times New Roman" w:eastAsia="Times New Roman" w:hAnsi="Times New Roman" w:cs="Times New Roman"/>
          <w:kern w:val="0"/>
          <w:vertAlign w:val="superscript"/>
          <w:lang w:eastAsia="en-GB"/>
          <w14:ligatures w14:val="none"/>
        </w:rPr>
        <w:t>th</w:t>
      </w:r>
      <w:r w:rsidRPr="00B76E4F">
        <w:rPr>
          <w:rFonts w:ascii="Times New Roman" w:eastAsia="Times New Roman" w:hAnsi="Times New Roman" w:cs="Times New Roman"/>
          <w:kern w:val="0"/>
          <w:lang w:eastAsia="en-GB"/>
          <w14:ligatures w14:val="none"/>
        </w:rPr>
        <w:t xml:space="preserve"> Febuary 2025).</w:t>
      </w:r>
    </w:p>
    <w:p w14:paraId="683901E2" w14:textId="77777777" w:rsidR="00347124" w:rsidRPr="00B76E4F" w:rsidRDefault="00347124" w:rsidP="00347124">
      <w:pPr>
        <w:rPr>
          <w:rFonts w:ascii="Times New Roman" w:hAnsi="Times New Roman" w:cs="Times New Roman"/>
        </w:rPr>
      </w:pPr>
      <w:r w:rsidRPr="00B76E4F">
        <w:rPr>
          <w:rFonts w:ascii="Times New Roman" w:hAnsi="Times New Roman" w:cs="Times New Roman"/>
        </w:rPr>
        <w:t xml:space="preserve">National Numeracy. (2014). </w:t>
      </w:r>
      <w:r w:rsidRPr="00B76E4F">
        <w:rPr>
          <w:rFonts w:ascii="Times New Roman" w:hAnsi="Times New Roman" w:cs="Times New Roman"/>
          <w:i/>
          <w:iCs/>
        </w:rPr>
        <w:t>Why is numeracy important | National Numeracy</w:t>
      </w:r>
      <w:r w:rsidRPr="00B76E4F">
        <w:rPr>
          <w:rFonts w:ascii="Times New Roman" w:hAnsi="Times New Roman" w:cs="Times New Roman"/>
        </w:rPr>
        <w:t xml:space="preserve">. [Online]. Available at: </w:t>
      </w:r>
      <w:hyperlink r:id="rId9" w:history="1">
        <w:r w:rsidRPr="00B76E4F">
          <w:rPr>
            <w:rStyle w:val="Hyperlink"/>
            <w:rFonts w:ascii="Times New Roman" w:hAnsi="Times New Roman" w:cs="Times New Roman"/>
          </w:rPr>
          <w:t>https://www.nationalnumeracy.org.uk/what-numeracy/why-numeracy-important</w:t>
        </w:r>
      </w:hyperlink>
      <w:r w:rsidRPr="00B76E4F">
        <w:rPr>
          <w:rFonts w:ascii="Times New Roman" w:hAnsi="Times New Roman" w:cs="Times New Roman"/>
        </w:rPr>
        <w:t>. (Accessed: 22</w:t>
      </w:r>
      <w:r w:rsidRPr="00B76E4F">
        <w:rPr>
          <w:rFonts w:ascii="Times New Roman" w:hAnsi="Times New Roman" w:cs="Times New Roman"/>
          <w:vertAlign w:val="superscript"/>
        </w:rPr>
        <w:t>nd</w:t>
      </w:r>
      <w:r w:rsidRPr="00B76E4F">
        <w:rPr>
          <w:rFonts w:ascii="Times New Roman" w:hAnsi="Times New Roman" w:cs="Times New Roman"/>
        </w:rPr>
        <w:t xml:space="preserve"> February 2025).</w:t>
      </w:r>
    </w:p>
    <w:p w14:paraId="6E0A27D2" w14:textId="77777777" w:rsidR="00347124" w:rsidRPr="00B76E4F" w:rsidRDefault="00347124" w:rsidP="00347124">
      <w:pPr>
        <w:rPr>
          <w:rFonts w:ascii="Times New Roman" w:eastAsia="Times New Roman" w:hAnsi="Times New Roman" w:cs="Times New Roman"/>
          <w:kern w:val="0"/>
          <w:lang w:eastAsia="en-GB"/>
          <w14:ligatures w14:val="none"/>
        </w:rPr>
      </w:pPr>
      <w:r w:rsidRPr="00B76E4F">
        <w:rPr>
          <w:rFonts w:ascii="Times New Roman" w:eastAsia="Times New Roman" w:hAnsi="Times New Roman" w:cs="Times New Roman"/>
          <w:kern w:val="0"/>
          <w:lang w:eastAsia="en-GB"/>
          <w14:ligatures w14:val="none"/>
        </w:rPr>
        <w:t>OECD (2024), “Shaping students' financial literacy: The role of parents and socio-economic backgrounds”, </w:t>
      </w:r>
      <w:r w:rsidRPr="00B76E4F">
        <w:rPr>
          <w:rFonts w:ascii="Times New Roman" w:eastAsia="Times New Roman" w:hAnsi="Times New Roman" w:cs="Times New Roman"/>
          <w:i/>
          <w:iCs/>
          <w:kern w:val="0"/>
          <w:lang w:eastAsia="en-GB"/>
          <w14:ligatures w14:val="none"/>
        </w:rPr>
        <w:t>PISA in Focus</w:t>
      </w:r>
      <w:r w:rsidRPr="00B76E4F">
        <w:rPr>
          <w:rFonts w:ascii="Times New Roman" w:eastAsia="Times New Roman" w:hAnsi="Times New Roman" w:cs="Times New Roman"/>
          <w:kern w:val="0"/>
          <w:lang w:eastAsia="en-GB"/>
          <w14:ligatures w14:val="none"/>
        </w:rPr>
        <w:t>, No. 126, OECD Publishing, Paris, </w:t>
      </w:r>
      <w:hyperlink r:id="rId10" w:history="1">
        <w:r w:rsidRPr="00B76E4F">
          <w:rPr>
            <w:rStyle w:val="Hyperlink"/>
            <w:rFonts w:ascii="Times New Roman" w:eastAsia="Times New Roman" w:hAnsi="Times New Roman" w:cs="Times New Roman"/>
            <w:kern w:val="0"/>
            <w:lang w:eastAsia="en-GB"/>
            <w14:ligatures w14:val="none"/>
          </w:rPr>
          <w:t>https://doi.org/10.1787/c3f3dc74-en</w:t>
        </w:r>
      </w:hyperlink>
      <w:r w:rsidRPr="00B76E4F">
        <w:rPr>
          <w:rFonts w:ascii="Times New Roman" w:eastAsia="Times New Roman" w:hAnsi="Times New Roman" w:cs="Times New Roman"/>
          <w:kern w:val="0"/>
          <w:lang w:eastAsia="en-GB"/>
          <w14:ligatures w14:val="none"/>
        </w:rPr>
        <w:t>. (Accessed: 28</w:t>
      </w:r>
      <w:r w:rsidRPr="00B76E4F">
        <w:rPr>
          <w:rFonts w:ascii="Times New Roman" w:eastAsia="Times New Roman" w:hAnsi="Times New Roman" w:cs="Times New Roman"/>
          <w:kern w:val="0"/>
          <w:vertAlign w:val="superscript"/>
          <w:lang w:eastAsia="en-GB"/>
          <w14:ligatures w14:val="none"/>
        </w:rPr>
        <w:t>th</w:t>
      </w:r>
      <w:r w:rsidRPr="00B76E4F">
        <w:rPr>
          <w:rFonts w:ascii="Times New Roman" w:eastAsia="Times New Roman" w:hAnsi="Times New Roman" w:cs="Times New Roman"/>
          <w:kern w:val="0"/>
          <w:lang w:eastAsia="en-GB"/>
          <w14:ligatures w14:val="none"/>
        </w:rPr>
        <w:t xml:space="preserve"> February 2025).</w:t>
      </w:r>
    </w:p>
    <w:p w14:paraId="16A692A3" w14:textId="77777777" w:rsidR="00347124" w:rsidRPr="00B76E4F" w:rsidRDefault="00347124" w:rsidP="00347124">
      <w:pPr>
        <w:rPr>
          <w:rFonts w:ascii="Times New Roman" w:hAnsi="Times New Roman" w:cs="Times New Roman"/>
        </w:rPr>
      </w:pPr>
      <w:r>
        <w:rPr>
          <w:rFonts w:ascii="Times New Roman" w:hAnsi="Times New Roman" w:cs="Times New Roman"/>
        </w:rPr>
        <w:t>UNICEF (</w:t>
      </w:r>
      <w:r w:rsidRPr="00DF7C7B">
        <w:rPr>
          <w:rFonts w:ascii="Times New Roman" w:hAnsi="Times New Roman" w:cs="Times New Roman"/>
        </w:rPr>
        <w:t>United Nations Children's Fund</w:t>
      </w:r>
      <w:r>
        <w:rPr>
          <w:rFonts w:ascii="Times New Roman" w:hAnsi="Times New Roman" w:cs="Times New Roman"/>
        </w:rPr>
        <w:t xml:space="preserve">) </w:t>
      </w:r>
      <w:r w:rsidRPr="00DF7C7B">
        <w:rPr>
          <w:rFonts w:ascii="Times New Roman" w:hAnsi="Times New Roman" w:cs="Times New Roman"/>
        </w:rPr>
        <w:t xml:space="preserve">(2019). </w:t>
      </w:r>
      <w:r w:rsidRPr="00DF7C7B">
        <w:rPr>
          <w:rFonts w:ascii="Times New Roman" w:hAnsi="Times New Roman" w:cs="Times New Roman"/>
          <w:i/>
          <w:iCs/>
        </w:rPr>
        <w:t>Global Framework on Transferable Skills</w:t>
      </w:r>
      <w:r w:rsidRPr="00DF7C7B">
        <w:rPr>
          <w:rFonts w:ascii="Times New Roman" w:hAnsi="Times New Roman" w:cs="Times New Roman"/>
        </w:rPr>
        <w:t>. Unicef.</w:t>
      </w:r>
      <w:r w:rsidRPr="00B76E4F">
        <w:rPr>
          <w:rFonts w:ascii="Times New Roman" w:hAnsi="Times New Roman" w:cs="Times New Roman"/>
        </w:rPr>
        <w:t xml:space="preserve"> Available at: </w:t>
      </w:r>
      <w:hyperlink r:id="rId11" w:history="1">
        <w:r w:rsidRPr="00B76E4F">
          <w:rPr>
            <w:rStyle w:val="Hyperlink"/>
            <w:rFonts w:ascii="Times New Roman" w:hAnsi="Times New Roman" w:cs="Times New Roman"/>
          </w:rPr>
          <w:t>*Global-framework-on-transferable-skills-2019.pdf</w:t>
        </w:r>
      </w:hyperlink>
      <w:r w:rsidRPr="00B76E4F">
        <w:rPr>
          <w:rFonts w:ascii="Times New Roman" w:hAnsi="Times New Roman" w:cs="Times New Roman"/>
        </w:rPr>
        <w:t>. (Accessed: 28</w:t>
      </w:r>
      <w:r w:rsidRPr="00B76E4F">
        <w:rPr>
          <w:rFonts w:ascii="Times New Roman" w:hAnsi="Times New Roman" w:cs="Times New Roman"/>
          <w:vertAlign w:val="superscript"/>
        </w:rPr>
        <w:t>th</w:t>
      </w:r>
      <w:r w:rsidRPr="00B76E4F">
        <w:rPr>
          <w:rFonts w:ascii="Times New Roman" w:hAnsi="Times New Roman" w:cs="Times New Roman"/>
        </w:rPr>
        <w:t xml:space="preserve"> February 2025).</w:t>
      </w:r>
    </w:p>
    <w:p w14:paraId="0F5427B2" w14:textId="77777777" w:rsidR="00347124" w:rsidRPr="00B76E4F" w:rsidRDefault="00347124" w:rsidP="00347124">
      <w:pPr>
        <w:rPr>
          <w:rFonts w:ascii="Times New Roman" w:hAnsi="Times New Roman" w:cs="Times New Roman"/>
        </w:rPr>
      </w:pPr>
      <w:r w:rsidRPr="00B76E4F">
        <w:rPr>
          <w:rFonts w:ascii="Times New Roman" w:hAnsi="Times New Roman" w:cs="Times New Roman"/>
        </w:rPr>
        <w:t xml:space="preserve">Welsh Government, (2018). </w:t>
      </w:r>
      <w:r w:rsidRPr="00B76E4F">
        <w:rPr>
          <w:rFonts w:ascii="Times New Roman" w:hAnsi="Times New Roman" w:cs="Times New Roman"/>
          <w:i/>
          <w:iCs/>
        </w:rPr>
        <w:t>Mathematical Development Area of Learning Routes for Learning/ABC steps Foundation Phase pedagogy</w:t>
      </w:r>
      <w:r w:rsidRPr="00B76E4F">
        <w:rPr>
          <w:rFonts w:ascii="Times New Roman" w:hAnsi="Times New Roman" w:cs="Times New Roman"/>
        </w:rPr>
        <w:t xml:space="preserve">. [Online]. Available at: </w:t>
      </w:r>
      <w:hyperlink r:id="rId12" w:history="1">
        <w:r w:rsidRPr="00B76E4F">
          <w:rPr>
            <w:rStyle w:val="Hyperlink"/>
            <w:rFonts w:ascii="Times New Roman" w:hAnsi="Times New Roman" w:cs="Times New Roman"/>
          </w:rPr>
          <w:t>https://www.gov.wales/sites/default/files/consultations/2018-01/140513-routes-to-numeracy-en.pdf</w:t>
        </w:r>
      </w:hyperlink>
      <w:r w:rsidRPr="00B76E4F">
        <w:rPr>
          <w:rFonts w:ascii="Times New Roman" w:hAnsi="Times New Roman" w:cs="Times New Roman"/>
        </w:rPr>
        <w:t>. (Accessed: 26</w:t>
      </w:r>
      <w:r w:rsidRPr="00B76E4F">
        <w:rPr>
          <w:rFonts w:ascii="Times New Roman" w:hAnsi="Times New Roman" w:cs="Times New Roman"/>
          <w:vertAlign w:val="superscript"/>
        </w:rPr>
        <w:t>th</w:t>
      </w:r>
      <w:r w:rsidRPr="00B76E4F">
        <w:rPr>
          <w:rFonts w:ascii="Times New Roman" w:hAnsi="Times New Roman" w:cs="Times New Roman"/>
        </w:rPr>
        <w:t xml:space="preserve"> February 2025)</w:t>
      </w:r>
    </w:p>
    <w:p w14:paraId="2A839F26" w14:textId="77777777" w:rsidR="00347124" w:rsidRPr="00B76E4F" w:rsidRDefault="00347124" w:rsidP="00347124">
      <w:pPr>
        <w:rPr>
          <w:rFonts w:ascii="Times New Roman" w:hAnsi="Times New Roman" w:cs="Times New Roman"/>
        </w:rPr>
      </w:pPr>
      <w:r w:rsidRPr="00B76E4F">
        <w:rPr>
          <w:rFonts w:ascii="Times New Roman" w:hAnsi="Times New Roman" w:cs="Times New Roman"/>
        </w:rPr>
        <w:lastRenderedPageBreak/>
        <w:t xml:space="preserve">Welsh Government (2021). </w:t>
      </w:r>
      <w:r w:rsidRPr="00B76E4F">
        <w:rPr>
          <w:rFonts w:ascii="Times New Roman" w:hAnsi="Times New Roman" w:cs="Times New Roman"/>
          <w:i/>
          <w:iCs/>
        </w:rPr>
        <w:t>CURRICULUM AND ASSESSMENT (WALES) ACT 2021 Explanatory Memorandum incorporating the Regulatory Impact Assessment and Explanatory Notes</w:t>
      </w:r>
      <w:r w:rsidRPr="00B76E4F">
        <w:rPr>
          <w:rFonts w:ascii="Times New Roman" w:hAnsi="Times New Roman" w:cs="Times New Roman"/>
        </w:rPr>
        <w:t xml:space="preserve">. [Online] Available at: </w:t>
      </w:r>
      <w:hyperlink r:id="rId13" w:history="1">
        <w:r w:rsidRPr="00B76E4F">
          <w:rPr>
            <w:rStyle w:val="Hyperlink"/>
            <w:rFonts w:ascii="Times New Roman" w:hAnsi="Times New Roman" w:cs="Times New Roman"/>
          </w:rPr>
          <w:t>https://www.gov.wales/sites/default/files/publications/2021-04/curriculum-and-assessment-act-explanatory-memorandum.pdf</w:t>
        </w:r>
      </w:hyperlink>
      <w:r w:rsidRPr="00B76E4F">
        <w:rPr>
          <w:rFonts w:ascii="Times New Roman" w:hAnsi="Times New Roman" w:cs="Times New Roman"/>
        </w:rPr>
        <w:t>. (Accessed: 22</w:t>
      </w:r>
      <w:r w:rsidRPr="00B76E4F">
        <w:rPr>
          <w:rFonts w:ascii="Times New Roman" w:hAnsi="Times New Roman" w:cs="Times New Roman"/>
          <w:vertAlign w:val="superscript"/>
        </w:rPr>
        <w:t>nd</w:t>
      </w:r>
      <w:r w:rsidRPr="00B76E4F">
        <w:rPr>
          <w:rFonts w:ascii="Times New Roman" w:hAnsi="Times New Roman" w:cs="Times New Roman"/>
        </w:rPr>
        <w:t xml:space="preserve"> February 2025).</w:t>
      </w:r>
    </w:p>
    <w:p w14:paraId="167D3339" w14:textId="77777777" w:rsidR="00347124" w:rsidRPr="00B76E4F" w:rsidRDefault="00347124" w:rsidP="00347124">
      <w:pPr>
        <w:rPr>
          <w:rFonts w:ascii="Times New Roman" w:hAnsi="Times New Roman" w:cs="Times New Roman"/>
        </w:rPr>
      </w:pPr>
      <w:r w:rsidRPr="00B76E4F">
        <w:rPr>
          <w:rFonts w:ascii="Times New Roman" w:hAnsi="Times New Roman" w:cs="Times New Roman"/>
        </w:rPr>
        <w:t xml:space="preserve">Welsh Government (2023). </w:t>
      </w:r>
      <w:r w:rsidRPr="00B76E4F">
        <w:rPr>
          <w:rFonts w:ascii="Times New Roman" w:hAnsi="Times New Roman" w:cs="Times New Roman"/>
          <w:i/>
          <w:iCs/>
        </w:rPr>
        <w:t>Mathematics and numeracy plan 2023</w:t>
      </w:r>
      <w:r>
        <w:rPr>
          <w:rFonts w:ascii="Times New Roman" w:hAnsi="Times New Roman" w:cs="Times New Roman"/>
          <w:i/>
          <w:iCs/>
        </w:rPr>
        <w:t xml:space="preserve">. </w:t>
      </w:r>
      <w:r w:rsidRPr="00B76E4F">
        <w:rPr>
          <w:rFonts w:ascii="Times New Roman" w:hAnsi="Times New Roman" w:cs="Times New Roman"/>
        </w:rPr>
        <w:t xml:space="preserve">[Online]. Available at: </w:t>
      </w:r>
      <w:hyperlink r:id="rId14" w:history="1">
        <w:r w:rsidRPr="00B76E4F">
          <w:rPr>
            <w:rStyle w:val="Hyperlink"/>
            <w:rFonts w:ascii="Times New Roman" w:hAnsi="Times New Roman" w:cs="Times New Roman"/>
          </w:rPr>
          <w:t>https://www.gov.wales/mathematics-and-numeracy-plan-2023-html</w:t>
        </w:r>
      </w:hyperlink>
      <w:r w:rsidRPr="00B76E4F">
        <w:rPr>
          <w:rFonts w:ascii="Times New Roman" w:hAnsi="Times New Roman" w:cs="Times New Roman"/>
        </w:rPr>
        <w:t>. (Accessed: 22</w:t>
      </w:r>
      <w:r w:rsidRPr="00B76E4F">
        <w:rPr>
          <w:rFonts w:ascii="Times New Roman" w:hAnsi="Times New Roman" w:cs="Times New Roman"/>
          <w:vertAlign w:val="superscript"/>
        </w:rPr>
        <w:t>nd</w:t>
      </w:r>
      <w:r w:rsidRPr="00B76E4F">
        <w:rPr>
          <w:rFonts w:ascii="Times New Roman" w:hAnsi="Times New Roman" w:cs="Times New Roman"/>
        </w:rPr>
        <w:t xml:space="preserve"> February 2025).</w:t>
      </w:r>
    </w:p>
    <w:p w14:paraId="5C22D0F2" w14:textId="77777777" w:rsidR="00347124" w:rsidRPr="00B76E4F" w:rsidRDefault="00347124" w:rsidP="00347124">
      <w:pPr>
        <w:rPr>
          <w:rFonts w:ascii="Times New Roman" w:hAnsi="Times New Roman" w:cs="Times New Roman"/>
        </w:rPr>
      </w:pPr>
    </w:p>
    <w:p w14:paraId="6014C1A3" w14:textId="77777777" w:rsidR="00347124" w:rsidRDefault="00347124" w:rsidP="00283A3E">
      <w:pPr>
        <w:rPr>
          <w:sz w:val="32"/>
          <w:szCs w:val="32"/>
        </w:rPr>
      </w:pPr>
    </w:p>
    <w:p w14:paraId="6A204995" w14:textId="77777777" w:rsidR="00A81357" w:rsidRDefault="00A81357" w:rsidP="00283A3E">
      <w:pPr>
        <w:jc w:val="center"/>
      </w:pPr>
    </w:p>
    <w:p w14:paraId="4C9C4327" w14:textId="77777777" w:rsidR="00347124" w:rsidRDefault="00347124" w:rsidP="00283A3E">
      <w:pPr>
        <w:jc w:val="center"/>
      </w:pPr>
    </w:p>
    <w:p w14:paraId="380C87AB" w14:textId="77777777" w:rsidR="00347124" w:rsidRDefault="00347124" w:rsidP="00283A3E">
      <w:pPr>
        <w:jc w:val="center"/>
      </w:pPr>
    </w:p>
    <w:p w14:paraId="25F3A1F3" w14:textId="77777777" w:rsidR="00347124" w:rsidRDefault="00347124" w:rsidP="00283A3E">
      <w:pPr>
        <w:jc w:val="center"/>
      </w:pPr>
    </w:p>
    <w:p w14:paraId="134423F2" w14:textId="77777777" w:rsidR="00347124" w:rsidRDefault="00347124" w:rsidP="00283A3E">
      <w:pPr>
        <w:jc w:val="center"/>
      </w:pPr>
    </w:p>
    <w:p w14:paraId="4F303E1B" w14:textId="77777777" w:rsidR="00347124" w:rsidRDefault="00347124" w:rsidP="00283A3E">
      <w:pPr>
        <w:jc w:val="center"/>
      </w:pPr>
    </w:p>
    <w:p w14:paraId="01E18EF8" w14:textId="77777777" w:rsidR="00347124" w:rsidRDefault="00347124" w:rsidP="00283A3E">
      <w:pPr>
        <w:jc w:val="center"/>
      </w:pPr>
    </w:p>
    <w:p w14:paraId="53786B2C" w14:textId="77777777" w:rsidR="00347124" w:rsidRDefault="00347124" w:rsidP="00283A3E">
      <w:pPr>
        <w:jc w:val="center"/>
      </w:pPr>
    </w:p>
    <w:p w14:paraId="1A11BA61" w14:textId="77777777" w:rsidR="00347124" w:rsidRDefault="00347124" w:rsidP="00283A3E">
      <w:pPr>
        <w:jc w:val="center"/>
      </w:pPr>
    </w:p>
    <w:p w14:paraId="5377110C" w14:textId="77777777" w:rsidR="00347124" w:rsidRDefault="00347124" w:rsidP="00283A3E">
      <w:pPr>
        <w:jc w:val="center"/>
      </w:pPr>
    </w:p>
    <w:p w14:paraId="3D6FC20B" w14:textId="77777777" w:rsidR="00347124" w:rsidRDefault="00347124" w:rsidP="00283A3E">
      <w:pPr>
        <w:jc w:val="center"/>
      </w:pPr>
    </w:p>
    <w:p w14:paraId="0FFCFE2E" w14:textId="77777777" w:rsidR="00347124" w:rsidRDefault="00347124" w:rsidP="00283A3E">
      <w:pPr>
        <w:jc w:val="center"/>
      </w:pPr>
    </w:p>
    <w:p w14:paraId="32F6D193" w14:textId="77777777" w:rsidR="00347124" w:rsidRDefault="00347124" w:rsidP="00283A3E">
      <w:pPr>
        <w:jc w:val="center"/>
      </w:pPr>
    </w:p>
    <w:p w14:paraId="4C031771" w14:textId="77777777" w:rsidR="00347124" w:rsidRDefault="00347124" w:rsidP="00283A3E">
      <w:pPr>
        <w:jc w:val="center"/>
      </w:pPr>
    </w:p>
    <w:p w14:paraId="7FAB7869" w14:textId="77777777" w:rsidR="00347124" w:rsidRDefault="00347124" w:rsidP="00283A3E">
      <w:pPr>
        <w:jc w:val="center"/>
      </w:pPr>
    </w:p>
    <w:p w14:paraId="1613276D" w14:textId="77777777" w:rsidR="00347124" w:rsidRDefault="00347124" w:rsidP="00283A3E">
      <w:pPr>
        <w:jc w:val="center"/>
      </w:pPr>
    </w:p>
    <w:p w14:paraId="5786FA66" w14:textId="77777777" w:rsidR="00347124" w:rsidRDefault="00347124" w:rsidP="00283A3E">
      <w:pPr>
        <w:jc w:val="center"/>
      </w:pPr>
    </w:p>
    <w:p w14:paraId="0858B759" w14:textId="77777777" w:rsidR="00347124" w:rsidRDefault="00347124" w:rsidP="00283A3E">
      <w:pPr>
        <w:jc w:val="center"/>
      </w:pPr>
    </w:p>
    <w:p w14:paraId="674F4425" w14:textId="77777777" w:rsidR="00347124" w:rsidRDefault="00347124" w:rsidP="00283A3E">
      <w:pPr>
        <w:jc w:val="center"/>
      </w:pPr>
    </w:p>
    <w:p w14:paraId="0C84D631" w14:textId="77777777" w:rsidR="00347124" w:rsidRDefault="00347124" w:rsidP="00283A3E">
      <w:pPr>
        <w:jc w:val="center"/>
      </w:pPr>
    </w:p>
    <w:p w14:paraId="1747975A" w14:textId="66F628B7" w:rsidR="00283A3E" w:rsidRPr="00283A3E" w:rsidRDefault="00283A3E" w:rsidP="00283A3E">
      <w:pPr>
        <w:jc w:val="center"/>
      </w:pPr>
      <w:r w:rsidRPr="00283A3E">
        <w:lastRenderedPageBreak/>
        <w:t>Element 2: Blog – What can schools do to encourage numeracy?</w:t>
      </w:r>
    </w:p>
    <w:p w14:paraId="6FC06AFE" w14:textId="77777777" w:rsidR="00283A3E" w:rsidRDefault="00283A3E" w:rsidP="00283A3E">
      <w:pPr>
        <w:jc w:val="center"/>
        <w:rPr>
          <w:sz w:val="20"/>
          <w:szCs w:val="20"/>
        </w:rPr>
      </w:pPr>
    </w:p>
    <w:p w14:paraId="077FA7B4" w14:textId="4BF078E3" w:rsidR="00283A3E" w:rsidRDefault="00283A3E" w:rsidP="00283A3E">
      <w:pPr>
        <w:rPr>
          <w:sz w:val="32"/>
          <w:szCs w:val="32"/>
        </w:rPr>
      </w:pPr>
      <w:r w:rsidRPr="004C02B5">
        <w:rPr>
          <w:rFonts w:ascii="Aptos" w:eastAsia="Times New Roman" w:hAnsi="Aptos" w:cs="Times New Roman"/>
          <w:b/>
          <w:bCs/>
          <w:noProof/>
          <w:color w:val="809EC2"/>
          <w:kern w:val="0"/>
          <w:sz w:val="28"/>
          <w:szCs w:val="28"/>
          <w14:ligatures w14:val="none"/>
        </w:rPr>
        <mc:AlternateContent>
          <mc:Choice Requires="wps">
            <w:drawing>
              <wp:anchor distT="0" distB="0" distL="114300" distR="114300" simplePos="0" relativeHeight="251659264" behindDoc="0" locked="0" layoutInCell="1" allowOverlap="1" wp14:anchorId="0AFD41CE" wp14:editId="0A377AE6">
                <wp:simplePos x="0" y="0"/>
                <wp:positionH relativeFrom="margin">
                  <wp:align>right</wp:align>
                </wp:positionH>
                <wp:positionV relativeFrom="paragraph">
                  <wp:posOffset>449580</wp:posOffset>
                </wp:positionV>
                <wp:extent cx="5623560" cy="1268095"/>
                <wp:effectExtent l="38100" t="38100" r="34290" b="46355"/>
                <wp:wrapThrough wrapText="bothSides">
                  <wp:wrapPolygon edited="0">
                    <wp:start x="146" y="-649"/>
                    <wp:lineTo x="-146" y="-649"/>
                    <wp:lineTo x="-146" y="21416"/>
                    <wp:lineTo x="5488" y="22065"/>
                    <wp:lineTo x="20268" y="22065"/>
                    <wp:lineTo x="20854" y="22065"/>
                    <wp:lineTo x="21659" y="21092"/>
                    <wp:lineTo x="21659" y="649"/>
                    <wp:lineTo x="21512" y="-649"/>
                    <wp:lineTo x="21073" y="-649"/>
                    <wp:lineTo x="146" y="-649"/>
                  </wp:wrapPolygon>
                </wp:wrapThrough>
                <wp:docPr id="1685420051" name="Text Box 8"/>
                <wp:cNvGraphicFramePr/>
                <a:graphic xmlns:a="http://schemas.openxmlformats.org/drawingml/2006/main">
                  <a:graphicData uri="http://schemas.microsoft.com/office/word/2010/wordprocessingShape">
                    <wps:wsp>
                      <wps:cNvSpPr txBox="1"/>
                      <wps:spPr>
                        <a:xfrm>
                          <a:off x="0" y="0"/>
                          <a:ext cx="5623560" cy="1268095"/>
                        </a:xfrm>
                        <a:custGeom>
                          <a:avLst/>
                          <a:gdLst>
                            <a:gd name="connsiteX0" fmla="*/ 0 w 5623560"/>
                            <a:gd name="connsiteY0" fmla="*/ 0 h 1268095"/>
                            <a:gd name="connsiteX1" fmla="*/ 681076 w 5623560"/>
                            <a:gd name="connsiteY1" fmla="*/ 0 h 1268095"/>
                            <a:gd name="connsiteX2" fmla="*/ 1418387 w 5623560"/>
                            <a:gd name="connsiteY2" fmla="*/ 0 h 1268095"/>
                            <a:gd name="connsiteX3" fmla="*/ 1986991 w 5623560"/>
                            <a:gd name="connsiteY3" fmla="*/ 0 h 1268095"/>
                            <a:gd name="connsiteX4" fmla="*/ 2499360 w 5623560"/>
                            <a:gd name="connsiteY4" fmla="*/ 0 h 1268095"/>
                            <a:gd name="connsiteX5" fmla="*/ 3067964 w 5623560"/>
                            <a:gd name="connsiteY5" fmla="*/ 0 h 1268095"/>
                            <a:gd name="connsiteX6" fmla="*/ 3692804 w 5623560"/>
                            <a:gd name="connsiteY6" fmla="*/ 0 h 1268095"/>
                            <a:gd name="connsiteX7" fmla="*/ 4430116 w 5623560"/>
                            <a:gd name="connsiteY7" fmla="*/ 0 h 1268095"/>
                            <a:gd name="connsiteX8" fmla="*/ 5054956 w 5623560"/>
                            <a:gd name="connsiteY8" fmla="*/ 0 h 1268095"/>
                            <a:gd name="connsiteX9" fmla="*/ 5623560 w 5623560"/>
                            <a:gd name="connsiteY9" fmla="*/ 0 h 1268095"/>
                            <a:gd name="connsiteX10" fmla="*/ 5623560 w 5623560"/>
                            <a:gd name="connsiteY10" fmla="*/ 646728 h 1268095"/>
                            <a:gd name="connsiteX11" fmla="*/ 5623560 w 5623560"/>
                            <a:gd name="connsiteY11" fmla="*/ 1268095 h 1268095"/>
                            <a:gd name="connsiteX12" fmla="*/ 4942484 w 5623560"/>
                            <a:gd name="connsiteY12" fmla="*/ 1268095 h 1268095"/>
                            <a:gd name="connsiteX13" fmla="*/ 4205173 w 5623560"/>
                            <a:gd name="connsiteY13" fmla="*/ 1268095 h 1268095"/>
                            <a:gd name="connsiteX14" fmla="*/ 3524098 w 5623560"/>
                            <a:gd name="connsiteY14" fmla="*/ 1268095 h 1268095"/>
                            <a:gd name="connsiteX15" fmla="*/ 2843022 w 5623560"/>
                            <a:gd name="connsiteY15" fmla="*/ 1268095 h 1268095"/>
                            <a:gd name="connsiteX16" fmla="*/ 2161946 w 5623560"/>
                            <a:gd name="connsiteY16" fmla="*/ 1268095 h 1268095"/>
                            <a:gd name="connsiteX17" fmla="*/ 1480871 w 5623560"/>
                            <a:gd name="connsiteY17" fmla="*/ 1268095 h 1268095"/>
                            <a:gd name="connsiteX18" fmla="*/ 968502 w 5623560"/>
                            <a:gd name="connsiteY18" fmla="*/ 1268095 h 1268095"/>
                            <a:gd name="connsiteX19" fmla="*/ 0 w 5623560"/>
                            <a:gd name="connsiteY19" fmla="*/ 1268095 h 1268095"/>
                            <a:gd name="connsiteX20" fmla="*/ 0 w 5623560"/>
                            <a:gd name="connsiteY20" fmla="*/ 608686 h 1268095"/>
                            <a:gd name="connsiteX21" fmla="*/ 0 w 5623560"/>
                            <a:gd name="connsiteY21" fmla="*/ 0 h 12680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5623560" h="1268095" fill="none" extrusionOk="0">
                              <a:moveTo>
                                <a:pt x="0" y="0"/>
                              </a:moveTo>
                              <a:cubicBezTo>
                                <a:pt x="227481" y="-28752"/>
                                <a:pt x="424717" y="4754"/>
                                <a:pt x="681076" y="0"/>
                              </a:cubicBezTo>
                              <a:cubicBezTo>
                                <a:pt x="937435" y="-4754"/>
                                <a:pt x="1110325" y="-26866"/>
                                <a:pt x="1418387" y="0"/>
                              </a:cubicBezTo>
                              <a:cubicBezTo>
                                <a:pt x="1726449" y="26866"/>
                                <a:pt x="1748316" y="-14511"/>
                                <a:pt x="1986991" y="0"/>
                              </a:cubicBezTo>
                              <a:cubicBezTo>
                                <a:pt x="2225666" y="14511"/>
                                <a:pt x="2251167" y="-3900"/>
                                <a:pt x="2499360" y="0"/>
                              </a:cubicBezTo>
                              <a:cubicBezTo>
                                <a:pt x="2747553" y="3900"/>
                                <a:pt x="2827182" y="-1596"/>
                                <a:pt x="3067964" y="0"/>
                              </a:cubicBezTo>
                              <a:cubicBezTo>
                                <a:pt x="3308746" y="1596"/>
                                <a:pt x="3516050" y="-3299"/>
                                <a:pt x="3692804" y="0"/>
                              </a:cubicBezTo>
                              <a:cubicBezTo>
                                <a:pt x="3869558" y="3299"/>
                                <a:pt x="4090289" y="-7111"/>
                                <a:pt x="4430116" y="0"/>
                              </a:cubicBezTo>
                              <a:cubicBezTo>
                                <a:pt x="4769943" y="7111"/>
                                <a:pt x="4769071" y="18998"/>
                                <a:pt x="5054956" y="0"/>
                              </a:cubicBezTo>
                              <a:cubicBezTo>
                                <a:pt x="5340841" y="-18998"/>
                                <a:pt x="5355302" y="-6818"/>
                                <a:pt x="5623560" y="0"/>
                              </a:cubicBezTo>
                              <a:cubicBezTo>
                                <a:pt x="5604894" y="250123"/>
                                <a:pt x="5652386" y="429353"/>
                                <a:pt x="5623560" y="646728"/>
                              </a:cubicBezTo>
                              <a:cubicBezTo>
                                <a:pt x="5594734" y="864103"/>
                                <a:pt x="5596423" y="1076298"/>
                                <a:pt x="5623560" y="1268095"/>
                              </a:cubicBezTo>
                              <a:cubicBezTo>
                                <a:pt x="5309009" y="1242209"/>
                                <a:pt x="5237535" y="1288223"/>
                                <a:pt x="4942484" y="1268095"/>
                              </a:cubicBezTo>
                              <a:cubicBezTo>
                                <a:pt x="4647433" y="1247967"/>
                                <a:pt x="4467883" y="1286243"/>
                                <a:pt x="4205173" y="1268095"/>
                              </a:cubicBezTo>
                              <a:cubicBezTo>
                                <a:pt x="3942463" y="1249947"/>
                                <a:pt x="3864616" y="1291035"/>
                                <a:pt x="3524098" y="1268095"/>
                              </a:cubicBezTo>
                              <a:cubicBezTo>
                                <a:pt x="3183580" y="1245155"/>
                                <a:pt x="3116381" y="1281316"/>
                                <a:pt x="2843022" y="1268095"/>
                              </a:cubicBezTo>
                              <a:cubicBezTo>
                                <a:pt x="2569663" y="1254874"/>
                                <a:pt x="2498915" y="1251482"/>
                                <a:pt x="2161946" y="1268095"/>
                              </a:cubicBezTo>
                              <a:cubicBezTo>
                                <a:pt x="1824977" y="1284708"/>
                                <a:pt x="1808051" y="1294957"/>
                                <a:pt x="1480871" y="1268095"/>
                              </a:cubicBezTo>
                              <a:cubicBezTo>
                                <a:pt x="1153692" y="1241233"/>
                                <a:pt x="1071229" y="1277275"/>
                                <a:pt x="968502" y="1268095"/>
                              </a:cubicBezTo>
                              <a:cubicBezTo>
                                <a:pt x="865775" y="1258915"/>
                                <a:pt x="319883" y="1243886"/>
                                <a:pt x="0" y="1268095"/>
                              </a:cubicBezTo>
                              <a:cubicBezTo>
                                <a:pt x="23468" y="1121095"/>
                                <a:pt x="-12579" y="782773"/>
                                <a:pt x="0" y="608686"/>
                              </a:cubicBezTo>
                              <a:cubicBezTo>
                                <a:pt x="12579" y="434599"/>
                                <a:pt x="7757" y="231161"/>
                                <a:pt x="0" y="0"/>
                              </a:cubicBezTo>
                              <a:close/>
                            </a:path>
                            <a:path w="5623560" h="1268095" stroke="0" extrusionOk="0">
                              <a:moveTo>
                                <a:pt x="0" y="0"/>
                              </a:moveTo>
                              <a:cubicBezTo>
                                <a:pt x="292784" y="30047"/>
                                <a:pt x="354909" y="-27335"/>
                                <a:pt x="681076" y="0"/>
                              </a:cubicBezTo>
                              <a:cubicBezTo>
                                <a:pt x="1007243" y="27335"/>
                                <a:pt x="1108797" y="4753"/>
                                <a:pt x="1249680" y="0"/>
                              </a:cubicBezTo>
                              <a:cubicBezTo>
                                <a:pt x="1390563" y="-4753"/>
                                <a:pt x="1733182" y="-23628"/>
                                <a:pt x="1874520" y="0"/>
                              </a:cubicBezTo>
                              <a:cubicBezTo>
                                <a:pt x="2015858" y="23628"/>
                                <a:pt x="2245748" y="15572"/>
                                <a:pt x="2386889" y="0"/>
                              </a:cubicBezTo>
                              <a:cubicBezTo>
                                <a:pt x="2528030" y="-15572"/>
                                <a:pt x="2829462" y="19967"/>
                                <a:pt x="3011729" y="0"/>
                              </a:cubicBezTo>
                              <a:cubicBezTo>
                                <a:pt x="3193996" y="-19967"/>
                                <a:pt x="3311040" y="-20389"/>
                                <a:pt x="3524098" y="0"/>
                              </a:cubicBezTo>
                              <a:cubicBezTo>
                                <a:pt x="3737156" y="20389"/>
                                <a:pt x="3937993" y="26313"/>
                                <a:pt x="4148938" y="0"/>
                              </a:cubicBezTo>
                              <a:cubicBezTo>
                                <a:pt x="4359883" y="-26313"/>
                                <a:pt x="4558976" y="-1626"/>
                                <a:pt x="4717542" y="0"/>
                              </a:cubicBezTo>
                              <a:cubicBezTo>
                                <a:pt x="4876108" y="1626"/>
                                <a:pt x="5313035" y="1655"/>
                                <a:pt x="5623560" y="0"/>
                              </a:cubicBezTo>
                              <a:cubicBezTo>
                                <a:pt x="5601189" y="252384"/>
                                <a:pt x="5637195" y="383767"/>
                                <a:pt x="5623560" y="646728"/>
                              </a:cubicBezTo>
                              <a:cubicBezTo>
                                <a:pt x="5609925" y="909689"/>
                                <a:pt x="5616926" y="1006855"/>
                                <a:pt x="5623560" y="1268095"/>
                              </a:cubicBezTo>
                              <a:cubicBezTo>
                                <a:pt x="5487078" y="1287485"/>
                                <a:pt x="5287626" y="1242377"/>
                                <a:pt x="5054956" y="1268095"/>
                              </a:cubicBezTo>
                              <a:cubicBezTo>
                                <a:pt x="4822286" y="1293813"/>
                                <a:pt x="4493078" y="1275484"/>
                                <a:pt x="4317644" y="1268095"/>
                              </a:cubicBezTo>
                              <a:cubicBezTo>
                                <a:pt x="4142210" y="1260706"/>
                                <a:pt x="3854281" y="1258434"/>
                                <a:pt x="3692804" y="1268095"/>
                              </a:cubicBezTo>
                              <a:cubicBezTo>
                                <a:pt x="3531327" y="1277756"/>
                                <a:pt x="3291870" y="1289820"/>
                                <a:pt x="3124200" y="1268095"/>
                              </a:cubicBezTo>
                              <a:cubicBezTo>
                                <a:pt x="2956530" y="1246370"/>
                                <a:pt x="2765332" y="1273674"/>
                                <a:pt x="2443124" y="1268095"/>
                              </a:cubicBezTo>
                              <a:cubicBezTo>
                                <a:pt x="2120916" y="1262516"/>
                                <a:pt x="1911577" y="1255740"/>
                                <a:pt x="1705813" y="1268095"/>
                              </a:cubicBezTo>
                              <a:cubicBezTo>
                                <a:pt x="1500049" y="1280450"/>
                                <a:pt x="1455280" y="1257366"/>
                                <a:pt x="1249680" y="1268095"/>
                              </a:cubicBezTo>
                              <a:cubicBezTo>
                                <a:pt x="1044080" y="1278824"/>
                                <a:pt x="905396" y="1258672"/>
                                <a:pt x="793547" y="1268095"/>
                              </a:cubicBezTo>
                              <a:cubicBezTo>
                                <a:pt x="681698" y="1277518"/>
                                <a:pt x="234612" y="1238914"/>
                                <a:pt x="0" y="1268095"/>
                              </a:cubicBezTo>
                              <a:cubicBezTo>
                                <a:pt x="10279" y="1056925"/>
                                <a:pt x="32868" y="803074"/>
                                <a:pt x="0" y="608686"/>
                              </a:cubicBezTo>
                              <a:cubicBezTo>
                                <a:pt x="-32868" y="414298"/>
                                <a:pt x="-3368" y="225772"/>
                                <a:pt x="0" y="0"/>
                              </a:cubicBezTo>
                              <a:close/>
                            </a:path>
                          </a:pathLst>
                        </a:custGeom>
                        <a:solidFill>
                          <a:sysClr val="window" lastClr="FFFFFF"/>
                        </a:solidFill>
                        <a:ln w="31750">
                          <a:solidFill>
                            <a:prstClr val="black"/>
                          </a:solidFill>
                          <a:extLst>
                            <a:ext uri="{C807C97D-BFC1-408E-A445-0C87EB9F89A2}">
                              <ask:lineSketchStyleProps xmlns:ask="http://schemas.microsoft.com/office/drawing/2018/sketchyshapes" sd="2512980468">
                                <a:prstGeom prst="rect">
                                  <a:avLst/>
                                </a:prstGeom>
                                <ask:type>
                                  <ask:lineSketchFreehand/>
                                </ask:type>
                              </ask:lineSketchStyleProps>
                            </a:ext>
                          </a:extLst>
                        </a:ln>
                      </wps:spPr>
                      <wps:txbx>
                        <w:txbxContent>
                          <w:p w14:paraId="5FFE6BD6" w14:textId="77777777" w:rsidR="00283A3E" w:rsidRPr="002D351A" w:rsidRDefault="00283A3E" w:rsidP="00283A3E">
                            <w:pPr>
                              <w:jc w:val="center"/>
                              <w:rPr>
                                <w:rFonts w:ascii="Baguet Script" w:hAnsi="Baguet Script"/>
                                <w:b/>
                                <w:bCs/>
                                <w:sz w:val="80"/>
                                <w:szCs w:val="80"/>
                              </w:rPr>
                            </w:pPr>
                            <w:r w:rsidRPr="00D41F92">
                              <w:rPr>
                                <w:rFonts w:ascii="Baguet Script" w:hAnsi="Baguet Script"/>
                                <w:b/>
                                <w:bCs/>
                                <w:sz w:val="72"/>
                                <w:szCs w:val="72"/>
                              </w:rPr>
                              <w:t>Numerical anxiety</w:t>
                            </w:r>
                            <w:r>
                              <w:rPr>
                                <w:rFonts w:ascii="Baguet Script" w:hAnsi="Baguet Script"/>
                                <w:b/>
                                <w:bCs/>
                                <w:sz w:val="72"/>
                                <w:szCs w:val="72"/>
                              </w:rPr>
                              <w:t>,</w:t>
                            </w:r>
                            <w:r w:rsidRPr="00D41F92">
                              <w:rPr>
                                <w:rFonts w:ascii="Baguet Script" w:hAnsi="Baguet Script"/>
                                <w:b/>
                                <w:bCs/>
                                <w:sz w:val="72"/>
                                <w:szCs w:val="72"/>
                              </w:rPr>
                              <w:t xml:space="preserve"> in an age where numbers</w:t>
                            </w:r>
                            <w:r w:rsidRPr="002D351A">
                              <w:rPr>
                                <w:rFonts w:ascii="Baguet Script" w:hAnsi="Baguet Script"/>
                                <w:b/>
                                <w:bCs/>
                                <w:sz w:val="80"/>
                                <w:szCs w:val="80"/>
                              </w:rPr>
                              <w:t xml:space="preserve"> count!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FD41CE" id="_x0000_t202" coordsize="21600,21600" o:spt="202" path="m,l,21600r21600,l21600,xe">
                <v:stroke joinstyle="miter"/>
                <v:path gradientshapeok="t" o:connecttype="rect"/>
              </v:shapetype>
              <v:shape id="Text Box 8" o:spid="_x0000_s1026" type="#_x0000_t202" style="position:absolute;margin-left:391.6pt;margin-top:35.4pt;width:442.8pt;height:99.8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" fillcolor="window" strokeweight="2.5pt">
                <v:textbox>
                  <w:txbxContent>
                    <w:p w14:paraId="5FFE6BD6" w14:textId="77777777" w:rsidR="00283A3E" w:rsidRPr="002D351A" w:rsidRDefault="00283A3E" w:rsidP="00283A3E">
                      <w:pPr>
                        <w:jc w:val="center"/>
                        <w:rPr>
                          <w:rFonts w:ascii="Baguet Script" w:hAnsi="Baguet Script"/>
                          <w:b/>
                          <w:bCs/>
                          <w:sz w:val="80"/>
                          <w:szCs w:val="80"/>
                        </w:rPr>
                      </w:pPr>
                      <w:r w:rsidRPr="00D41F92">
                        <w:rPr>
                          <w:rFonts w:ascii="Baguet Script" w:hAnsi="Baguet Script"/>
                          <w:b/>
                          <w:bCs/>
                          <w:sz w:val="72"/>
                          <w:szCs w:val="72"/>
                        </w:rPr>
                        <w:t>Numerical anxiety</w:t>
                      </w:r>
                      <w:r>
                        <w:rPr>
                          <w:rFonts w:ascii="Baguet Script" w:hAnsi="Baguet Script"/>
                          <w:b/>
                          <w:bCs/>
                          <w:sz w:val="72"/>
                          <w:szCs w:val="72"/>
                        </w:rPr>
                        <w:t>,</w:t>
                      </w:r>
                      <w:r w:rsidRPr="00D41F92">
                        <w:rPr>
                          <w:rFonts w:ascii="Baguet Script" w:hAnsi="Baguet Script"/>
                          <w:b/>
                          <w:bCs/>
                          <w:sz w:val="72"/>
                          <w:szCs w:val="72"/>
                        </w:rPr>
                        <w:t xml:space="preserve"> in an age where numbers</w:t>
                      </w:r>
                      <w:r w:rsidRPr="002D351A">
                        <w:rPr>
                          <w:rFonts w:ascii="Baguet Script" w:hAnsi="Baguet Script"/>
                          <w:b/>
                          <w:bCs/>
                          <w:sz w:val="80"/>
                          <w:szCs w:val="80"/>
                        </w:rPr>
                        <w:t xml:space="preserve"> count!</w:t>
                      </w:r>
                    </w:p>
                  </w:txbxContent>
                </v:textbox>
                <w10:wrap type="through" anchorx="margin"/>
              </v:shape>
            </w:pict>
          </mc:Fallback>
        </mc:AlternateContent>
      </w:r>
      <w:r>
        <w:rPr>
          <w:noProof/>
        </w:rPr>
        <w:drawing>
          <wp:anchor distT="0" distB="0" distL="114300" distR="114300" simplePos="0" relativeHeight="251661312" behindDoc="1" locked="0" layoutInCell="1" allowOverlap="1" wp14:anchorId="085FD968" wp14:editId="77E6D03C">
            <wp:simplePos x="0" y="0"/>
            <wp:positionH relativeFrom="margin">
              <wp:align>center</wp:align>
            </wp:positionH>
            <wp:positionV relativeFrom="paragraph">
              <wp:posOffset>110490</wp:posOffset>
            </wp:positionV>
            <wp:extent cx="6188710" cy="2026920"/>
            <wp:effectExtent l="0" t="0" r="2540" b="0"/>
            <wp:wrapNone/>
            <wp:docPr id="389593254" name="Picture 2" descr="An abstract blue pattern with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593254" name="Picture 389593254" descr="An abstract blue pattern with numbers"/>
                    <pic:cNvPicPr/>
                  </pic:nvPicPr>
                  <pic:blipFill>
                    <a:blip r:embed="rId15" cstate="print">
                      <a:extLst>
                        <a:ext uri="{BEBA8EAE-BF5A-486C-A8C5-ECC9F3942E4B}">
                          <a14:imgProps xmlns:a14="http://schemas.microsoft.com/office/drawing/2010/main">
                            <a14:imgLayer r:embed="rId16">
                              <a14:imgEffect>
                                <a14:artisticCrisscrossEtching trans="59000"/>
                              </a14:imgEffect>
                            </a14:imgLayer>
                          </a14:imgProps>
                        </a:ext>
                        <a:ext uri="{28A0092B-C50C-407E-A947-70E740481C1C}">
                          <a14:useLocalDpi xmlns:a14="http://schemas.microsoft.com/office/drawing/2010/main" val="0"/>
                        </a:ext>
                      </a:extLst>
                    </a:blip>
                    <a:stretch>
                      <a:fillRect/>
                    </a:stretch>
                  </pic:blipFill>
                  <pic:spPr>
                    <a:xfrm>
                      <a:off x="0" y="0"/>
                      <a:ext cx="6188710" cy="2026920"/>
                    </a:xfrm>
                    <a:prstGeom prst="rect">
                      <a:avLst/>
                    </a:prstGeom>
                    <a:noFill/>
                    <a:effectLst>
                      <a:softEdge rad="88900"/>
                    </a:effectLst>
                  </pic:spPr>
                </pic:pic>
              </a:graphicData>
            </a:graphic>
            <wp14:sizeRelV relativeFrom="margin">
              <wp14:pctHeight>0</wp14:pctHeight>
            </wp14:sizeRelV>
          </wp:anchor>
        </w:drawing>
      </w:r>
    </w:p>
    <w:p w14:paraId="5C4B4896" w14:textId="15D5F3A3" w:rsidR="00283A3E" w:rsidRPr="00283A3E" w:rsidRDefault="00283A3E" w:rsidP="00283A3E">
      <w:r>
        <w:rPr>
          <w:rFonts w:ascii="Aptos" w:eastAsia="Times New Roman" w:hAnsi="Aptos" w:cs="Times New Roman"/>
          <w:b/>
          <w:bCs/>
          <w:noProof/>
          <w:color w:val="809EC2"/>
          <w:kern w:val="0"/>
          <w:sz w:val="28"/>
          <w:szCs w:val="28"/>
        </w:rPr>
        <mc:AlternateContent>
          <mc:Choice Requires="wps">
            <w:drawing>
              <wp:anchor distT="0" distB="0" distL="114300" distR="114300" simplePos="0" relativeHeight="251660288" behindDoc="0" locked="0" layoutInCell="1" allowOverlap="1" wp14:anchorId="62A1530E" wp14:editId="61FC2A7B">
                <wp:simplePos x="0" y="0"/>
                <wp:positionH relativeFrom="margin">
                  <wp:posOffset>268605</wp:posOffset>
                </wp:positionH>
                <wp:positionV relativeFrom="paragraph">
                  <wp:posOffset>1363980</wp:posOffset>
                </wp:positionV>
                <wp:extent cx="2924175" cy="295275"/>
                <wp:effectExtent l="0" t="0" r="28575" b="28575"/>
                <wp:wrapNone/>
                <wp:docPr id="930813296" name="Rectangle 1"/>
                <wp:cNvGraphicFramePr/>
                <a:graphic xmlns:a="http://schemas.openxmlformats.org/drawingml/2006/main">
                  <a:graphicData uri="http://schemas.microsoft.com/office/word/2010/wordprocessingShape">
                    <wps:wsp>
                      <wps:cNvSpPr/>
                      <wps:spPr>
                        <a:xfrm>
                          <a:off x="0" y="0"/>
                          <a:ext cx="2924175" cy="295275"/>
                        </a:xfrm>
                        <a:prstGeom prst="rect">
                          <a:avLst/>
                        </a:prstGeom>
                        <a:solidFill>
                          <a:schemeClr val="accent6">
                            <a:lumMod val="20000"/>
                            <a:lumOff val="80000"/>
                          </a:schemeClr>
                        </a:solidFill>
                      </wps:spPr>
                      <wps:style>
                        <a:lnRef idx="1">
                          <a:schemeClr val="accent6"/>
                        </a:lnRef>
                        <a:fillRef idx="2">
                          <a:schemeClr val="accent6"/>
                        </a:fillRef>
                        <a:effectRef idx="1">
                          <a:schemeClr val="accent6"/>
                        </a:effectRef>
                        <a:fontRef idx="minor">
                          <a:schemeClr val="dk1"/>
                        </a:fontRef>
                      </wps:style>
                      <wps:txbx>
                        <w:txbxContent>
                          <w:p w14:paraId="2EE0BEC0" w14:textId="77777777" w:rsidR="00283A3E" w:rsidRDefault="00283A3E" w:rsidP="00283A3E">
                            <w:r>
                              <w:t xml:space="preserve">By Leah Jones  ||  February 2025  ||  Blog.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A1530E" id="Rectangle 1" o:spid="_x0000_s1027" style="position:absolute;margin-left:21.15pt;margin-top:107.4pt;width:230.25pt;height:23.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" fillcolor="#d9f2d0 [665]" strokecolor="#4ea72e [3209]" strokeweight=".5pt">
                <v:textbox>
                  <w:txbxContent>
                    <w:p w14:paraId="2EE0BEC0" w14:textId="77777777" w:rsidR="00283A3E" w:rsidRDefault="00283A3E" w:rsidP="00283A3E">
                      <w:r>
                        <w:t xml:space="preserve">By Leah Jones  ||  February 2025  ||  Blog. </w:t>
                      </w:r>
                    </w:p>
                  </w:txbxContent>
                </v:textbox>
                <w10:wrap anchorx="margin"/>
              </v:rect>
            </w:pict>
          </mc:Fallback>
        </mc:AlternateContent>
      </w:r>
    </w:p>
    <w:p w14:paraId="7712D919" w14:textId="77777777" w:rsidR="00283A3E" w:rsidRDefault="00283A3E" w:rsidP="00283A3E">
      <w:pPr>
        <w:tabs>
          <w:tab w:val="left" w:pos="4275"/>
        </w:tabs>
        <w:rPr>
          <w:sz w:val="20"/>
          <w:szCs w:val="20"/>
        </w:rPr>
      </w:pPr>
    </w:p>
    <w:p w14:paraId="4F2C9069" w14:textId="5A367AD3" w:rsidR="00283A3E" w:rsidRDefault="00283A3E" w:rsidP="00283A3E">
      <w:pPr>
        <w:tabs>
          <w:tab w:val="left" w:pos="4275"/>
        </w:tabs>
        <w:rPr>
          <w:b/>
          <w:bCs/>
        </w:rPr>
      </w:pPr>
      <w:r w:rsidRPr="6AC18483">
        <w:rPr>
          <w:sz w:val="20"/>
          <w:szCs w:val="20"/>
        </w:rPr>
        <w:t>A month ago, while sat in class, we were asked the question, “Are you any good at maths?” Without hesitation, I said, “No.” At to no surprise to me, many others in the room had the same response. This negative response towards maths seems to be a common theme, in the most recent PISA (Programme for International Student Assessment) report it stated that 60% of learners think that some people are just not good at maths (Welsh Government, 2023c). When critically thinking about the question asked and the responses we gave, we questioned why it’s deemed normal to ‘not be good at maths’ when in the twenty-first century it’s a key skill. Thus, began the question</w:t>
      </w:r>
      <w:r>
        <w:t xml:space="preserve"> </w:t>
      </w:r>
      <w:r w:rsidRPr="6AC18483">
        <w:rPr>
          <w:b/>
          <w:bCs/>
        </w:rPr>
        <w:t>“What can schools do to encourage numeracy?”</w:t>
      </w:r>
    </w:p>
    <w:p w14:paraId="7116BE72" w14:textId="77777777" w:rsidR="00283A3E" w:rsidRDefault="00283A3E" w:rsidP="00283A3E">
      <w:pPr>
        <w:tabs>
          <w:tab w:val="left" w:pos="4275"/>
        </w:tabs>
        <w:rPr>
          <w:b/>
          <w:bCs/>
          <w:sz w:val="28"/>
          <w:szCs w:val="28"/>
        </w:rPr>
      </w:pPr>
    </w:p>
    <w:p w14:paraId="7BACF7E3" w14:textId="43D58331" w:rsidR="00283A3E" w:rsidRPr="00FF302A" w:rsidRDefault="00283A3E" w:rsidP="00283A3E">
      <w:pPr>
        <w:tabs>
          <w:tab w:val="left" w:pos="4275"/>
        </w:tabs>
        <w:rPr>
          <w:sz w:val="20"/>
          <w:szCs w:val="20"/>
        </w:rPr>
      </w:pPr>
      <w:r>
        <w:rPr>
          <w:sz w:val="20"/>
          <w:szCs w:val="20"/>
        </w:rPr>
        <w:t>According to PISA, Wales saw a plummet in their mathematics score of 487 in 2018 to 466 in 2022 (Welsh Government, 2023a). So, what can schools do to help?</w:t>
      </w:r>
    </w:p>
    <w:p w14:paraId="35AEC750" w14:textId="77777777" w:rsidR="00283A3E" w:rsidRDefault="00283A3E" w:rsidP="00283A3E">
      <w:pPr>
        <w:tabs>
          <w:tab w:val="left" w:pos="4275"/>
        </w:tabs>
        <w:rPr>
          <w:b/>
          <w:bCs/>
          <w:color w:val="215E99" w:themeColor="text2" w:themeTint="BF"/>
          <w:sz w:val="28"/>
          <w:szCs w:val="28"/>
        </w:rPr>
      </w:pPr>
    </w:p>
    <w:p w14:paraId="0D2107AE" w14:textId="77777777" w:rsidR="00283A3E" w:rsidRDefault="00283A3E" w:rsidP="00283A3E">
      <w:pPr>
        <w:tabs>
          <w:tab w:val="left" w:pos="4275"/>
        </w:tabs>
        <w:rPr>
          <w:b/>
          <w:bCs/>
          <w:color w:val="215E99" w:themeColor="text2" w:themeTint="BF"/>
          <w:sz w:val="28"/>
          <w:szCs w:val="28"/>
        </w:rPr>
      </w:pPr>
      <w:r w:rsidRPr="003A0F97">
        <w:rPr>
          <w:noProof/>
          <w:color w:val="000000" w:themeColor="text1"/>
          <w:sz w:val="22"/>
          <w:szCs w:val="22"/>
        </w:rPr>
        <w:drawing>
          <wp:anchor distT="0" distB="0" distL="114300" distR="114300" simplePos="0" relativeHeight="251662336" behindDoc="1" locked="0" layoutInCell="1" allowOverlap="1" wp14:anchorId="21F6AE31" wp14:editId="0F854ACC">
            <wp:simplePos x="0" y="0"/>
            <wp:positionH relativeFrom="margin">
              <wp:align>right</wp:align>
            </wp:positionH>
            <wp:positionV relativeFrom="paragraph">
              <wp:posOffset>247015</wp:posOffset>
            </wp:positionV>
            <wp:extent cx="3131185" cy="1771650"/>
            <wp:effectExtent l="0" t="0" r="0" b="0"/>
            <wp:wrapSquare wrapText="bothSides"/>
            <wp:docPr id="1926437238" name="Picture 1" descr="Two posters of a person and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437238" name="Picture 1" descr="Two posters of a person and person&#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3131185" cy="1771650"/>
                    </a:xfrm>
                    <a:prstGeom prst="rect">
                      <a:avLst/>
                    </a:prstGeom>
                  </pic:spPr>
                </pic:pic>
              </a:graphicData>
            </a:graphic>
            <wp14:sizeRelH relativeFrom="margin">
              <wp14:pctWidth>0</wp14:pctWidth>
            </wp14:sizeRelH>
            <wp14:sizeRelV relativeFrom="margin">
              <wp14:pctHeight>0</wp14:pctHeight>
            </wp14:sizeRelV>
          </wp:anchor>
        </w:drawing>
      </w:r>
      <w:r>
        <w:rPr>
          <w:b/>
          <w:bCs/>
          <w:noProof/>
          <w:sz w:val="28"/>
          <w:szCs w:val="28"/>
        </w:rPr>
        <mc:AlternateContent>
          <mc:Choice Requires="wps">
            <w:drawing>
              <wp:anchor distT="0" distB="0" distL="114300" distR="114300" simplePos="0" relativeHeight="251663360" behindDoc="0" locked="0" layoutInCell="1" allowOverlap="1" wp14:anchorId="0793220B" wp14:editId="328DC0BC">
                <wp:simplePos x="0" y="0"/>
                <wp:positionH relativeFrom="column">
                  <wp:posOffset>4770120</wp:posOffset>
                </wp:positionH>
                <wp:positionV relativeFrom="paragraph">
                  <wp:posOffset>8890</wp:posOffset>
                </wp:positionV>
                <wp:extent cx="1120140" cy="228600"/>
                <wp:effectExtent l="0" t="0" r="22860" b="19050"/>
                <wp:wrapNone/>
                <wp:docPr id="1089049693" name="Text Box 3"/>
                <wp:cNvGraphicFramePr/>
                <a:graphic xmlns:a="http://schemas.openxmlformats.org/drawingml/2006/main">
                  <a:graphicData uri="http://schemas.microsoft.com/office/word/2010/wordprocessingShape">
                    <wps:wsp>
                      <wps:cNvSpPr txBox="1"/>
                      <wps:spPr>
                        <a:xfrm>
                          <a:off x="0" y="0"/>
                          <a:ext cx="1120140" cy="228600"/>
                        </a:xfrm>
                        <a:prstGeom prst="rect">
                          <a:avLst/>
                        </a:prstGeom>
                        <a:noFill/>
                        <a:ln w="6350">
                          <a:solidFill>
                            <a:schemeClr val="bg1"/>
                          </a:solidFill>
                        </a:ln>
                      </wps:spPr>
                      <wps:txbx>
                        <w:txbxContent>
                          <w:p w14:paraId="208986B5" w14:textId="77777777" w:rsidR="00283A3E" w:rsidRPr="007A5E42" w:rsidRDefault="00283A3E" w:rsidP="00283A3E">
                            <w:pPr>
                              <w:shd w:val="clear" w:color="auto" w:fill="FFFFFF" w:themeFill="background1"/>
                              <w:rPr>
                                <w:sz w:val="16"/>
                                <w:szCs w:val="16"/>
                              </w:rPr>
                            </w:pPr>
                            <w:r w:rsidRPr="007A5E42">
                              <w:rPr>
                                <w:sz w:val="16"/>
                                <w:szCs w:val="16"/>
                              </w:rPr>
                              <w:t>(Adobe Stock,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3220B" id="Text Box 3" o:spid="_x0000_s1028" type="#_x0000_t202" style="position:absolute;margin-left:375.6pt;margin-top:.7pt;width:88.2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" filled="f" strokecolor="white [3212]" strokeweight=".5pt">
                <v:textbox>
                  <w:txbxContent>
                    <w:p w14:paraId="208986B5" w14:textId="77777777" w:rsidR="00283A3E" w:rsidRPr="007A5E42" w:rsidRDefault="00283A3E" w:rsidP="00283A3E">
                      <w:pPr>
                        <w:shd w:val="clear" w:color="auto" w:fill="FFFFFF" w:themeFill="background1"/>
                        <w:rPr>
                          <w:sz w:val="16"/>
                          <w:szCs w:val="16"/>
                        </w:rPr>
                      </w:pPr>
                      <w:r w:rsidRPr="007A5E42">
                        <w:rPr>
                          <w:sz w:val="16"/>
                          <w:szCs w:val="16"/>
                        </w:rPr>
                        <w:t>(Adobe Stock, 2025)</w:t>
                      </w:r>
                    </w:p>
                  </w:txbxContent>
                </v:textbox>
              </v:shape>
            </w:pict>
          </mc:Fallback>
        </mc:AlternateContent>
      </w:r>
      <w:r>
        <w:rPr>
          <w:b/>
          <w:bCs/>
          <w:color w:val="215E99" w:themeColor="text2" w:themeTint="BF"/>
          <w:sz w:val="28"/>
          <w:szCs w:val="28"/>
        </w:rPr>
        <w:t xml:space="preserve">Maths Anxiety and </w:t>
      </w:r>
      <w:r w:rsidRPr="0031089B">
        <w:rPr>
          <w:b/>
          <w:bCs/>
          <w:color w:val="215E99" w:themeColor="text2" w:themeTint="BF"/>
          <w:sz w:val="28"/>
          <w:szCs w:val="28"/>
        </w:rPr>
        <w:t>Positive Mindset</w:t>
      </w:r>
    </w:p>
    <w:p w14:paraId="473059DB" w14:textId="77777777" w:rsidR="00283A3E" w:rsidRPr="00B15037" w:rsidRDefault="00283A3E" w:rsidP="00283A3E">
      <w:pPr>
        <w:tabs>
          <w:tab w:val="left" w:pos="4275"/>
        </w:tabs>
        <w:rPr>
          <w:color w:val="000000" w:themeColor="text1"/>
          <w:sz w:val="20"/>
          <w:szCs w:val="20"/>
        </w:rPr>
      </w:pPr>
      <w:r w:rsidRPr="6AC18483">
        <w:rPr>
          <w:color w:val="000000" w:themeColor="text1"/>
          <w:sz w:val="20"/>
          <w:szCs w:val="20"/>
        </w:rPr>
        <w:t>Maths anxiety is a common problem throughout schools, it can have a negative effect on the learner’s motivation and engagement (Gabriel, 2022). So how do we overcome this? An effective approach to encourage numeracy when dealing with maths anxiety is to help the learner shift to a positive mindset. Educators can do this by facilitating numeracy in a positive can-do manner and within a supportive environment. Dweck (2012) tells us that learners have two beliefs about themselves:</w:t>
      </w:r>
    </w:p>
    <w:p w14:paraId="24F3F084" w14:textId="77777777" w:rsidR="00283A3E" w:rsidRPr="00B15037" w:rsidRDefault="00283A3E" w:rsidP="00283A3E">
      <w:pPr>
        <w:pStyle w:val="ListParagraph"/>
        <w:numPr>
          <w:ilvl w:val="0"/>
          <w:numId w:val="1"/>
        </w:numPr>
        <w:tabs>
          <w:tab w:val="left" w:pos="4275"/>
        </w:tabs>
        <w:rPr>
          <w:color w:val="000000" w:themeColor="text1"/>
          <w:sz w:val="20"/>
          <w:szCs w:val="20"/>
        </w:rPr>
      </w:pPr>
      <w:r w:rsidRPr="00B15037">
        <w:rPr>
          <w:color w:val="000000" w:themeColor="text1"/>
          <w:sz w:val="20"/>
          <w:szCs w:val="20"/>
        </w:rPr>
        <w:t>Fixed Mindset – This is where the learner does not believe that they can improve their abilities.</w:t>
      </w:r>
    </w:p>
    <w:p w14:paraId="3D5EB625" w14:textId="77777777" w:rsidR="00283A3E" w:rsidRDefault="00283A3E" w:rsidP="00283A3E">
      <w:pPr>
        <w:pStyle w:val="ListParagraph"/>
        <w:numPr>
          <w:ilvl w:val="0"/>
          <w:numId w:val="1"/>
        </w:numPr>
        <w:tabs>
          <w:tab w:val="left" w:pos="4275"/>
        </w:tabs>
        <w:rPr>
          <w:color w:val="000000" w:themeColor="text1"/>
          <w:sz w:val="20"/>
          <w:szCs w:val="20"/>
        </w:rPr>
      </w:pPr>
      <w:r w:rsidRPr="00B15037">
        <w:rPr>
          <w:color w:val="000000" w:themeColor="text1"/>
          <w:sz w:val="20"/>
          <w:szCs w:val="20"/>
        </w:rPr>
        <w:t>Growth Mindset – Where the learner believes that their abilities are increased through</w:t>
      </w:r>
      <w:r>
        <w:rPr>
          <w:color w:val="000000" w:themeColor="text1"/>
          <w:sz w:val="20"/>
          <w:szCs w:val="20"/>
        </w:rPr>
        <w:t xml:space="preserve"> the process of</w:t>
      </w:r>
      <w:r w:rsidRPr="00B15037">
        <w:rPr>
          <w:color w:val="000000" w:themeColor="text1"/>
          <w:sz w:val="20"/>
          <w:szCs w:val="20"/>
        </w:rPr>
        <w:t xml:space="preserve"> learning</w:t>
      </w:r>
      <w:r>
        <w:rPr>
          <w:color w:val="000000" w:themeColor="text1"/>
          <w:sz w:val="20"/>
          <w:szCs w:val="20"/>
        </w:rPr>
        <w:t>.</w:t>
      </w:r>
    </w:p>
    <w:p w14:paraId="757E7A23" w14:textId="77777777" w:rsidR="00283A3E" w:rsidRDefault="00283A3E" w:rsidP="00283A3E">
      <w:pPr>
        <w:tabs>
          <w:tab w:val="left" w:pos="4275"/>
        </w:tabs>
        <w:rPr>
          <w:color w:val="000000" w:themeColor="text1"/>
          <w:sz w:val="20"/>
          <w:szCs w:val="20"/>
        </w:rPr>
      </w:pPr>
      <w:r>
        <w:rPr>
          <w:color w:val="000000" w:themeColor="text1"/>
          <w:sz w:val="20"/>
          <w:szCs w:val="20"/>
        </w:rPr>
        <w:lastRenderedPageBreak/>
        <w:t xml:space="preserve">The Organisation for Economic Co-operation and Development OECD (2024) reported that just over half of the learners that said they had growth mindset stated that they had a fixed mindset when it came to maths (Castaneda, 2024). </w:t>
      </w:r>
      <w:r w:rsidRPr="6AC18483">
        <w:rPr>
          <w:color w:val="000000" w:themeColor="text1"/>
          <w:sz w:val="20"/>
          <w:szCs w:val="20"/>
        </w:rPr>
        <w:t xml:space="preserve">The Welsh Government (2023b) want to overcome fixed mindsets by supporting learners and educators to develop strategies to reduce maths anxiety allowing the learner to reach their full potential. They have introduced a new curriculum that is based on five inter-related mathematical proficiencies that learners are expected to develop as they progress (Welsh Government, 2023). The aim of this is to support educators to design engaging and encouraging lessons that allows for growth of knowledge and skill that will lead to an increase in positive mindset and a decrease in maths anxiety in numeracy. Alongside this new curriculum, educators need to be aware of Hughes’ (2009) point which indicates that encouragement can sometimes feel like pressure.  This means that educators need to ensure the tasks set are manageable and within the learner’s capability.  </w:t>
      </w:r>
    </w:p>
    <w:p w14:paraId="1020829C" w14:textId="77777777" w:rsidR="00283A3E" w:rsidRDefault="00283A3E" w:rsidP="00283A3E">
      <w:pPr>
        <w:tabs>
          <w:tab w:val="left" w:pos="4275"/>
        </w:tabs>
        <w:rPr>
          <w:color w:val="000000" w:themeColor="text1"/>
          <w:sz w:val="20"/>
          <w:szCs w:val="20"/>
        </w:rPr>
      </w:pPr>
      <w:r w:rsidRPr="6AC18483">
        <w:rPr>
          <w:color w:val="000000" w:themeColor="text1"/>
          <w:sz w:val="20"/>
          <w:szCs w:val="20"/>
        </w:rPr>
        <w:t xml:space="preserve"> Video: </w:t>
      </w:r>
      <w:hyperlink r:id="rId18">
        <w:r w:rsidRPr="6AC18483">
          <w:rPr>
            <w:rStyle w:val="Hyperlink"/>
            <w:sz w:val="20"/>
            <w:szCs w:val="20"/>
          </w:rPr>
          <w:t>Developing a Growth Mindset with Carol Dweck.</w:t>
        </w:r>
      </w:hyperlink>
      <w:r w:rsidRPr="6AC18483">
        <w:rPr>
          <w:color w:val="000000" w:themeColor="text1"/>
          <w:sz w:val="20"/>
          <w:szCs w:val="20"/>
        </w:rPr>
        <w:t xml:space="preserve"> (Dweck, 2014).</w:t>
      </w:r>
    </w:p>
    <w:p w14:paraId="7F140C0C" w14:textId="77777777" w:rsidR="00283A3E" w:rsidRDefault="00283A3E" w:rsidP="00283A3E">
      <w:pPr>
        <w:tabs>
          <w:tab w:val="left" w:pos="4275"/>
        </w:tabs>
        <w:rPr>
          <w:b/>
          <w:bCs/>
          <w:color w:val="215E99" w:themeColor="text2" w:themeTint="BF"/>
          <w:sz w:val="28"/>
          <w:szCs w:val="28"/>
        </w:rPr>
      </w:pPr>
    </w:p>
    <w:p w14:paraId="4A3F51BE" w14:textId="4043AB6B" w:rsidR="00283A3E" w:rsidRPr="00CA3D23" w:rsidRDefault="00283A3E" w:rsidP="00283A3E">
      <w:pPr>
        <w:tabs>
          <w:tab w:val="left" w:pos="4275"/>
        </w:tabs>
        <w:rPr>
          <w:color w:val="000000" w:themeColor="text1"/>
          <w:sz w:val="20"/>
          <w:szCs w:val="20"/>
        </w:rPr>
      </w:pPr>
      <w:r w:rsidRPr="6AC18483">
        <w:rPr>
          <w:b/>
          <w:bCs/>
          <w:color w:val="215E99" w:themeColor="text2" w:themeTint="BF"/>
          <w:sz w:val="28"/>
          <w:szCs w:val="28"/>
        </w:rPr>
        <w:t>Numeracy across the Curriculum</w:t>
      </w:r>
    </w:p>
    <w:p w14:paraId="7A2FD344" w14:textId="77777777" w:rsidR="00283A3E" w:rsidRDefault="00283A3E" w:rsidP="00283A3E">
      <w:pPr>
        <w:tabs>
          <w:tab w:val="left" w:pos="4275"/>
        </w:tabs>
        <w:rPr>
          <w:color w:val="000000" w:themeColor="text1"/>
          <w:sz w:val="20"/>
          <w:szCs w:val="20"/>
        </w:rPr>
      </w:pPr>
      <w:r w:rsidRPr="6AC18483">
        <w:rPr>
          <w:color w:val="000000" w:themeColor="text1"/>
          <w:sz w:val="20"/>
          <w:szCs w:val="20"/>
        </w:rPr>
        <w:t xml:space="preserve">Numeracy is an essential skill in a learner’s school and daily life that extends far beyond that of ‘just maths’, it permeates the world around them. Dewey (1963) believed that when a learner can relate what they have learnt to their experiences, that is when development occurs. Therefore, to encourage numeracy, schools should explore all links between numeracy and other curricular areas, and where possible integrate numeracy into said areas to allow for optimal development and creative thinking (Barnes, 2015). </w:t>
      </w:r>
      <w:r w:rsidRPr="00C24ED9">
        <w:rPr>
          <w:color w:val="000000" w:themeColor="text1"/>
          <w:sz w:val="20"/>
          <w:szCs w:val="20"/>
        </w:rPr>
        <w:t>Numeracy can be integrated into many subjects, such as, language, literacy, communication, health and well-being, art, humanities and science (Welsh Government, 2022a).</w:t>
      </w:r>
      <w:r w:rsidRPr="6AC18483">
        <w:rPr>
          <w:color w:val="000000" w:themeColor="text1"/>
          <w:sz w:val="20"/>
          <w:szCs w:val="20"/>
        </w:rPr>
        <w:t xml:space="preserve"> </w:t>
      </w:r>
    </w:p>
    <w:p w14:paraId="288C57AF" w14:textId="77777777" w:rsidR="00283A3E" w:rsidRDefault="00283A3E" w:rsidP="00283A3E">
      <w:pPr>
        <w:tabs>
          <w:tab w:val="left" w:pos="4275"/>
        </w:tabs>
        <w:rPr>
          <w:color w:val="000000" w:themeColor="text1"/>
          <w:sz w:val="20"/>
          <w:szCs w:val="20"/>
          <w:highlight w:val="yellow"/>
        </w:rPr>
      </w:pPr>
    </w:p>
    <w:p w14:paraId="17C8D177" w14:textId="77777777" w:rsidR="00283A3E" w:rsidRDefault="00283A3E" w:rsidP="00283A3E">
      <w:pPr>
        <w:tabs>
          <w:tab w:val="left" w:pos="4275"/>
        </w:tabs>
        <w:rPr>
          <w:color w:val="000000" w:themeColor="text1"/>
          <w:sz w:val="20"/>
          <w:szCs w:val="20"/>
        </w:rPr>
      </w:pPr>
      <w:r w:rsidRPr="6AC18483">
        <w:rPr>
          <w:color w:val="000000" w:themeColor="text1"/>
          <w:sz w:val="20"/>
          <w:szCs w:val="20"/>
        </w:rPr>
        <w:t xml:space="preserve"> An example of how to use Dewey’s theory of Intelligent Action (1963) is:</w:t>
      </w:r>
    </w:p>
    <w:p w14:paraId="7F6B47FB" w14:textId="77777777" w:rsidR="00283A3E" w:rsidRDefault="00283A3E" w:rsidP="00283A3E">
      <w:pPr>
        <w:tabs>
          <w:tab w:val="left" w:pos="4275"/>
        </w:tabs>
        <w:rPr>
          <w:color w:val="000000" w:themeColor="text1"/>
          <w:sz w:val="20"/>
          <w:szCs w:val="20"/>
        </w:rPr>
      </w:pPr>
    </w:p>
    <w:tbl>
      <w:tblPr>
        <w:tblStyle w:val="TableGrid"/>
        <w:tblW w:w="9776" w:type="dxa"/>
        <w:tblLayout w:type="fixed"/>
        <w:tblLook w:val="06A0" w:firstRow="1" w:lastRow="0" w:firstColumn="1" w:lastColumn="0" w:noHBand="1" w:noVBand="1"/>
      </w:tblPr>
      <w:tblGrid>
        <w:gridCol w:w="4868"/>
        <w:gridCol w:w="4908"/>
      </w:tblGrid>
      <w:tr w:rsidR="00283A3E" w14:paraId="5CA22B95" w14:textId="77777777" w:rsidTr="00283A3E">
        <w:trPr>
          <w:trHeight w:val="492"/>
        </w:trPr>
        <w:tc>
          <w:tcPr>
            <w:tcW w:w="4868" w:type="dxa"/>
          </w:tcPr>
          <w:p w14:paraId="0E187C27" w14:textId="77777777" w:rsidR="00283A3E" w:rsidRDefault="00283A3E" w:rsidP="008D0752">
            <w:pPr>
              <w:rPr>
                <w:b/>
                <w:bCs/>
                <w:color w:val="000000" w:themeColor="text1"/>
                <w:sz w:val="20"/>
                <w:szCs w:val="20"/>
              </w:rPr>
            </w:pPr>
            <w:r w:rsidRPr="6AC18483">
              <w:rPr>
                <w:b/>
                <w:bCs/>
                <w:color w:val="000000" w:themeColor="text1"/>
                <w:sz w:val="20"/>
                <w:szCs w:val="20"/>
              </w:rPr>
              <w:t>Dewey’s Theory of Intelligent Action Stages (1963)</w:t>
            </w:r>
          </w:p>
        </w:tc>
        <w:tc>
          <w:tcPr>
            <w:tcW w:w="4908" w:type="dxa"/>
          </w:tcPr>
          <w:p w14:paraId="5C5FA74D" w14:textId="77777777" w:rsidR="00283A3E" w:rsidRDefault="00283A3E" w:rsidP="008D0752">
            <w:pPr>
              <w:rPr>
                <w:color w:val="000000" w:themeColor="text1"/>
                <w:sz w:val="20"/>
                <w:szCs w:val="20"/>
              </w:rPr>
            </w:pPr>
            <w:r w:rsidRPr="6AC18483">
              <w:rPr>
                <w:b/>
                <w:bCs/>
                <w:color w:val="000000" w:themeColor="text1"/>
                <w:sz w:val="20"/>
                <w:szCs w:val="20"/>
              </w:rPr>
              <w:t>Example numeracy lesson</w:t>
            </w:r>
            <w:r w:rsidRPr="6AC18483">
              <w:rPr>
                <w:color w:val="000000" w:themeColor="text1"/>
                <w:sz w:val="20"/>
                <w:szCs w:val="20"/>
              </w:rPr>
              <w:t xml:space="preserve"> </w:t>
            </w:r>
          </w:p>
        </w:tc>
      </w:tr>
      <w:tr w:rsidR="00283A3E" w14:paraId="28D25387" w14:textId="77777777" w:rsidTr="00283A3E">
        <w:trPr>
          <w:trHeight w:val="554"/>
        </w:trPr>
        <w:tc>
          <w:tcPr>
            <w:tcW w:w="4868" w:type="dxa"/>
          </w:tcPr>
          <w:p w14:paraId="546EE193" w14:textId="77777777" w:rsidR="00283A3E" w:rsidRDefault="00283A3E" w:rsidP="008D0752">
            <w:pPr>
              <w:rPr>
                <w:color w:val="000000" w:themeColor="text1"/>
                <w:sz w:val="20"/>
                <w:szCs w:val="20"/>
              </w:rPr>
            </w:pPr>
            <w:r w:rsidRPr="6AC18483">
              <w:rPr>
                <w:color w:val="000000" w:themeColor="text1"/>
                <w:sz w:val="20"/>
                <w:szCs w:val="20"/>
              </w:rPr>
              <w:t xml:space="preserve">Design experience </w:t>
            </w:r>
          </w:p>
        </w:tc>
        <w:tc>
          <w:tcPr>
            <w:tcW w:w="4908" w:type="dxa"/>
          </w:tcPr>
          <w:p w14:paraId="3CD09434" w14:textId="77777777" w:rsidR="00283A3E" w:rsidRDefault="00283A3E" w:rsidP="008D0752">
            <w:pPr>
              <w:rPr>
                <w:color w:val="000000" w:themeColor="text1"/>
                <w:sz w:val="20"/>
                <w:szCs w:val="20"/>
              </w:rPr>
            </w:pPr>
            <w:r w:rsidRPr="6AC18483">
              <w:rPr>
                <w:color w:val="000000" w:themeColor="text1"/>
                <w:sz w:val="20"/>
                <w:szCs w:val="20"/>
              </w:rPr>
              <w:t>Lesson focus on understanding money</w:t>
            </w:r>
          </w:p>
        </w:tc>
      </w:tr>
      <w:tr w:rsidR="00283A3E" w14:paraId="74DFB5DE" w14:textId="77777777" w:rsidTr="008D0752">
        <w:trPr>
          <w:trHeight w:val="300"/>
        </w:trPr>
        <w:tc>
          <w:tcPr>
            <w:tcW w:w="4868" w:type="dxa"/>
          </w:tcPr>
          <w:p w14:paraId="27DB2435" w14:textId="77777777" w:rsidR="00283A3E" w:rsidRDefault="00283A3E" w:rsidP="008D0752">
            <w:pPr>
              <w:rPr>
                <w:color w:val="000000" w:themeColor="text1"/>
                <w:sz w:val="20"/>
                <w:szCs w:val="20"/>
              </w:rPr>
            </w:pPr>
            <w:r w:rsidRPr="6AC18483">
              <w:rPr>
                <w:color w:val="000000" w:themeColor="text1"/>
                <w:sz w:val="20"/>
                <w:szCs w:val="20"/>
              </w:rPr>
              <w:t xml:space="preserve">Understand concept </w:t>
            </w:r>
          </w:p>
        </w:tc>
        <w:tc>
          <w:tcPr>
            <w:tcW w:w="4908" w:type="dxa"/>
          </w:tcPr>
          <w:p w14:paraId="1D08C7A5" w14:textId="77777777" w:rsidR="00283A3E" w:rsidRDefault="00283A3E" w:rsidP="008D0752">
            <w:pPr>
              <w:rPr>
                <w:color w:val="000000" w:themeColor="text1"/>
                <w:sz w:val="20"/>
                <w:szCs w:val="20"/>
              </w:rPr>
            </w:pPr>
            <w:r w:rsidRPr="6AC18483">
              <w:rPr>
                <w:color w:val="000000" w:themeColor="text1"/>
                <w:sz w:val="20"/>
                <w:szCs w:val="20"/>
              </w:rPr>
              <w:t xml:space="preserve">Students learn to recognise each coin </w:t>
            </w:r>
            <w:r>
              <w:rPr>
                <w:color w:val="000000" w:themeColor="text1"/>
                <w:sz w:val="20"/>
                <w:szCs w:val="20"/>
              </w:rPr>
              <w:t xml:space="preserve">and note </w:t>
            </w:r>
            <w:r w:rsidRPr="6AC18483">
              <w:rPr>
                <w:color w:val="000000" w:themeColor="text1"/>
                <w:sz w:val="20"/>
                <w:szCs w:val="20"/>
              </w:rPr>
              <w:t>and the values</w:t>
            </w:r>
          </w:p>
        </w:tc>
      </w:tr>
      <w:tr w:rsidR="00283A3E" w14:paraId="7AADC6CB" w14:textId="77777777" w:rsidTr="008D0752">
        <w:trPr>
          <w:trHeight w:val="300"/>
        </w:trPr>
        <w:tc>
          <w:tcPr>
            <w:tcW w:w="4868" w:type="dxa"/>
          </w:tcPr>
          <w:p w14:paraId="4550F6F1" w14:textId="77777777" w:rsidR="00283A3E" w:rsidRDefault="00283A3E" w:rsidP="008D0752">
            <w:pPr>
              <w:rPr>
                <w:color w:val="000000" w:themeColor="text1"/>
                <w:sz w:val="20"/>
                <w:szCs w:val="20"/>
              </w:rPr>
            </w:pPr>
            <w:r>
              <w:rPr>
                <w:color w:val="000000" w:themeColor="text1"/>
                <w:sz w:val="20"/>
                <w:szCs w:val="20"/>
              </w:rPr>
              <w:t>Sign posting the relevance of the lesson</w:t>
            </w:r>
          </w:p>
        </w:tc>
        <w:tc>
          <w:tcPr>
            <w:tcW w:w="4908" w:type="dxa"/>
          </w:tcPr>
          <w:p w14:paraId="4E1E479A" w14:textId="77777777" w:rsidR="00283A3E" w:rsidRDefault="00283A3E" w:rsidP="008D0752">
            <w:pPr>
              <w:rPr>
                <w:color w:val="000000" w:themeColor="text1"/>
                <w:sz w:val="20"/>
                <w:szCs w:val="20"/>
              </w:rPr>
            </w:pPr>
            <w:r>
              <w:rPr>
                <w:color w:val="000000" w:themeColor="text1"/>
                <w:sz w:val="20"/>
                <w:szCs w:val="20"/>
              </w:rPr>
              <w:t>Using the knowledge gained in numeracy lessons in other curricular areas</w:t>
            </w:r>
          </w:p>
        </w:tc>
      </w:tr>
      <w:tr w:rsidR="00283A3E" w14:paraId="165B5564" w14:textId="77777777" w:rsidTr="00283A3E">
        <w:trPr>
          <w:trHeight w:val="548"/>
        </w:trPr>
        <w:tc>
          <w:tcPr>
            <w:tcW w:w="4868" w:type="dxa"/>
          </w:tcPr>
          <w:p w14:paraId="77B05081" w14:textId="77777777" w:rsidR="00283A3E" w:rsidRDefault="00283A3E" w:rsidP="008D0752">
            <w:pPr>
              <w:rPr>
                <w:color w:val="000000" w:themeColor="text1"/>
                <w:sz w:val="20"/>
                <w:szCs w:val="20"/>
              </w:rPr>
            </w:pPr>
            <w:r>
              <w:rPr>
                <w:color w:val="000000" w:themeColor="text1"/>
                <w:sz w:val="20"/>
                <w:szCs w:val="20"/>
              </w:rPr>
              <w:t>Active participation</w:t>
            </w:r>
          </w:p>
        </w:tc>
        <w:tc>
          <w:tcPr>
            <w:tcW w:w="4908" w:type="dxa"/>
          </w:tcPr>
          <w:p w14:paraId="420D6152" w14:textId="77777777" w:rsidR="00283A3E" w:rsidRDefault="00283A3E" w:rsidP="008D0752">
            <w:pPr>
              <w:rPr>
                <w:color w:val="000000" w:themeColor="text1"/>
                <w:sz w:val="20"/>
                <w:szCs w:val="20"/>
              </w:rPr>
            </w:pPr>
            <w:r>
              <w:rPr>
                <w:color w:val="000000" w:themeColor="text1"/>
                <w:sz w:val="20"/>
                <w:szCs w:val="20"/>
              </w:rPr>
              <w:t>Learner applies knowledge to other curricular areas</w:t>
            </w:r>
          </w:p>
        </w:tc>
      </w:tr>
      <w:tr w:rsidR="00283A3E" w14:paraId="6B6FE854" w14:textId="77777777" w:rsidTr="00283A3E">
        <w:trPr>
          <w:trHeight w:val="570"/>
        </w:trPr>
        <w:tc>
          <w:tcPr>
            <w:tcW w:w="4868" w:type="dxa"/>
          </w:tcPr>
          <w:p w14:paraId="48E7A58F" w14:textId="77777777" w:rsidR="00283A3E" w:rsidRDefault="00283A3E" w:rsidP="008D0752">
            <w:pPr>
              <w:rPr>
                <w:color w:val="000000" w:themeColor="text1"/>
                <w:sz w:val="20"/>
                <w:szCs w:val="20"/>
              </w:rPr>
            </w:pPr>
            <w:r>
              <w:rPr>
                <w:color w:val="000000" w:themeColor="text1"/>
                <w:sz w:val="20"/>
                <w:szCs w:val="20"/>
              </w:rPr>
              <w:t>(Bates, 2019)</w:t>
            </w:r>
          </w:p>
        </w:tc>
        <w:tc>
          <w:tcPr>
            <w:tcW w:w="4908" w:type="dxa"/>
          </w:tcPr>
          <w:p w14:paraId="79C73CAE" w14:textId="77777777" w:rsidR="00283A3E" w:rsidRDefault="00283A3E" w:rsidP="008D0752">
            <w:pPr>
              <w:rPr>
                <w:color w:val="000000" w:themeColor="text1"/>
                <w:sz w:val="20"/>
                <w:szCs w:val="20"/>
              </w:rPr>
            </w:pPr>
          </w:p>
        </w:tc>
      </w:tr>
    </w:tbl>
    <w:p w14:paraId="3F30C7F1" w14:textId="77777777" w:rsidR="00283A3E" w:rsidRPr="009F3176" w:rsidRDefault="00283A3E" w:rsidP="00283A3E">
      <w:pPr>
        <w:tabs>
          <w:tab w:val="left" w:pos="4275"/>
        </w:tabs>
        <w:rPr>
          <w:color w:val="000000" w:themeColor="text1"/>
          <w:sz w:val="20"/>
          <w:szCs w:val="20"/>
        </w:rPr>
      </w:pPr>
    </w:p>
    <w:p w14:paraId="7EE26EAA" w14:textId="77777777" w:rsidR="00283A3E" w:rsidRDefault="00283A3E" w:rsidP="00283A3E">
      <w:pPr>
        <w:tabs>
          <w:tab w:val="left" w:pos="4275"/>
        </w:tabs>
        <w:ind w:left="2880"/>
        <w:rPr>
          <w:b/>
          <w:bCs/>
          <w:color w:val="215E99" w:themeColor="text2" w:themeTint="BF"/>
          <w:sz w:val="28"/>
          <w:szCs w:val="28"/>
        </w:rPr>
      </w:pPr>
    </w:p>
    <w:p w14:paraId="0CEECD39" w14:textId="77777777" w:rsidR="00283A3E" w:rsidRDefault="00283A3E" w:rsidP="00283A3E">
      <w:pPr>
        <w:tabs>
          <w:tab w:val="left" w:pos="4275"/>
        </w:tabs>
        <w:ind w:left="2880"/>
        <w:rPr>
          <w:b/>
          <w:bCs/>
          <w:color w:val="215E99" w:themeColor="text2" w:themeTint="BF"/>
          <w:sz w:val="28"/>
          <w:szCs w:val="28"/>
        </w:rPr>
      </w:pPr>
    </w:p>
    <w:p w14:paraId="18FA7BA8" w14:textId="77777777" w:rsidR="00283A3E" w:rsidRDefault="00283A3E" w:rsidP="00283A3E">
      <w:pPr>
        <w:tabs>
          <w:tab w:val="left" w:pos="4275"/>
        </w:tabs>
        <w:ind w:left="2880"/>
        <w:rPr>
          <w:b/>
          <w:bCs/>
          <w:color w:val="215E99" w:themeColor="text2" w:themeTint="BF"/>
          <w:sz w:val="28"/>
          <w:szCs w:val="28"/>
        </w:rPr>
      </w:pPr>
    </w:p>
    <w:p w14:paraId="0A045592" w14:textId="77777777" w:rsidR="00283A3E" w:rsidRDefault="00283A3E" w:rsidP="00283A3E">
      <w:pPr>
        <w:tabs>
          <w:tab w:val="left" w:pos="4275"/>
        </w:tabs>
        <w:ind w:left="2880"/>
        <w:rPr>
          <w:b/>
          <w:bCs/>
          <w:color w:val="215E99" w:themeColor="text2" w:themeTint="BF"/>
          <w:sz w:val="28"/>
          <w:szCs w:val="28"/>
        </w:rPr>
      </w:pPr>
    </w:p>
    <w:p w14:paraId="574E6473" w14:textId="1998E0F3" w:rsidR="00283A3E" w:rsidRDefault="00283A3E" w:rsidP="00283A3E">
      <w:pPr>
        <w:tabs>
          <w:tab w:val="left" w:pos="4275"/>
        </w:tabs>
        <w:ind w:left="2880"/>
        <w:rPr>
          <w:b/>
          <w:bCs/>
          <w:color w:val="215E99" w:themeColor="text2" w:themeTint="BF"/>
          <w:sz w:val="28"/>
          <w:szCs w:val="28"/>
        </w:rPr>
      </w:pPr>
      <w:r>
        <w:rPr>
          <w:b/>
          <w:bCs/>
          <w:color w:val="215E99" w:themeColor="text2" w:themeTint="BF"/>
          <w:sz w:val="28"/>
          <w:szCs w:val="28"/>
        </w:rPr>
        <w:lastRenderedPageBreak/>
        <w:t>Summative and Formative Assessments</w:t>
      </w:r>
    </w:p>
    <w:p w14:paraId="75708171" w14:textId="77777777" w:rsidR="00283A3E" w:rsidRDefault="00283A3E" w:rsidP="00283A3E">
      <w:pPr>
        <w:ind w:left="2880"/>
        <w:rPr>
          <w:rFonts w:cs="Times New Roman"/>
          <w:sz w:val="20"/>
          <w:szCs w:val="20"/>
        </w:rPr>
      </w:pPr>
      <w:r>
        <w:rPr>
          <w:b/>
          <w:bCs/>
          <w:noProof/>
          <w:color w:val="215E99" w:themeColor="text2" w:themeTint="BF"/>
          <w:sz w:val="28"/>
          <w:szCs w:val="28"/>
        </w:rPr>
        <mc:AlternateContent>
          <mc:Choice Requires="wps">
            <w:drawing>
              <wp:anchor distT="0" distB="0" distL="114300" distR="114300" simplePos="0" relativeHeight="251665408" behindDoc="0" locked="0" layoutInCell="1" allowOverlap="1" wp14:anchorId="0327C3BE" wp14:editId="278D0287">
                <wp:simplePos x="0" y="0"/>
                <wp:positionH relativeFrom="column">
                  <wp:posOffset>15240</wp:posOffset>
                </wp:positionH>
                <wp:positionV relativeFrom="paragraph">
                  <wp:posOffset>9525</wp:posOffset>
                </wp:positionV>
                <wp:extent cx="1546860" cy="297180"/>
                <wp:effectExtent l="0" t="0" r="15240" b="26670"/>
                <wp:wrapNone/>
                <wp:docPr id="645761699" name="Text Box 4"/>
                <wp:cNvGraphicFramePr/>
                <a:graphic xmlns:a="http://schemas.openxmlformats.org/drawingml/2006/main">
                  <a:graphicData uri="http://schemas.microsoft.com/office/word/2010/wordprocessingShape">
                    <wps:wsp>
                      <wps:cNvSpPr txBox="1"/>
                      <wps:spPr>
                        <a:xfrm>
                          <a:off x="0" y="0"/>
                          <a:ext cx="1546860" cy="297180"/>
                        </a:xfrm>
                        <a:prstGeom prst="rect">
                          <a:avLst/>
                        </a:prstGeom>
                        <a:solidFill>
                          <a:schemeClr val="bg1"/>
                        </a:solidFill>
                        <a:ln w="6350">
                          <a:solidFill>
                            <a:schemeClr val="bg1"/>
                          </a:solidFill>
                        </a:ln>
                      </wps:spPr>
                      <wps:txbx>
                        <w:txbxContent>
                          <w:p w14:paraId="70FDF823" w14:textId="77777777" w:rsidR="00283A3E" w:rsidRPr="00F876D3" w:rsidRDefault="00283A3E" w:rsidP="00283A3E">
                            <w:pPr>
                              <w:rPr>
                                <w:sz w:val="16"/>
                                <w:szCs w:val="16"/>
                              </w:rPr>
                            </w:pPr>
                            <w:r>
                              <w:rPr>
                                <w:sz w:val="16"/>
                                <w:szCs w:val="16"/>
                              </w:rPr>
                              <w:t>(</w:t>
                            </w:r>
                            <w:r w:rsidRPr="00F876D3">
                              <w:rPr>
                                <w:sz w:val="16"/>
                                <w:szCs w:val="16"/>
                              </w:rPr>
                              <w:t>Welsh Government, 2017</w:t>
                            </w:r>
                            <w:r>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27C3BE" id="Text Box 4" o:spid="_x0000_s1029" type="#_x0000_t202" style="position:absolute;left:0;text-align:left;margin-left:1.2pt;margin-top:.75pt;width:121.8pt;height:23.4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" fillcolor="white [3212]" strokecolor="white [3212]" strokeweight=".5pt">
                <v:textbox>
                  <w:txbxContent>
                    <w:p w14:paraId="70FDF823" w14:textId="77777777" w:rsidR="00283A3E" w:rsidRPr="00F876D3" w:rsidRDefault="00283A3E" w:rsidP="00283A3E">
                      <w:pPr>
                        <w:rPr>
                          <w:sz w:val="16"/>
                          <w:szCs w:val="16"/>
                        </w:rPr>
                      </w:pPr>
                      <w:r>
                        <w:rPr>
                          <w:sz w:val="16"/>
                          <w:szCs w:val="16"/>
                        </w:rPr>
                        <w:t>(</w:t>
                      </w:r>
                      <w:r w:rsidRPr="00F876D3">
                        <w:rPr>
                          <w:sz w:val="16"/>
                          <w:szCs w:val="16"/>
                        </w:rPr>
                        <w:t>Welsh Government, 2017</w:t>
                      </w:r>
                      <w:r>
                        <w:rPr>
                          <w:sz w:val="16"/>
                          <w:szCs w:val="16"/>
                        </w:rPr>
                        <w:t>).</w:t>
                      </w:r>
                    </w:p>
                  </w:txbxContent>
                </v:textbox>
              </v:shape>
            </w:pict>
          </mc:Fallback>
        </mc:AlternateContent>
      </w:r>
      <w:r w:rsidRPr="00336747">
        <w:rPr>
          <w:rFonts w:cs="Times New Roman"/>
          <w:noProof/>
          <w:sz w:val="20"/>
          <w:szCs w:val="20"/>
        </w:rPr>
        <w:drawing>
          <wp:anchor distT="0" distB="0" distL="114300" distR="114300" simplePos="0" relativeHeight="251664384" behindDoc="1" locked="0" layoutInCell="1" allowOverlap="1" wp14:anchorId="67A6B8DA" wp14:editId="020E82CD">
            <wp:simplePos x="0" y="0"/>
            <wp:positionH relativeFrom="margin">
              <wp:align>left</wp:align>
            </wp:positionH>
            <wp:positionV relativeFrom="paragraph">
              <wp:posOffset>380365</wp:posOffset>
            </wp:positionV>
            <wp:extent cx="1661160" cy="2333625"/>
            <wp:effectExtent l="0" t="0" r="0" b="9525"/>
            <wp:wrapTight wrapText="bothSides">
              <wp:wrapPolygon edited="0">
                <wp:start x="0" y="0"/>
                <wp:lineTo x="0" y="21512"/>
                <wp:lineTo x="21303" y="21512"/>
                <wp:lineTo x="21303" y="0"/>
                <wp:lineTo x="0" y="0"/>
              </wp:wrapPolygon>
            </wp:wrapTight>
            <wp:docPr id="547750214" name="Picture 1" descr="A close-up of a broch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750214" name="Picture 1" descr="A close-up of a brochur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61160" cy="2333625"/>
                    </a:xfrm>
                    <a:prstGeom prst="rect">
                      <a:avLst/>
                    </a:prstGeom>
                  </pic:spPr>
                </pic:pic>
              </a:graphicData>
            </a:graphic>
            <wp14:sizeRelH relativeFrom="margin">
              <wp14:pctWidth>0</wp14:pctWidth>
            </wp14:sizeRelH>
            <wp14:sizeRelV relativeFrom="margin">
              <wp14:pctHeight>0</wp14:pctHeight>
            </wp14:sizeRelV>
          </wp:anchor>
        </w:drawing>
      </w:r>
      <w:r>
        <w:rPr>
          <w:rFonts w:cs="Times New Roman"/>
          <w:sz w:val="20"/>
          <w:szCs w:val="20"/>
        </w:rPr>
        <w:t xml:space="preserve">Schools can utilise formative assessments to better support and encourage their learners. These assessments allow educators to understand what a learner can and can’t do and what they may be able to do with some help. </w:t>
      </w:r>
      <w:r w:rsidRPr="009641C4">
        <w:rPr>
          <w:rFonts w:cs="Times New Roman"/>
          <w:sz w:val="20"/>
          <w:szCs w:val="20"/>
        </w:rPr>
        <w:t>The Welsh Government (2022</w:t>
      </w:r>
      <w:r>
        <w:rPr>
          <w:rFonts w:cs="Times New Roman"/>
          <w:sz w:val="20"/>
          <w:szCs w:val="20"/>
        </w:rPr>
        <w:t>b</w:t>
      </w:r>
      <w:r w:rsidRPr="009641C4">
        <w:rPr>
          <w:rFonts w:cs="Times New Roman"/>
          <w:sz w:val="20"/>
          <w:szCs w:val="20"/>
        </w:rPr>
        <w:t xml:space="preserve">) </w:t>
      </w:r>
      <w:r>
        <w:rPr>
          <w:rFonts w:cs="Times New Roman"/>
          <w:sz w:val="20"/>
          <w:szCs w:val="20"/>
        </w:rPr>
        <w:t>tell us</w:t>
      </w:r>
      <w:r w:rsidRPr="009641C4">
        <w:rPr>
          <w:rFonts w:cs="Times New Roman"/>
          <w:sz w:val="20"/>
          <w:szCs w:val="20"/>
        </w:rPr>
        <w:t xml:space="preserve"> that assessments are essential to the curriculum and play a crucial role in challenging and supporting the learner. </w:t>
      </w:r>
      <w:r w:rsidRPr="00D670C0">
        <w:rPr>
          <w:sz w:val="20"/>
          <w:szCs w:val="20"/>
        </w:rPr>
        <w:t>The</w:t>
      </w:r>
      <w:r>
        <w:rPr>
          <w:sz w:val="20"/>
          <w:szCs w:val="20"/>
        </w:rPr>
        <w:t xml:space="preserve"> </w:t>
      </w:r>
      <w:r w:rsidRPr="00D670C0">
        <w:rPr>
          <w:rFonts w:cs="Times New Roman"/>
          <w:sz w:val="20"/>
          <w:szCs w:val="20"/>
        </w:rPr>
        <w:t>Foundation Phase Profile</w:t>
      </w:r>
      <w:r w:rsidRPr="00D670C0">
        <w:rPr>
          <w:sz w:val="20"/>
          <w:szCs w:val="20"/>
        </w:rPr>
        <w:t xml:space="preserve"> </w:t>
      </w:r>
      <w:r>
        <w:rPr>
          <w:sz w:val="20"/>
          <w:szCs w:val="20"/>
        </w:rPr>
        <w:t>(</w:t>
      </w:r>
      <w:r w:rsidRPr="00D670C0">
        <w:rPr>
          <w:sz w:val="20"/>
          <w:szCs w:val="20"/>
        </w:rPr>
        <w:t>FPP</w:t>
      </w:r>
      <w:r>
        <w:rPr>
          <w:sz w:val="20"/>
          <w:szCs w:val="20"/>
        </w:rPr>
        <w:t>)</w:t>
      </w:r>
      <w:r w:rsidRPr="00D670C0">
        <w:rPr>
          <w:sz w:val="20"/>
          <w:szCs w:val="20"/>
        </w:rPr>
        <w:t xml:space="preserve"> employs both summative and formative assessments to monitor the learner’</w:t>
      </w:r>
      <w:r>
        <w:rPr>
          <w:sz w:val="20"/>
          <w:szCs w:val="20"/>
        </w:rPr>
        <w:t xml:space="preserve">s progress </w:t>
      </w:r>
      <w:r w:rsidRPr="00D670C0">
        <w:rPr>
          <w:sz w:val="20"/>
          <w:szCs w:val="20"/>
        </w:rPr>
        <w:t xml:space="preserve">and conduct evaluations, with the aim of setting </w:t>
      </w:r>
      <w:r>
        <w:rPr>
          <w:sz w:val="20"/>
          <w:szCs w:val="20"/>
        </w:rPr>
        <w:t xml:space="preserve">further </w:t>
      </w:r>
      <w:r w:rsidRPr="00D670C0">
        <w:rPr>
          <w:sz w:val="20"/>
          <w:szCs w:val="20"/>
        </w:rPr>
        <w:t>targets in the specific area of learning (Welsh Government, 2017).</w:t>
      </w:r>
      <w:r w:rsidRPr="00D670C0">
        <w:rPr>
          <w:rFonts w:cs="Times New Roman"/>
          <w:sz w:val="20"/>
          <w:szCs w:val="20"/>
        </w:rPr>
        <w:t xml:space="preserve"> Vygotsky’s (1978) </w:t>
      </w:r>
      <w:hyperlink r:id="rId20" w:history="1">
        <w:r>
          <w:t>Zone of Proximal Development</w:t>
        </w:r>
        <w:r w:rsidRPr="00D12347">
          <w:rPr>
            <w:rStyle w:val="Hyperlink"/>
            <w:rFonts w:cs="Times New Roman"/>
            <w:sz w:val="20"/>
            <w:szCs w:val="20"/>
          </w:rPr>
          <w:t xml:space="preserve"> (ZPD)</w:t>
        </w:r>
      </w:hyperlink>
      <w:r>
        <w:rPr>
          <w:rFonts w:cs="Times New Roman"/>
          <w:sz w:val="20"/>
          <w:szCs w:val="20"/>
        </w:rPr>
        <w:t xml:space="preserve"> (McLeod, 2024)</w:t>
      </w:r>
      <w:r w:rsidRPr="001B772F">
        <w:rPr>
          <w:rFonts w:cs="Times New Roman"/>
          <w:sz w:val="20"/>
          <w:szCs w:val="20"/>
        </w:rPr>
        <w:t xml:space="preserve"> </w:t>
      </w:r>
      <w:r>
        <w:rPr>
          <w:rFonts w:cs="Times New Roman"/>
          <w:sz w:val="20"/>
          <w:szCs w:val="20"/>
        </w:rPr>
        <w:t>is an ideal theoretical approach to use in formative assessments because it utilises the information gained and instructs the educator about how to develop it further. How to use the theory:</w:t>
      </w:r>
    </w:p>
    <w:p w14:paraId="7822BAF1" w14:textId="77777777" w:rsidR="00283A3E" w:rsidRDefault="00283A3E" w:rsidP="00283A3E">
      <w:pPr>
        <w:pStyle w:val="ListParagraph"/>
        <w:numPr>
          <w:ilvl w:val="0"/>
          <w:numId w:val="2"/>
        </w:numPr>
        <w:rPr>
          <w:rFonts w:cs="Times New Roman"/>
          <w:sz w:val="20"/>
          <w:szCs w:val="20"/>
        </w:rPr>
      </w:pPr>
      <w:r>
        <w:rPr>
          <w:rFonts w:cs="Times New Roman"/>
          <w:sz w:val="20"/>
          <w:szCs w:val="20"/>
        </w:rPr>
        <w:t>U</w:t>
      </w:r>
      <w:r w:rsidRPr="009641C4">
        <w:rPr>
          <w:rFonts w:cs="Times New Roman"/>
          <w:sz w:val="20"/>
          <w:szCs w:val="20"/>
        </w:rPr>
        <w:t>nderstand what the learner can do</w:t>
      </w:r>
      <w:r>
        <w:rPr>
          <w:rFonts w:cs="Times New Roman"/>
          <w:sz w:val="20"/>
          <w:szCs w:val="20"/>
        </w:rPr>
        <w:t>.</w:t>
      </w:r>
      <w:r w:rsidRPr="009641C4">
        <w:rPr>
          <w:rFonts w:cs="Times New Roman"/>
          <w:sz w:val="20"/>
          <w:szCs w:val="20"/>
        </w:rPr>
        <w:t xml:space="preserve"> </w:t>
      </w:r>
    </w:p>
    <w:p w14:paraId="676AA928" w14:textId="77777777" w:rsidR="00283A3E" w:rsidRDefault="00283A3E" w:rsidP="00283A3E">
      <w:pPr>
        <w:pStyle w:val="ListParagraph"/>
        <w:numPr>
          <w:ilvl w:val="0"/>
          <w:numId w:val="2"/>
        </w:numPr>
        <w:rPr>
          <w:rFonts w:cs="Times New Roman"/>
          <w:sz w:val="20"/>
          <w:szCs w:val="20"/>
        </w:rPr>
      </w:pPr>
      <w:r>
        <w:rPr>
          <w:rFonts w:cs="Times New Roman"/>
          <w:sz w:val="20"/>
          <w:szCs w:val="20"/>
        </w:rPr>
        <w:t>Know what</w:t>
      </w:r>
      <w:r w:rsidRPr="009641C4">
        <w:rPr>
          <w:rFonts w:cs="Times New Roman"/>
          <w:sz w:val="20"/>
          <w:szCs w:val="20"/>
        </w:rPr>
        <w:t xml:space="preserve"> they can do with the help of a Most Knowledgeable Other (MKO)</w:t>
      </w:r>
      <w:r>
        <w:rPr>
          <w:rFonts w:cs="Times New Roman"/>
          <w:sz w:val="20"/>
          <w:szCs w:val="20"/>
        </w:rPr>
        <w:t>.</w:t>
      </w:r>
    </w:p>
    <w:p w14:paraId="01E85C3F" w14:textId="77777777" w:rsidR="00283A3E" w:rsidRDefault="00283A3E" w:rsidP="00283A3E">
      <w:pPr>
        <w:pStyle w:val="ListParagraph"/>
        <w:numPr>
          <w:ilvl w:val="0"/>
          <w:numId w:val="2"/>
        </w:numPr>
        <w:rPr>
          <w:rFonts w:cs="Times New Roman"/>
          <w:sz w:val="20"/>
          <w:szCs w:val="20"/>
        </w:rPr>
      </w:pPr>
      <w:r>
        <w:rPr>
          <w:rFonts w:cs="Times New Roman"/>
          <w:sz w:val="20"/>
          <w:szCs w:val="20"/>
        </w:rPr>
        <w:t xml:space="preserve">Implement </w:t>
      </w:r>
      <w:r w:rsidRPr="009641C4">
        <w:rPr>
          <w:rFonts w:cs="Times New Roman"/>
          <w:sz w:val="20"/>
          <w:szCs w:val="20"/>
        </w:rPr>
        <w:t>scaffolding in the ZPD</w:t>
      </w:r>
      <w:r>
        <w:rPr>
          <w:rFonts w:cs="Times New Roman"/>
          <w:sz w:val="20"/>
          <w:szCs w:val="20"/>
        </w:rPr>
        <w:t>.</w:t>
      </w:r>
    </w:p>
    <w:p w14:paraId="4A2781E7" w14:textId="77777777" w:rsidR="00283A3E" w:rsidRDefault="00283A3E" w:rsidP="00283A3E">
      <w:pPr>
        <w:pStyle w:val="ListParagraph"/>
        <w:numPr>
          <w:ilvl w:val="0"/>
          <w:numId w:val="2"/>
        </w:numPr>
        <w:rPr>
          <w:rFonts w:cs="Times New Roman"/>
          <w:sz w:val="20"/>
          <w:szCs w:val="20"/>
        </w:rPr>
      </w:pPr>
      <w:r>
        <w:rPr>
          <w:rFonts w:cs="Times New Roman"/>
          <w:sz w:val="20"/>
          <w:szCs w:val="20"/>
        </w:rPr>
        <w:t xml:space="preserve">Understand </w:t>
      </w:r>
      <w:r w:rsidRPr="009641C4">
        <w:rPr>
          <w:rFonts w:cs="Times New Roman"/>
          <w:sz w:val="20"/>
          <w:szCs w:val="20"/>
        </w:rPr>
        <w:t>what they cannot yet achieve</w:t>
      </w:r>
      <w:r>
        <w:rPr>
          <w:rFonts w:cs="Times New Roman"/>
          <w:sz w:val="20"/>
          <w:szCs w:val="20"/>
        </w:rPr>
        <w:t>.</w:t>
      </w:r>
      <w:r w:rsidRPr="0087483A">
        <w:rPr>
          <w:rFonts w:cs="Times New Roman"/>
          <w:sz w:val="20"/>
          <w:szCs w:val="20"/>
        </w:rPr>
        <w:t xml:space="preserve"> </w:t>
      </w:r>
    </w:p>
    <w:p w14:paraId="68AF4A6B" w14:textId="77777777" w:rsidR="00283A3E" w:rsidRDefault="00283A3E" w:rsidP="00283A3E">
      <w:pPr>
        <w:pStyle w:val="ListParagraph"/>
        <w:numPr>
          <w:ilvl w:val="0"/>
          <w:numId w:val="2"/>
        </w:numPr>
        <w:rPr>
          <w:rFonts w:cs="Times New Roman"/>
          <w:sz w:val="20"/>
          <w:szCs w:val="20"/>
        </w:rPr>
      </w:pPr>
      <w:r>
        <w:rPr>
          <w:rFonts w:cs="Times New Roman"/>
          <w:sz w:val="20"/>
          <w:szCs w:val="20"/>
        </w:rPr>
        <w:t>Repeat (</w:t>
      </w:r>
      <w:r w:rsidRPr="0087483A">
        <w:rPr>
          <w:rFonts w:cs="Times New Roman"/>
          <w:sz w:val="20"/>
          <w:szCs w:val="20"/>
        </w:rPr>
        <w:t>Wass and Golding, 2014).</w:t>
      </w:r>
    </w:p>
    <w:p w14:paraId="1191347E" w14:textId="77777777" w:rsidR="00283A3E" w:rsidRDefault="00283A3E" w:rsidP="00283A3E">
      <w:pPr>
        <w:pStyle w:val="ListParagraph"/>
        <w:ind w:left="3240"/>
        <w:rPr>
          <w:rFonts w:cs="Times New Roman"/>
          <w:sz w:val="20"/>
          <w:szCs w:val="20"/>
        </w:rPr>
      </w:pPr>
    </w:p>
    <w:p w14:paraId="72CAFE9F" w14:textId="77777777" w:rsidR="00283A3E" w:rsidRDefault="00283A3E" w:rsidP="00283A3E">
      <w:pPr>
        <w:pStyle w:val="ListParagraph"/>
        <w:ind w:left="3240"/>
        <w:rPr>
          <w:rFonts w:cs="Times New Roman"/>
          <w:sz w:val="20"/>
          <w:szCs w:val="20"/>
        </w:rPr>
      </w:pPr>
    </w:p>
    <w:p w14:paraId="538A19CC" w14:textId="77777777" w:rsidR="00283A3E" w:rsidRDefault="00283A3E" w:rsidP="00283A3E">
      <w:pPr>
        <w:tabs>
          <w:tab w:val="left" w:pos="4275"/>
        </w:tabs>
        <w:rPr>
          <w:b/>
          <w:bCs/>
          <w:color w:val="215E99" w:themeColor="text2" w:themeTint="BF"/>
          <w:sz w:val="28"/>
          <w:szCs w:val="28"/>
        </w:rPr>
      </w:pPr>
      <w:r>
        <w:rPr>
          <w:b/>
          <w:bCs/>
          <w:color w:val="215E99" w:themeColor="text2" w:themeTint="BF"/>
          <w:sz w:val="28"/>
          <w:szCs w:val="28"/>
        </w:rPr>
        <w:t>Connectivism – a modern theoretical approach for the digital age</w:t>
      </w:r>
    </w:p>
    <w:p w14:paraId="740C9626" w14:textId="77777777" w:rsidR="00283A3E" w:rsidRDefault="00283A3E" w:rsidP="00283A3E">
      <w:pPr>
        <w:tabs>
          <w:tab w:val="left" w:pos="4275"/>
        </w:tabs>
        <w:rPr>
          <w:sz w:val="20"/>
          <w:szCs w:val="20"/>
        </w:rPr>
      </w:pPr>
      <w:r w:rsidRPr="6AC18483">
        <w:rPr>
          <w:sz w:val="20"/>
          <w:szCs w:val="20"/>
        </w:rPr>
        <w:t xml:space="preserve">And finally, online education games!! Online games are unavoidable in this day and age and the classroom is no exception. Connectivism, a theoretical approach for the twenty-first century learner looks at the role of learning through technology (Dennis, 2024). Using technology such as educational online games to encourage learners to participate in numeracy lessons is one of the biggest hits in my classroom. Websites such as </w:t>
      </w:r>
      <w:hyperlink r:id="rId21">
        <w:r w:rsidRPr="6AC18483">
          <w:rPr>
            <w:rStyle w:val="Hyperlink"/>
            <w:sz w:val="20"/>
            <w:szCs w:val="20"/>
          </w:rPr>
          <w:t>Top Marks</w:t>
        </w:r>
      </w:hyperlink>
      <w:r w:rsidRPr="6AC18483">
        <w:rPr>
          <w:sz w:val="20"/>
          <w:szCs w:val="20"/>
        </w:rPr>
        <w:t xml:space="preserve"> (2025) really help to engage and encourage learners who normally would shy away from a maths lesson. It’s an interactive session that all the learners love, it even has them asking to use it in their free time (how amazing!) </w:t>
      </w:r>
    </w:p>
    <w:p w14:paraId="21E9375A" w14:textId="77777777" w:rsidR="00283A3E" w:rsidRPr="00C5163C" w:rsidRDefault="00283A3E" w:rsidP="00283A3E">
      <w:pPr>
        <w:tabs>
          <w:tab w:val="left" w:pos="4275"/>
        </w:tabs>
        <w:rPr>
          <w:sz w:val="20"/>
          <w:szCs w:val="20"/>
        </w:rPr>
      </w:pPr>
      <w:r>
        <w:rPr>
          <w:sz w:val="20"/>
          <w:szCs w:val="20"/>
        </w:rPr>
        <w:t xml:space="preserve">Hopefully, I have been of some use and have given you some ideas on how schools can encourage numeracy </w:t>
      </w:r>
      <w:r w:rsidRPr="00456B0F">
        <w:rPr>
          <mc:AlternateContent>
            <mc:Choice Requires="w16se"/>
            <mc:Fallback>
              <w:rFonts w:ascii="Segoe UI Emoji" w:eastAsia="Segoe UI Emoji" w:hAnsi="Segoe UI Emoji" w:cs="Segoe UI Emoji"/>
            </mc:Fallback>
          </mc:AlternateContent>
          <w:sz w:val="20"/>
          <w:szCs w:val="20"/>
        </w:rPr>
        <mc:AlternateContent>
          <mc:Choice Requires="w16se">
            <w16se:symEx w16se:font="Segoe UI Emoji" w16se:char="1F60A"/>
          </mc:Choice>
          <mc:Fallback>
            <w:t>😊</w:t>
          </mc:Fallback>
        </mc:AlternateContent>
      </w:r>
      <w:r>
        <w:rPr>
          <w:sz w:val="20"/>
          <w:szCs w:val="20"/>
        </w:rPr>
        <w:t xml:space="preserve"> So go and give some of these ideas a try and see if you can encourage your learners to be more numerical!</w:t>
      </w:r>
    </w:p>
    <w:p w14:paraId="06591925" w14:textId="77777777" w:rsidR="00283A3E" w:rsidRDefault="00283A3E" w:rsidP="00283A3E">
      <w:pPr>
        <w:jc w:val="center"/>
        <w:rPr>
          <w:sz w:val="32"/>
          <w:szCs w:val="32"/>
        </w:rPr>
      </w:pPr>
    </w:p>
    <w:p w14:paraId="78DDF780" w14:textId="77777777" w:rsidR="00283A3E" w:rsidRDefault="00283A3E" w:rsidP="00283A3E">
      <w:pPr>
        <w:jc w:val="center"/>
        <w:rPr>
          <w:sz w:val="32"/>
          <w:szCs w:val="32"/>
        </w:rPr>
      </w:pPr>
    </w:p>
    <w:p w14:paraId="4A573B42" w14:textId="77777777" w:rsidR="00283A3E" w:rsidRDefault="00283A3E" w:rsidP="00283A3E">
      <w:pPr>
        <w:jc w:val="center"/>
        <w:rPr>
          <w:sz w:val="32"/>
          <w:szCs w:val="32"/>
        </w:rPr>
      </w:pPr>
    </w:p>
    <w:p w14:paraId="1EE4C471" w14:textId="77777777" w:rsidR="00283A3E" w:rsidRDefault="00283A3E" w:rsidP="00283A3E">
      <w:pPr>
        <w:jc w:val="center"/>
        <w:rPr>
          <w:sz w:val="32"/>
          <w:szCs w:val="32"/>
        </w:rPr>
      </w:pPr>
    </w:p>
    <w:p w14:paraId="3FBB2E43" w14:textId="77777777" w:rsidR="00283A3E" w:rsidRDefault="00283A3E" w:rsidP="00283A3E">
      <w:pPr>
        <w:jc w:val="center"/>
        <w:rPr>
          <w:sz w:val="32"/>
          <w:szCs w:val="32"/>
        </w:rPr>
      </w:pPr>
    </w:p>
    <w:p w14:paraId="29B6BDB6" w14:textId="77D96899" w:rsidR="004433E9" w:rsidRDefault="004433E9" w:rsidP="00283A3E">
      <w:pPr>
        <w:jc w:val="center"/>
        <w:rPr>
          <w:sz w:val="32"/>
          <w:szCs w:val="32"/>
        </w:rPr>
      </w:pPr>
      <w:r>
        <w:rPr>
          <w:sz w:val="32"/>
          <w:szCs w:val="32"/>
        </w:rPr>
        <w:lastRenderedPageBreak/>
        <w:t>Element 2: References</w:t>
      </w:r>
    </w:p>
    <w:p w14:paraId="3F400A4D" w14:textId="77777777" w:rsidR="004433E9" w:rsidRDefault="004433E9" w:rsidP="004433E9">
      <w:pPr>
        <w:spacing w:line="360" w:lineRule="auto"/>
        <w:rPr>
          <w:rFonts w:cs="Times New Roman"/>
        </w:rPr>
      </w:pPr>
      <w:r w:rsidRPr="003D67B0">
        <w:rPr>
          <w:rFonts w:cs="Times New Roman"/>
        </w:rPr>
        <w:t>Adobe Stock</w:t>
      </w:r>
      <w:r>
        <w:rPr>
          <w:rFonts w:cs="Times New Roman"/>
        </w:rPr>
        <w:t xml:space="preserve">. </w:t>
      </w:r>
      <w:r w:rsidRPr="003D67B0">
        <w:rPr>
          <w:rFonts w:cs="Times New Roman"/>
        </w:rPr>
        <w:t xml:space="preserve">(2025). </w:t>
      </w:r>
      <w:r w:rsidRPr="003D67B0">
        <w:rPr>
          <w:rFonts w:cs="Times New Roman"/>
          <w:i/>
          <w:iCs/>
        </w:rPr>
        <w:t>Growth Mindset Images</w:t>
      </w:r>
      <w:r>
        <w:rPr>
          <w:rFonts w:cs="Times New Roman"/>
          <w:i/>
          <w:iCs/>
        </w:rPr>
        <w:t xml:space="preserve">. </w:t>
      </w:r>
      <w:r w:rsidRPr="003D67B0">
        <w:rPr>
          <w:rFonts w:cs="Times New Roman"/>
        </w:rPr>
        <w:t>[</w:t>
      </w:r>
      <w:r>
        <w:rPr>
          <w:rFonts w:cs="Times New Roman"/>
        </w:rPr>
        <w:t>O</w:t>
      </w:r>
      <w:r w:rsidRPr="003D67B0">
        <w:rPr>
          <w:rFonts w:cs="Times New Roman"/>
        </w:rPr>
        <w:t xml:space="preserve">nline]. Available at: </w:t>
      </w:r>
      <w:hyperlink r:id="rId22" w:history="1">
        <w:r w:rsidRPr="003D67B0">
          <w:rPr>
            <w:rStyle w:val="Hyperlink"/>
            <w:rFonts w:cs="Times New Roman"/>
          </w:rPr>
          <w:t>https://stock.adobe.com/uk/search?k=growth+mindset&amp;search_type=usertyped&amp;asset_id=510988348</w:t>
        </w:r>
      </w:hyperlink>
      <w:r>
        <w:rPr>
          <w:rFonts w:cs="Times New Roman"/>
        </w:rPr>
        <w:t>. (Accessed 24</w:t>
      </w:r>
      <w:r w:rsidRPr="003D67B0">
        <w:rPr>
          <w:rFonts w:cs="Times New Roman"/>
          <w:vertAlign w:val="superscript"/>
        </w:rPr>
        <w:t>th</w:t>
      </w:r>
      <w:r>
        <w:rPr>
          <w:rFonts w:cs="Times New Roman"/>
        </w:rPr>
        <w:t xml:space="preserve"> February 2025).</w:t>
      </w:r>
    </w:p>
    <w:p w14:paraId="16D8036B" w14:textId="77777777" w:rsidR="004433E9" w:rsidRPr="002711A3" w:rsidRDefault="004433E9" w:rsidP="004433E9">
      <w:r w:rsidRPr="00505C0F">
        <w:t xml:space="preserve">Barnes, J. (2015). </w:t>
      </w:r>
      <w:r w:rsidRPr="00772964">
        <w:rPr>
          <w:i/>
          <w:iCs/>
        </w:rPr>
        <w:t>An Introduction to Cross-Curricular Learning</w:t>
      </w:r>
      <w:r w:rsidRPr="00505C0F">
        <w:t>.</w:t>
      </w:r>
      <w:r>
        <w:t xml:space="preserve"> London: Sage Publishing.</w:t>
      </w:r>
    </w:p>
    <w:p w14:paraId="7807D25F" w14:textId="77777777" w:rsidR="004433E9" w:rsidRDefault="004433E9" w:rsidP="004433E9">
      <w:pPr>
        <w:spacing w:line="360" w:lineRule="auto"/>
        <w:rPr>
          <w:rFonts w:cs="Times New Roman"/>
        </w:rPr>
      </w:pPr>
      <w:r w:rsidRPr="006E10CC">
        <w:rPr>
          <w:rFonts w:cs="Times New Roman"/>
        </w:rPr>
        <w:t xml:space="preserve">Bates, B. (2019). </w:t>
      </w:r>
      <w:r w:rsidRPr="006E10CC">
        <w:rPr>
          <w:rFonts w:cs="Times New Roman"/>
          <w:i/>
          <w:iCs/>
        </w:rPr>
        <w:t xml:space="preserve">Learning Theories Simplified. </w:t>
      </w:r>
      <w:r w:rsidRPr="006E10CC">
        <w:rPr>
          <w:rFonts w:cs="Times New Roman"/>
        </w:rPr>
        <w:t>London: Sage Publishing.</w:t>
      </w:r>
    </w:p>
    <w:p w14:paraId="5F1E70AF" w14:textId="77777777" w:rsidR="004433E9" w:rsidRDefault="004433E9" w:rsidP="004433E9">
      <w:pPr>
        <w:spacing w:line="360" w:lineRule="auto"/>
        <w:rPr>
          <w:rFonts w:cs="Times New Roman"/>
        </w:rPr>
      </w:pPr>
      <w:r w:rsidRPr="00285E88">
        <w:rPr>
          <w:rFonts w:cs="Times New Roman"/>
        </w:rPr>
        <w:t>Castaneda Valle, R. (2024), “The triangle of lifelong learning: Strategies, motivation, and self-belief”, </w:t>
      </w:r>
      <w:r w:rsidRPr="00285E88">
        <w:rPr>
          <w:rFonts w:cs="Times New Roman"/>
          <w:i/>
          <w:iCs/>
        </w:rPr>
        <w:t>PISA in Focus</w:t>
      </w:r>
      <w:r w:rsidRPr="00285E88">
        <w:rPr>
          <w:rFonts w:cs="Times New Roman"/>
        </w:rPr>
        <w:t>, No. 128, OECD Publishing, Paris, </w:t>
      </w:r>
      <w:hyperlink r:id="rId23" w:history="1">
        <w:r w:rsidRPr="00285E88">
          <w:rPr>
            <w:rStyle w:val="Hyperlink"/>
            <w:rFonts w:cs="Times New Roman"/>
          </w:rPr>
          <w:t>https://doi.org/10.1787/45ec682f-en</w:t>
        </w:r>
      </w:hyperlink>
      <w:r w:rsidRPr="00285E88">
        <w:rPr>
          <w:rFonts w:cs="Times New Roman"/>
        </w:rPr>
        <w:t>.</w:t>
      </w:r>
      <w:r>
        <w:rPr>
          <w:rFonts w:cs="Times New Roman"/>
        </w:rPr>
        <w:t xml:space="preserve"> (Accessed: 27</w:t>
      </w:r>
      <w:r w:rsidRPr="00285E88">
        <w:rPr>
          <w:rFonts w:cs="Times New Roman"/>
          <w:vertAlign w:val="superscript"/>
        </w:rPr>
        <w:t>th</w:t>
      </w:r>
      <w:r>
        <w:rPr>
          <w:rFonts w:cs="Times New Roman"/>
        </w:rPr>
        <w:t xml:space="preserve"> February 2025).</w:t>
      </w:r>
    </w:p>
    <w:p w14:paraId="2DD5D240" w14:textId="77777777" w:rsidR="004433E9" w:rsidRPr="006E10CC" w:rsidRDefault="004433E9" w:rsidP="004433E9">
      <w:pPr>
        <w:spacing w:line="360" w:lineRule="auto"/>
        <w:rPr>
          <w:rFonts w:cs="Times New Roman"/>
        </w:rPr>
      </w:pPr>
      <w:r w:rsidRPr="00BB41DD">
        <w:rPr>
          <w:rFonts w:cs="Times New Roman"/>
        </w:rPr>
        <w:t xml:space="preserve">Dennis, J. (2024). </w:t>
      </w:r>
      <w:r>
        <w:rPr>
          <w:rFonts w:cs="Times New Roman"/>
        </w:rPr>
        <w:t>‘</w:t>
      </w:r>
      <w:r w:rsidRPr="00BB41DD">
        <w:rPr>
          <w:rFonts w:cs="Times New Roman"/>
        </w:rPr>
        <w:t>Capitalizing Networked Learning: Connectivism, Multiliteracies and the Architectonics of Pedagogy</w:t>
      </w:r>
      <w:r>
        <w:rPr>
          <w:rFonts w:cs="Times New Roman"/>
        </w:rPr>
        <w:t>’</w:t>
      </w:r>
      <w:r w:rsidRPr="00BB41DD">
        <w:rPr>
          <w:rFonts w:cs="Times New Roman"/>
        </w:rPr>
        <w:t xml:space="preserve">. </w:t>
      </w:r>
      <w:r w:rsidRPr="00BB41DD">
        <w:rPr>
          <w:rFonts w:cs="Times New Roman"/>
          <w:i/>
          <w:iCs/>
        </w:rPr>
        <w:t>Journal of Contemporary Issues in Education</w:t>
      </w:r>
      <w:r w:rsidRPr="00BB41DD">
        <w:rPr>
          <w:rFonts w:cs="Times New Roman"/>
        </w:rPr>
        <w:t>,19(1), pp.138–167. doi:https://doi.org/10.20355/jcie29626.</w:t>
      </w:r>
    </w:p>
    <w:p w14:paraId="7EEFB192" w14:textId="77777777" w:rsidR="004433E9" w:rsidRDefault="004433E9" w:rsidP="004433E9">
      <w:r>
        <w:t xml:space="preserve">Dweck, C. S. (2012). </w:t>
      </w:r>
      <w:r w:rsidRPr="006E10CC">
        <w:rPr>
          <w:i/>
          <w:iCs/>
        </w:rPr>
        <w:t>Mindset: How you can Fulfil your Potential</w:t>
      </w:r>
      <w:r>
        <w:t>. London: Robinson.</w:t>
      </w:r>
    </w:p>
    <w:p w14:paraId="4C7C2374" w14:textId="77777777" w:rsidR="004433E9" w:rsidRPr="0044465F" w:rsidRDefault="004433E9" w:rsidP="004433E9">
      <w:r w:rsidRPr="0044465F">
        <w:t>Dweck, C.</w:t>
      </w:r>
      <w:r>
        <w:t xml:space="preserve"> S.</w:t>
      </w:r>
      <w:r w:rsidRPr="0044465F">
        <w:t xml:space="preserve"> (2014). </w:t>
      </w:r>
      <w:r w:rsidRPr="0044465F">
        <w:rPr>
          <w:i/>
          <w:iCs/>
        </w:rPr>
        <w:t>Developing a Growth Mindset with Carol Dweck</w:t>
      </w:r>
      <w:r w:rsidRPr="0044465F">
        <w:t>. [</w:t>
      </w:r>
      <w:r>
        <w:t>O</w:t>
      </w:r>
      <w:r w:rsidRPr="0044465F">
        <w:t xml:space="preserve">nline] YouTube. Available at: </w:t>
      </w:r>
      <w:hyperlink r:id="rId24" w:history="1">
        <w:r w:rsidRPr="0044465F">
          <w:rPr>
            <w:rStyle w:val="Hyperlink"/>
          </w:rPr>
          <w:t>https://youtu.be/hiiEeMN7vbQ</w:t>
        </w:r>
      </w:hyperlink>
      <w:r w:rsidRPr="0044465F">
        <w:t>.</w:t>
      </w:r>
      <w:r>
        <w:t xml:space="preserve"> (Accessed: 24</w:t>
      </w:r>
      <w:r w:rsidRPr="0044465F">
        <w:rPr>
          <w:vertAlign w:val="superscript"/>
        </w:rPr>
        <w:t>th</w:t>
      </w:r>
      <w:r>
        <w:t xml:space="preserve"> February 2025).</w:t>
      </w:r>
    </w:p>
    <w:p w14:paraId="5168E4E4" w14:textId="77777777" w:rsidR="004433E9" w:rsidRPr="003D67B0" w:rsidRDefault="004433E9" w:rsidP="004433E9">
      <w:r w:rsidRPr="003D67B0">
        <w:t xml:space="preserve">Gabriel, F. (2022). </w:t>
      </w:r>
      <w:r>
        <w:t>‘</w:t>
      </w:r>
      <w:r w:rsidRPr="003D67B0">
        <w:t>Maths anxiety – and how to overcome it</w:t>
      </w:r>
      <w:r>
        <w:t>’</w:t>
      </w:r>
      <w:r w:rsidRPr="003D67B0">
        <w:t xml:space="preserve">. </w:t>
      </w:r>
      <w:r w:rsidRPr="003D67B0">
        <w:rPr>
          <w:i/>
          <w:iCs/>
        </w:rPr>
        <w:t>Significance</w:t>
      </w:r>
      <w:r w:rsidRPr="003D67B0">
        <w:t>,</w:t>
      </w:r>
      <w:r>
        <w:t xml:space="preserve"> </w:t>
      </w:r>
      <w:r w:rsidRPr="003D67B0">
        <w:t>19(1), pp.34–35. doi:https://doi.org/10.1111/1740-9713.01612.</w:t>
      </w:r>
      <w:r>
        <w:t xml:space="preserve"> (Accessed: 24</w:t>
      </w:r>
      <w:r w:rsidRPr="003D67B0">
        <w:rPr>
          <w:vertAlign w:val="superscript"/>
        </w:rPr>
        <w:t>th</w:t>
      </w:r>
      <w:r>
        <w:t xml:space="preserve"> February 2025).</w:t>
      </w:r>
    </w:p>
    <w:p w14:paraId="4021F12B" w14:textId="77777777" w:rsidR="004433E9" w:rsidRDefault="004433E9" w:rsidP="004433E9">
      <w:pPr>
        <w:rPr>
          <w:rFonts w:eastAsia="Times New Roman" w:cs="Times New Roman"/>
          <w:kern w:val="0"/>
          <w:lang w:eastAsia="en-GB"/>
          <w14:ligatures w14:val="none"/>
        </w:rPr>
      </w:pPr>
      <w:r w:rsidRPr="008E062E">
        <w:rPr>
          <w:rFonts w:eastAsia="Times New Roman" w:cs="Times New Roman"/>
          <w:kern w:val="0"/>
          <w:lang w:eastAsia="en-GB"/>
          <w14:ligatures w14:val="none"/>
        </w:rPr>
        <w:t>Hughes, A. M. (2009). </w:t>
      </w:r>
      <w:r w:rsidRPr="008E062E">
        <w:rPr>
          <w:rFonts w:eastAsia="Times New Roman" w:cs="Times New Roman"/>
          <w:i/>
          <w:iCs/>
          <w:kern w:val="0"/>
          <w:lang w:eastAsia="en-GB"/>
          <w14:ligatures w14:val="none"/>
        </w:rPr>
        <w:t xml:space="preserve">Problem solving, reasoning and numeracy in the early years </w:t>
      </w:r>
      <w:r w:rsidRPr="00D03AA8">
        <w:rPr>
          <w:rFonts w:eastAsia="Times New Roman" w:cs="Times New Roman"/>
          <w:i/>
          <w:iCs/>
          <w:kern w:val="0"/>
          <w:lang w:eastAsia="en-GB"/>
          <w14:ligatures w14:val="none"/>
        </w:rPr>
        <w:t>foundation stage</w:t>
      </w:r>
      <w:r w:rsidRPr="00D03AA8">
        <w:rPr>
          <w:rFonts w:eastAsia="Times New Roman" w:cs="Times New Roman"/>
          <w:kern w:val="0"/>
          <w:lang w:eastAsia="en-GB"/>
          <w14:ligatures w14:val="none"/>
        </w:rPr>
        <w:t>. Routledge.</w:t>
      </w:r>
    </w:p>
    <w:p w14:paraId="712DDF80" w14:textId="77777777" w:rsidR="004433E9" w:rsidRDefault="004433E9" w:rsidP="004433E9">
      <w:pPr>
        <w:rPr>
          <w:rFonts w:eastAsia="Times New Roman" w:cs="Times New Roman"/>
          <w:kern w:val="0"/>
          <w:lang w:eastAsia="en-GB"/>
          <w14:ligatures w14:val="none"/>
        </w:rPr>
      </w:pPr>
      <w:r w:rsidRPr="009C3CEA">
        <w:rPr>
          <w:rFonts w:eastAsia="Times New Roman" w:cs="Times New Roman"/>
          <w:kern w:val="0"/>
          <w:lang w:eastAsia="en-GB"/>
          <w14:ligatures w14:val="none"/>
        </w:rPr>
        <w:t xml:space="preserve">McLeod, S. (2024). </w:t>
      </w:r>
      <w:r w:rsidRPr="009C3CEA">
        <w:rPr>
          <w:rFonts w:eastAsia="Times New Roman" w:cs="Times New Roman"/>
          <w:i/>
          <w:iCs/>
          <w:kern w:val="0"/>
          <w:lang w:eastAsia="en-GB"/>
          <w14:ligatures w14:val="none"/>
        </w:rPr>
        <w:t>The zone of proximal development and scaffolding</w:t>
      </w:r>
      <w:r>
        <w:rPr>
          <w:rFonts w:eastAsia="Times New Roman" w:cs="Times New Roman"/>
          <w:i/>
          <w:iCs/>
          <w:kern w:val="0"/>
          <w:lang w:eastAsia="en-GB"/>
          <w14:ligatures w14:val="none"/>
        </w:rPr>
        <w:t>’</w:t>
      </w:r>
      <w:r w:rsidRPr="009C3CEA">
        <w:rPr>
          <w:rFonts w:eastAsia="Times New Roman" w:cs="Times New Roman"/>
          <w:kern w:val="0"/>
          <w:lang w:eastAsia="en-GB"/>
          <w14:ligatures w14:val="none"/>
        </w:rPr>
        <w:t>. [</w:t>
      </w:r>
      <w:r>
        <w:rPr>
          <w:rFonts w:eastAsia="Times New Roman" w:cs="Times New Roman"/>
          <w:kern w:val="0"/>
          <w:lang w:eastAsia="en-GB"/>
          <w14:ligatures w14:val="none"/>
        </w:rPr>
        <w:t>O</w:t>
      </w:r>
      <w:r w:rsidRPr="009C3CEA">
        <w:rPr>
          <w:rFonts w:eastAsia="Times New Roman" w:cs="Times New Roman"/>
          <w:kern w:val="0"/>
          <w:lang w:eastAsia="en-GB"/>
          <w14:ligatures w14:val="none"/>
        </w:rPr>
        <w:t>nline]</w:t>
      </w:r>
      <w:r>
        <w:rPr>
          <w:rFonts w:eastAsia="Times New Roman" w:cs="Times New Roman"/>
          <w:kern w:val="0"/>
          <w:lang w:eastAsia="en-GB"/>
          <w14:ligatures w14:val="none"/>
        </w:rPr>
        <w:t xml:space="preserve">. </w:t>
      </w:r>
      <w:r w:rsidRPr="009C3CEA">
        <w:rPr>
          <w:rFonts w:eastAsia="Times New Roman" w:cs="Times New Roman"/>
          <w:kern w:val="0"/>
          <w:lang w:eastAsia="en-GB"/>
          <w14:ligatures w14:val="none"/>
        </w:rPr>
        <w:t xml:space="preserve">Available at: </w:t>
      </w:r>
      <w:hyperlink r:id="rId25" w:history="1">
        <w:r w:rsidRPr="009C3CEA">
          <w:rPr>
            <w:rStyle w:val="Hyperlink"/>
            <w:rFonts w:eastAsia="Times New Roman" w:cs="Times New Roman"/>
            <w:kern w:val="0"/>
            <w:lang w:eastAsia="en-GB"/>
            <w14:ligatures w14:val="none"/>
          </w:rPr>
          <w:t>https://www.simplypsychology.org/Zone-of-Proximal-Development.html</w:t>
        </w:r>
      </w:hyperlink>
      <w:r w:rsidRPr="009C3CEA">
        <w:rPr>
          <w:rFonts w:eastAsia="Times New Roman" w:cs="Times New Roman"/>
          <w:kern w:val="0"/>
          <w:lang w:eastAsia="en-GB"/>
          <w14:ligatures w14:val="none"/>
        </w:rPr>
        <w:t>.</w:t>
      </w:r>
      <w:r>
        <w:rPr>
          <w:rFonts w:eastAsia="Times New Roman" w:cs="Times New Roman"/>
          <w:kern w:val="0"/>
          <w:lang w:eastAsia="en-GB"/>
          <w14:ligatures w14:val="none"/>
        </w:rPr>
        <w:t xml:space="preserve"> (Accessed: 25</w:t>
      </w:r>
      <w:r w:rsidRPr="009C3CEA">
        <w:rPr>
          <w:rFonts w:eastAsia="Times New Roman" w:cs="Times New Roman"/>
          <w:kern w:val="0"/>
          <w:vertAlign w:val="superscript"/>
          <w:lang w:eastAsia="en-GB"/>
          <w14:ligatures w14:val="none"/>
        </w:rPr>
        <w:t>th</w:t>
      </w:r>
      <w:r>
        <w:rPr>
          <w:rFonts w:eastAsia="Times New Roman" w:cs="Times New Roman"/>
          <w:kern w:val="0"/>
          <w:lang w:eastAsia="en-GB"/>
          <w14:ligatures w14:val="none"/>
        </w:rPr>
        <w:t xml:space="preserve"> February 2025).</w:t>
      </w:r>
    </w:p>
    <w:p w14:paraId="07E42C63" w14:textId="77777777" w:rsidR="004433E9" w:rsidRPr="00D03AA8" w:rsidRDefault="004433E9" w:rsidP="004433E9">
      <w:pPr>
        <w:rPr>
          <w:rFonts w:eastAsia="Times New Roman" w:cs="Times New Roman"/>
          <w:kern w:val="0"/>
          <w:lang w:eastAsia="en-GB"/>
          <w14:ligatures w14:val="none"/>
        </w:rPr>
      </w:pPr>
      <w:r w:rsidRPr="00233019">
        <w:rPr>
          <w:rFonts w:eastAsia="Times New Roman" w:cs="Times New Roman"/>
          <w:kern w:val="0"/>
          <w:lang w:eastAsia="en-GB"/>
          <w14:ligatures w14:val="none"/>
        </w:rPr>
        <w:t xml:space="preserve">Top Marks (2025). </w:t>
      </w:r>
      <w:r w:rsidRPr="00233019">
        <w:rPr>
          <w:rFonts w:eastAsia="Times New Roman" w:cs="Times New Roman"/>
          <w:i/>
          <w:iCs/>
          <w:kern w:val="0"/>
          <w:lang w:eastAsia="en-GB"/>
          <w14:ligatures w14:val="none"/>
        </w:rPr>
        <w:t>Topmarks Education: teaching resources, interactive resources, worksheets, homework, exam and revision help</w:t>
      </w:r>
      <w:r w:rsidRPr="00233019">
        <w:rPr>
          <w:rFonts w:eastAsia="Times New Roman" w:cs="Times New Roman"/>
          <w:kern w:val="0"/>
          <w:lang w:eastAsia="en-GB"/>
          <w14:ligatures w14:val="none"/>
        </w:rPr>
        <w:t>. [</w:t>
      </w:r>
      <w:r>
        <w:rPr>
          <w:rFonts w:eastAsia="Times New Roman" w:cs="Times New Roman"/>
          <w:kern w:val="0"/>
          <w:lang w:eastAsia="en-GB"/>
          <w14:ligatures w14:val="none"/>
        </w:rPr>
        <w:t>O</w:t>
      </w:r>
      <w:r w:rsidRPr="00233019">
        <w:rPr>
          <w:rFonts w:eastAsia="Times New Roman" w:cs="Times New Roman"/>
          <w:kern w:val="0"/>
          <w:lang w:eastAsia="en-GB"/>
          <w14:ligatures w14:val="none"/>
        </w:rPr>
        <w:t>nline]</w:t>
      </w:r>
      <w:r>
        <w:rPr>
          <w:rFonts w:eastAsia="Times New Roman" w:cs="Times New Roman"/>
          <w:kern w:val="0"/>
          <w:lang w:eastAsia="en-GB"/>
          <w14:ligatures w14:val="none"/>
        </w:rPr>
        <w:t>.</w:t>
      </w:r>
      <w:r w:rsidRPr="00233019">
        <w:rPr>
          <w:rFonts w:eastAsia="Times New Roman" w:cs="Times New Roman"/>
          <w:kern w:val="0"/>
          <w:lang w:eastAsia="en-GB"/>
          <w14:ligatures w14:val="none"/>
        </w:rPr>
        <w:t xml:space="preserve"> Available at: </w:t>
      </w:r>
      <w:hyperlink r:id="rId26" w:history="1">
        <w:r w:rsidRPr="00233019">
          <w:rPr>
            <w:rStyle w:val="Hyperlink"/>
            <w:rFonts w:eastAsia="Times New Roman" w:cs="Times New Roman"/>
            <w:kern w:val="0"/>
            <w:lang w:eastAsia="en-GB"/>
            <w14:ligatures w14:val="none"/>
          </w:rPr>
          <w:t>https://www.topmarks.co.uk/</w:t>
        </w:r>
      </w:hyperlink>
      <w:r w:rsidRPr="00233019">
        <w:rPr>
          <w:rFonts w:eastAsia="Times New Roman" w:cs="Times New Roman"/>
          <w:kern w:val="0"/>
          <w:lang w:eastAsia="en-GB"/>
          <w14:ligatures w14:val="none"/>
        </w:rPr>
        <w:t>.</w:t>
      </w:r>
      <w:r>
        <w:rPr>
          <w:rFonts w:eastAsia="Times New Roman" w:cs="Times New Roman"/>
          <w:kern w:val="0"/>
          <w:lang w:eastAsia="en-GB"/>
          <w14:ligatures w14:val="none"/>
        </w:rPr>
        <w:t xml:space="preserve"> (Accessed: 25</w:t>
      </w:r>
      <w:r w:rsidRPr="00233019">
        <w:rPr>
          <w:rFonts w:eastAsia="Times New Roman" w:cs="Times New Roman"/>
          <w:kern w:val="0"/>
          <w:vertAlign w:val="superscript"/>
          <w:lang w:eastAsia="en-GB"/>
          <w14:ligatures w14:val="none"/>
        </w:rPr>
        <w:t>th</w:t>
      </w:r>
      <w:r>
        <w:rPr>
          <w:rFonts w:eastAsia="Times New Roman" w:cs="Times New Roman"/>
          <w:kern w:val="0"/>
          <w:lang w:eastAsia="en-GB"/>
          <w14:ligatures w14:val="none"/>
        </w:rPr>
        <w:t xml:space="preserve"> February 2025).</w:t>
      </w:r>
    </w:p>
    <w:p w14:paraId="5787813E" w14:textId="77777777" w:rsidR="004433E9" w:rsidRDefault="004433E9" w:rsidP="004433E9">
      <w:pPr>
        <w:spacing w:line="360" w:lineRule="auto"/>
        <w:rPr>
          <w:rFonts w:cs="Times New Roman"/>
        </w:rPr>
      </w:pPr>
      <w:r w:rsidRPr="00D03AA8">
        <w:rPr>
          <w:rFonts w:cs="Times New Roman"/>
        </w:rPr>
        <w:t xml:space="preserve">Vygotsky, L.S. (1978). </w:t>
      </w:r>
      <w:r w:rsidRPr="00D03AA8">
        <w:rPr>
          <w:rFonts w:cs="Times New Roman"/>
          <w:i/>
          <w:iCs/>
        </w:rPr>
        <w:t>Mind in Society.</w:t>
      </w:r>
      <w:r w:rsidRPr="00D03AA8">
        <w:rPr>
          <w:rFonts w:cs="Times New Roman"/>
        </w:rPr>
        <w:t xml:space="preserve"> Cambridge, MA: Harvard University Press.</w:t>
      </w:r>
    </w:p>
    <w:p w14:paraId="047618F8" w14:textId="77777777" w:rsidR="004433E9" w:rsidRPr="0006369A" w:rsidRDefault="004433E9" w:rsidP="004433E9">
      <w:pPr>
        <w:rPr>
          <w:rFonts w:eastAsia="Times New Roman" w:cs="Times New Roman"/>
          <w:kern w:val="0"/>
          <w:lang w:eastAsia="en-GB"/>
          <w14:ligatures w14:val="none"/>
        </w:rPr>
      </w:pPr>
      <w:r w:rsidRPr="0006369A">
        <w:rPr>
          <w:rFonts w:eastAsia="Times New Roman" w:cs="Times New Roman"/>
          <w:kern w:val="0"/>
          <w:lang w:eastAsia="en-GB"/>
          <w14:ligatures w14:val="none"/>
        </w:rPr>
        <w:t>Wass, R. and Golding, C. (2014). ‘Sharpening a tool for teaching: the zone of proximal development’, </w:t>
      </w:r>
      <w:r w:rsidRPr="0006369A">
        <w:rPr>
          <w:rFonts w:eastAsia="Times New Roman" w:cs="Times New Roman"/>
          <w:i/>
          <w:iCs/>
          <w:kern w:val="0"/>
          <w:lang w:eastAsia="en-GB"/>
          <w14:ligatures w14:val="none"/>
        </w:rPr>
        <w:t>Teaching in Higher Education</w:t>
      </w:r>
      <w:r w:rsidRPr="0006369A">
        <w:rPr>
          <w:rFonts w:eastAsia="Times New Roman" w:cs="Times New Roman"/>
          <w:kern w:val="0"/>
          <w:lang w:eastAsia="en-GB"/>
          <w14:ligatures w14:val="none"/>
        </w:rPr>
        <w:t xml:space="preserve">, 19(6), pp. 671–684. doi:10.1080/13562517.2014.901958. </w:t>
      </w:r>
    </w:p>
    <w:p w14:paraId="41A895B8" w14:textId="77777777" w:rsidR="004433E9" w:rsidRDefault="004433E9" w:rsidP="004433E9">
      <w:pPr>
        <w:rPr>
          <w:rFonts w:eastAsia="Times New Roman" w:cs="Times New Roman"/>
          <w:kern w:val="0"/>
          <w:lang w:eastAsia="en-GB"/>
          <w14:ligatures w14:val="none"/>
        </w:rPr>
      </w:pPr>
      <w:r w:rsidRPr="00242001">
        <w:rPr>
          <w:rFonts w:eastAsia="Times New Roman" w:cs="Times New Roman"/>
          <w:kern w:val="0"/>
          <w:lang w:eastAsia="en-GB"/>
          <w14:ligatures w14:val="none"/>
        </w:rPr>
        <w:lastRenderedPageBreak/>
        <w:t xml:space="preserve">Welsh Government (2023a). </w:t>
      </w:r>
      <w:r w:rsidRPr="00242001">
        <w:rPr>
          <w:rFonts w:eastAsia="Times New Roman" w:cs="Times New Roman"/>
          <w:i/>
          <w:iCs/>
          <w:kern w:val="0"/>
          <w:lang w:eastAsia="en-GB"/>
          <w14:ligatures w14:val="none"/>
        </w:rPr>
        <w:t>Achievement of 15 year olds (Program for International Student Assessment) PISA national report: 2022</w:t>
      </w:r>
      <w:r>
        <w:rPr>
          <w:rFonts w:eastAsia="Times New Roman" w:cs="Times New Roman"/>
          <w:i/>
          <w:iCs/>
          <w:kern w:val="0"/>
          <w:lang w:eastAsia="en-GB"/>
          <w14:ligatures w14:val="none"/>
        </w:rPr>
        <w:t>.</w:t>
      </w:r>
      <w:r w:rsidRPr="00242001">
        <w:rPr>
          <w:rFonts w:eastAsia="Times New Roman" w:cs="Times New Roman"/>
          <w:kern w:val="0"/>
          <w:lang w:eastAsia="en-GB"/>
          <w14:ligatures w14:val="none"/>
        </w:rPr>
        <w:t>[</w:t>
      </w:r>
      <w:r>
        <w:rPr>
          <w:rFonts w:eastAsia="Times New Roman" w:cs="Times New Roman"/>
          <w:kern w:val="0"/>
          <w:lang w:eastAsia="en-GB"/>
          <w14:ligatures w14:val="none"/>
        </w:rPr>
        <w:t>O</w:t>
      </w:r>
      <w:r w:rsidRPr="00242001">
        <w:rPr>
          <w:rFonts w:eastAsia="Times New Roman" w:cs="Times New Roman"/>
          <w:kern w:val="0"/>
          <w:lang w:eastAsia="en-GB"/>
          <w14:ligatures w14:val="none"/>
        </w:rPr>
        <w:t xml:space="preserve">nline] www.gov.wales. Available at: </w:t>
      </w:r>
      <w:hyperlink r:id="rId27" w:history="1">
        <w:r w:rsidRPr="00242001">
          <w:rPr>
            <w:rStyle w:val="Hyperlink"/>
            <w:rFonts w:eastAsia="Times New Roman" w:cs="Times New Roman"/>
            <w:kern w:val="0"/>
            <w:lang w:eastAsia="en-GB"/>
            <w14:ligatures w14:val="none"/>
          </w:rPr>
          <w:t>https://www.gov.wales/achievement-15-year-olds-program-international-student-assessment-pisa-national-report-2022</w:t>
        </w:r>
      </w:hyperlink>
      <w:r w:rsidRPr="00242001">
        <w:rPr>
          <w:rFonts w:eastAsia="Times New Roman" w:cs="Times New Roman"/>
          <w:kern w:val="0"/>
          <w:lang w:eastAsia="en-GB"/>
          <w14:ligatures w14:val="none"/>
        </w:rPr>
        <w:t>.</w:t>
      </w:r>
      <w:r>
        <w:rPr>
          <w:rFonts w:eastAsia="Times New Roman" w:cs="Times New Roman"/>
          <w:kern w:val="0"/>
          <w:lang w:eastAsia="en-GB"/>
          <w14:ligatures w14:val="none"/>
        </w:rPr>
        <w:t xml:space="preserve"> (Accessed: 24</w:t>
      </w:r>
      <w:r w:rsidRPr="00242001">
        <w:rPr>
          <w:rFonts w:eastAsia="Times New Roman" w:cs="Times New Roman"/>
          <w:kern w:val="0"/>
          <w:vertAlign w:val="superscript"/>
          <w:lang w:eastAsia="en-GB"/>
          <w14:ligatures w14:val="none"/>
        </w:rPr>
        <w:t>th</w:t>
      </w:r>
      <w:r>
        <w:rPr>
          <w:rFonts w:eastAsia="Times New Roman" w:cs="Times New Roman"/>
          <w:kern w:val="0"/>
          <w:lang w:eastAsia="en-GB"/>
          <w14:ligatures w14:val="none"/>
        </w:rPr>
        <w:t xml:space="preserve"> February 2025).</w:t>
      </w:r>
    </w:p>
    <w:p w14:paraId="7B849373" w14:textId="77777777" w:rsidR="004433E9" w:rsidRPr="00102D4C" w:rsidRDefault="004433E9" w:rsidP="004433E9">
      <w:pPr>
        <w:rPr>
          <w:rFonts w:eastAsia="Times New Roman" w:cs="Times New Roman"/>
          <w:kern w:val="0"/>
          <w:lang w:eastAsia="en-GB"/>
          <w14:ligatures w14:val="none"/>
        </w:rPr>
      </w:pPr>
      <w:r w:rsidRPr="00102D4C">
        <w:rPr>
          <w:rFonts w:eastAsia="Times New Roman" w:cs="Times New Roman"/>
          <w:kern w:val="0"/>
          <w:lang w:eastAsia="en-GB"/>
          <w14:ligatures w14:val="none"/>
        </w:rPr>
        <w:t xml:space="preserve">Welsh Government (2017). </w:t>
      </w:r>
      <w:r w:rsidRPr="00102D4C">
        <w:rPr>
          <w:rFonts w:eastAsia="Times New Roman" w:cs="Times New Roman"/>
          <w:i/>
          <w:iCs/>
          <w:kern w:val="0"/>
          <w:lang w:eastAsia="en-GB"/>
          <w14:ligatures w14:val="none"/>
        </w:rPr>
        <w:t>Foundation Phase Profile Handbook</w:t>
      </w:r>
      <w:r w:rsidRPr="00102D4C">
        <w:rPr>
          <w:rFonts w:eastAsia="Times New Roman" w:cs="Times New Roman"/>
          <w:kern w:val="0"/>
          <w:lang w:eastAsia="en-GB"/>
          <w14:ligatures w14:val="none"/>
        </w:rPr>
        <w:t>. [</w:t>
      </w:r>
      <w:r>
        <w:rPr>
          <w:rFonts w:eastAsia="Times New Roman" w:cs="Times New Roman"/>
          <w:kern w:val="0"/>
          <w:lang w:eastAsia="en-GB"/>
          <w14:ligatures w14:val="none"/>
        </w:rPr>
        <w:t>O</w:t>
      </w:r>
      <w:r w:rsidRPr="00102D4C">
        <w:rPr>
          <w:rFonts w:eastAsia="Times New Roman" w:cs="Times New Roman"/>
          <w:kern w:val="0"/>
          <w:lang w:eastAsia="en-GB"/>
          <w14:ligatures w14:val="none"/>
        </w:rPr>
        <w:t>nline]</w:t>
      </w:r>
      <w:r>
        <w:rPr>
          <w:rFonts w:eastAsia="Times New Roman" w:cs="Times New Roman"/>
          <w:kern w:val="0"/>
          <w:lang w:eastAsia="en-GB"/>
          <w14:ligatures w14:val="none"/>
        </w:rPr>
        <w:t>.</w:t>
      </w:r>
      <w:r w:rsidRPr="00102D4C">
        <w:rPr>
          <w:rFonts w:eastAsia="Times New Roman" w:cs="Times New Roman"/>
          <w:kern w:val="0"/>
          <w:lang w:eastAsia="en-GB"/>
          <w14:ligatures w14:val="none"/>
        </w:rPr>
        <w:t xml:space="preserve"> Available at: </w:t>
      </w:r>
      <w:hyperlink r:id="rId28" w:history="1">
        <w:r w:rsidRPr="00102D4C">
          <w:rPr>
            <w:rStyle w:val="Hyperlink"/>
            <w:rFonts w:eastAsia="Times New Roman" w:cs="Times New Roman"/>
            <w:kern w:val="0"/>
            <w:lang w:eastAsia="en-GB"/>
            <w14:ligatures w14:val="none"/>
          </w:rPr>
          <w:t>https://www.gov.wales/sites/default/files/publications/2018-03/foundation-phase-profile-handbook-revised-september-2017.pdf</w:t>
        </w:r>
      </w:hyperlink>
      <w:r w:rsidRPr="00102D4C">
        <w:rPr>
          <w:rFonts w:eastAsia="Times New Roman" w:cs="Times New Roman"/>
          <w:kern w:val="0"/>
          <w:lang w:eastAsia="en-GB"/>
          <w14:ligatures w14:val="none"/>
        </w:rPr>
        <w:t>.</w:t>
      </w:r>
      <w:r>
        <w:rPr>
          <w:rFonts w:eastAsia="Times New Roman" w:cs="Times New Roman"/>
          <w:kern w:val="0"/>
          <w:lang w:eastAsia="en-GB"/>
          <w14:ligatures w14:val="none"/>
        </w:rPr>
        <w:t xml:space="preserve"> (Accessed: 25</w:t>
      </w:r>
      <w:r w:rsidRPr="00102D4C">
        <w:rPr>
          <w:rFonts w:eastAsia="Times New Roman" w:cs="Times New Roman"/>
          <w:kern w:val="0"/>
          <w:vertAlign w:val="superscript"/>
          <w:lang w:eastAsia="en-GB"/>
          <w14:ligatures w14:val="none"/>
        </w:rPr>
        <w:t>th</w:t>
      </w:r>
      <w:r>
        <w:rPr>
          <w:rFonts w:eastAsia="Times New Roman" w:cs="Times New Roman"/>
          <w:kern w:val="0"/>
          <w:lang w:eastAsia="en-GB"/>
          <w14:ligatures w14:val="none"/>
        </w:rPr>
        <w:t xml:space="preserve"> February 2025).</w:t>
      </w:r>
    </w:p>
    <w:p w14:paraId="28199A4A" w14:textId="77777777" w:rsidR="004433E9" w:rsidRDefault="004433E9" w:rsidP="004433E9">
      <w:pPr>
        <w:rPr>
          <w:rFonts w:eastAsia="Times New Roman" w:cs="Times New Roman"/>
          <w:kern w:val="0"/>
          <w:lang w:eastAsia="en-GB"/>
          <w14:ligatures w14:val="none"/>
        </w:rPr>
      </w:pPr>
      <w:r w:rsidRPr="00572727">
        <w:rPr>
          <w:rFonts w:eastAsia="Times New Roman" w:cs="Times New Roman"/>
          <w:kern w:val="0"/>
          <w:lang w:eastAsia="en-GB"/>
          <w14:ligatures w14:val="none"/>
        </w:rPr>
        <w:t>Welsh Government (2022</w:t>
      </w:r>
      <w:r>
        <w:rPr>
          <w:rFonts w:eastAsia="Times New Roman" w:cs="Times New Roman"/>
          <w:kern w:val="0"/>
          <w:lang w:eastAsia="en-GB"/>
          <w14:ligatures w14:val="none"/>
        </w:rPr>
        <w:t>a</w:t>
      </w:r>
      <w:r w:rsidRPr="00572727">
        <w:rPr>
          <w:rFonts w:eastAsia="Times New Roman" w:cs="Times New Roman"/>
          <w:kern w:val="0"/>
          <w:lang w:eastAsia="en-GB"/>
          <w14:ligatures w14:val="none"/>
        </w:rPr>
        <w:t xml:space="preserve">). </w:t>
      </w:r>
      <w:r w:rsidRPr="00572727">
        <w:rPr>
          <w:rFonts w:eastAsia="Times New Roman" w:cs="Times New Roman"/>
          <w:i/>
          <w:iCs/>
          <w:kern w:val="0"/>
          <w:lang w:eastAsia="en-GB"/>
          <w14:ligatures w14:val="none"/>
        </w:rPr>
        <w:t>Mathematics and Numeracy: Designing your curriculum - Hwb</w:t>
      </w:r>
      <w:r w:rsidRPr="00572727">
        <w:rPr>
          <w:rFonts w:eastAsia="Times New Roman" w:cs="Times New Roman"/>
          <w:kern w:val="0"/>
          <w:lang w:eastAsia="en-GB"/>
          <w14:ligatures w14:val="none"/>
        </w:rPr>
        <w:t xml:space="preserve">. [online]  Available at: </w:t>
      </w:r>
      <w:hyperlink r:id="rId29" w:history="1">
        <w:r w:rsidRPr="00572727">
          <w:rPr>
            <w:rStyle w:val="Hyperlink"/>
            <w:rFonts w:eastAsia="Times New Roman" w:cs="Times New Roman"/>
            <w:kern w:val="0"/>
            <w:lang w:eastAsia="en-GB"/>
            <w14:ligatures w14:val="none"/>
          </w:rPr>
          <w:t>https://hwb.gov.wales/curriculum-for-wales/mathematics-and-numeracy/designing-your-curriculum/</w:t>
        </w:r>
      </w:hyperlink>
      <w:r w:rsidRPr="00572727">
        <w:rPr>
          <w:rFonts w:eastAsia="Times New Roman" w:cs="Times New Roman"/>
          <w:kern w:val="0"/>
          <w:lang w:eastAsia="en-GB"/>
          <w14:ligatures w14:val="none"/>
        </w:rPr>
        <w:t>.</w:t>
      </w:r>
      <w:r>
        <w:rPr>
          <w:rFonts w:eastAsia="Times New Roman" w:cs="Times New Roman"/>
          <w:kern w:val="0"/>
          <w:lang w:eastAsia="en-GB"/>
          <w14:ligatures w14:val="none"/>
        </w:rPr>
        <w:t xml:space="preserve"> (Accessed: 24</w:t>
      </w:r>
      <w:r w:rsidRPr="00572727">
        <w:rPr>
          <w:rFonts w:eastAsia="Times New Roman" w:cs="Times New Roman"/>
          <w:kern w:val="0"/>
          <w:vertAlign w:val="superscript"/>
          <w:lang w:eastAsia="en-GB"/>
          <w14:ligatures w14:val="none"/>
        </w:rPr>
        <w:t>th</w:t>
      </w:r>
      <w:r>
        <w:rPr>
          <w:rFonts w:eastAsia="Times New Roman" w:cs="Times New Roman"/>
          <w:kern w:val="0"/>
          <w:lang w:eastAsia="en-GB"/>
          <w14:ligatures w14:val="none"/>
        </w:rPr>
        <w:t xml:space="preserve"> February 2025).</w:t>
      </w:r>
    </w:p>
    <w:p w14:paraId="7940D7EE" w14:textId="77777777" w:rsidR="004433E9" w:rsidRPr="00562B24" w:rsidRDefault="004433E9" w:rsidP="004433E9">
      <w:pPr>
        <w:rPr>
          <w:rFonts w:cs="Times New Roman"/>
        </w:rPr>
      </w:pPr>
      <w:r w:rsidRPr="00562B24">
        <w:rPr>
          <w:rFonts w:cs="Times New Roman"/>
        </w:rPr>
        <w:t>Welsh Government (2022</w:t>
      </w:r>
      <w:r>
        <w:rPr>
          <w:rFonts w:cs="Times New Roman"/>
        </w:rPr>
        <w:t>b</w:t>
      </w:r>
      <w:r w:rsidRPr="00562B24">
        <w:rPr>
          <w:rFonts w:cs="Times New Roman"/>
        </w:rPr>
        <w:t xml:space="preserve">). </w:t>
      </w:r>
      <w:r w:rsidRPr="00562B24">
        <w:rPr>
          <w:rFonts w:cs="Times New Roman"/>
          <w:i/>
          <w:iCs/>
        </w:rPr>
        <w:t>Supporting learner progression assessment guidance - Hwb</w:t>
      </w:r>
      <w:r w:rsidRPr="00562B24">
        <w:rPr>
          <w:rFonts w:cs="Times New Roman"/>
        </w:rPr>
        <w:t>. [</w:t>
      </w:r>
      <w:r>
        <w:rPr>
          <w:rFonts w:cs="Times New Roman"/>
        </w:rPr>
        <w:t>O</w:t>
      </w:r>
      <w:r w:rsidRPr="00562B24">
        <w:rPr>
          <w:rFonts w:cs="Times New Roman"/>
        </w:rPr>
        <w:t xml:space="preserve">nline]. Available at: </w:t>
      </w:r>
      <w:hyperlink r:id="rId30" w:history="1">
        <w:r w:rsidRPr="00562B24">
          <w:rPr>
            <w:rStyle w:val="Hyperlink"/>
            <w:rFonts w:cs="Times New Roman"/>
          </w:rPr>
          <w:t>https://hwb.gov.wales/curriculum-for-wales/assessment-arrangements/supporting-learner-progression-assessment-guidance</w:t>
        </w:r>
      </w:hyperlink>
      <w:r w:rsidRPr="00562B24">
        <w:rPr>
          <w:rFonts w:cs="Times New Roman"/>
        </w:rPr>
        <w:t>. (Accessed: 22</w:t>
      </w:r>
      <w:r w:rsidRPr="00562B24">
        <w:rPr>
          <w:rFonts w:cs="Times New Roman"/>
          <w:vertAlign w:val="superscript"/>
        </w:rPr>
        <w:t>nd</w:t>
      </w:r>
      <w:r w:rsidRPr="00562B24">
        <w:rPr>
          <w:rFonts w:cs="Times New Roman"/>
        </w:rPr>
        <w:t xml:space="preserve"> February 2025). </w:t>
      </w:r>
    </w:p>
    <w:p w14:paraId="47A8B780" w14:textId="77777777" w:rsidR="004433E9" w:rsidRPr="00B57191" w:rsidRDefault="004433E9" w:rsidP="004433E9">
      <w:r w:rsidRPr="00B57191">
        <w:t>Welsh Government (2023</w:t>
      </w:r>
      <w:r>
        <w:t>b</w:t>
      </w:r>
      <w:r w:rsidRPr="00B57191">
        <w:t xml:space="preserve">). </w:t>
      </w:r>
      <w:r w:rsidRPr="00B57191">
        <w:rPr>
          <w:i/>
          <w:iCs/>
        </w:rPr>
        <w:t>Mathematics and numeracy plan 2023 [HTML] | GOV.WALES</w:t>
      </w:r>
      <w:r w:rsidRPr="00B57191">
        <w:t>. [</w:t>
      </w:r>
      <w:r>
        <w:t>O</w:t>
      </w:r>
      <w:r w:rsidRPr="00B57191">
        <w:t>nline]</w:t>
      </w:r>
      <w:r>
        <w:t xml:space="preserve">. </w:t>
      </w:r>
      <w:r w:rsidRPr="00B57191">
        <w:t xml:space="preserve">Available at: </w:t>
      </w:r>
      <w:hyperlink r:id="rId31" w:history="1">
        <w:r w:rsidRPr="00B57191">
          <w:rPr>
            <w:rStyle w:val="Hyperlink"/>
          </w:rPr>
          <w:t>https://www.gov.wales/mathematics-and-numeracy-plan-2023-html</w:t>
        </w:r>
      </w:hyperlink>
      <w:r w:rsidRPr="00B57191">
        <w:t>.</w:t>
      </w:r>
      <w:r>
        <w:t xml:space="preserve"> (Accessed: 24</w:t>
      </w:r>
      <w:r>
        <w:rPr>
          <w:vertAlign w:val="superscript"/>
        </w:rPr>
        <w:t xml:space="preserve">th </w:t>
      </w:r>
      <w:r>
        <w:t>February 2025).</w:t>
      </w:r>
    </w:p>
    <w:p w14:paraId="2E949506" w14:textId="77777777" w:rsidR="004433E9" w:rsidRPr="00572727" w:rsidRDefault="004433E9" w:rsidP="004433E9">
      <w:r w:rsidRPr="00572727">
        <w:t xml:space="preserve">Welsh Government (2023c). </w:t>
      </w:r>
      <w:r w:rsidRPr="00572727">
        <w:rPr>
          <w:i/>
          <w:iCs/>
        </w:rPr>
        <w:t>PISA 2022: National Report for Wales December 2023</w:t>
      </w:r>
      <w:r w:rsidRPr="00572727">
        <w:t>. [</w:t>
      </w:r>
      <w:r>
        <w:t>O</w:t>
      </w:r>
      <w:r w:rsidRPr="00572727">
        <w:t>nline]</w:t>
      </w:r>
      <w:r>
        <w:t>.</w:t>
      </w:r>
      <w:r w:rsidRPr="00572727">
        <w:t xml:space="preserve"> Available at: </w:t>
      </w:r>
      <w:hyperlink r:id="rId32" w:history="1">
        <w:r w:rsidRPr="00CB3276">
          <w:rPr>
            <w:rStyle w:val="Hyperlink"/>
          </w:rPr>
          <w:t>https://www.gov.wales/sites/default/files/statistics-and-research/2023-12/pisa-2022-national-report-wales-059.pdf</w:t>
        </w:r>
      </w:hyperlink>
      <w:r w:rsidRPr="00572727">
        <w:t>.</w:t>
      </w:r>
      <w:r>
        <w:t xml:space="preserve"> (Accessed: 24</w:t>
      </w:r>
      <w:r w:rsidRPr="00E36376">
        <w:rPr>
          <w:vertAlign w:val="superscript"/>
        </w:rPr>
        <w:t>th</w:t>
      </w:r>
      <w:r>
        <w:t xml:space="preserve"> February 2025).</w:t>
      </w:r>
    </w:p>
    <w:p w14:paraId="1525D3C2" w14:textId="77777777" w:rsidR="004433E9" w:rsidRDefault="004433E9" w:rsidP="004433E9"/>
    <w:p w14:paraId="7CD2D4F1" w14:textId="77777777" w:rsidR="004433E9" w:rsidRDefault="004433E9" w:rsidP="00283A3E">
      <w:pPr>
        <w:jc w:val="center"/>
        <w:rPr>
          <w:sz w:val="32"/>
          <w:szCs w:val="32"/>
        </w:rPr>
      </w:pPr>
    </w:p>
    <w:p w14:paraId="711F57E6" w14:textId="77777777" w:rsidR="004433E9" w:rsidRDefault="004433E9" w:rsidP="00283A3E">
      <w:pPr>
        <w:jc w:val="center"/>
      </w:pPr>
    </w:p>
    <w:p w14:paraId="621F8E4B" w14:textId="77777777" w:rsidR="004433E9" w:rsidRDefault="004433E9" w:rsidP="00283A3E">
      <w:pPr>
        <w:jc w:val="center"/>
      </w:pPr>
    </w:p>
    <w:p w14:paraId="537FE0FE" w14:textId="77777777" w:rsidR="004433E9" w:rsidRDefault="004433E9" w:rsidP="00283A3E">
      <w:pPr>
        <w:jc w:val="center"/>
      </w:pPr>
    </w:p>
    <w:p w14:paraId="256EB10D" w14:textId="77777777" w:rsidR="004433E9" w:rsidRDefault="004433E9" w:rsidP="00283A3E">
      <w:pPr>
        <w:jc w:val="center"/>
      </w:pPr>
    </w:p>
    <w:p w14:paraId="4A1920BF" w14:textId="77777777" w:rsidR="004433E9" w:rsidRDefault="004433E9" w:rsidP="00283A3E">
      <w:pPr>
        <w:jc w:val="center"/>
      </w:pPr>
    </w:p>
    <w:p w14:paraId="3D81C035" w14:textId="77777777" w:rsidR="004433E9" w:rsidRDefault="004433E9" w:rsidP="00283A3E">
      <w:pPr>
        <w:jc w:val="center"/>
      </w:pPr>
    </w:p>
    <w:p w14:paraId="5A240EA3" w14:textId="77777777" w:rsidR="004433E9" w:rsidRDefault="004433E9" w:rsidP="00283A3E">
      <w:pPr>
        <w:jc w:val="center"/>
      </w:pPr>
    </w:p>
    <w:p w14:paraId="565B78AC" w14:textId="77777777" w:rsidR="004433E9" w:rsidRDefault="004433E9" w:rsidP="00283A3E">
      <w:pPr>
        <w:jc w:val="center"/>
      </w:pPr>
    </w:p>
    <w:p w14:paraId="11B2152C" w14:textId="77777777" w:rsidR="004433E9" w:rsidRDefault="004433E9" w:rsidP="00283A3E">
      <w:pPr>
        <w:jc w:val="center"/>
      </w:pPr>
    </w:p>
    <w:p w14:paraId="6734D0D8" w14:textId="0E313B06" w:rsidR="00283A3E" w:rsidRDefault="00283A3E" w:rsidP="00283A3E">
      <w:pPr>
        <w:jc w:val="center"/>
      </w:pPr>
      <w:r>
        <w:lastRenderedPageBreak/>
        <w:t xml:space="preserve">Element 3: </w:t>
      </w:r>
      <w:r w:rsidR="00351800">
        <w:t>Resource – Information Sheet</w:t>
      </w:r>
    </w:p>
    <w:p w14:paraId="0316DBA8" w14:textId="77777777" w:rsidR="00351800" w:rsidRDefault="00351800" w:rsidP="00283A3E">
      <w:pPr>
        <w:jc w:val="center"/>
      </w:pPr>
    </w:p>
    <w:p w14:paraId="1F442E4C" w14:textId="77777777" w:rsidR="00351800" w:rsidRPr="00AD5B37" w:rsidRDefault="00351800" w:rsidP="00351800">
      <w:pPr>
        <w:jc w:val="center"/>
        <w:rPr>
          <w:b/>
          <w:bCs/>
          <w:sz w:val="32"/>
          <w:szCs w:val="32"/>
        </w:rPr>
      </w:pPr>
      <w:r w:rsidRPr="00AD5B37">
        <w:rPr>
          <w:b/>
          <w:bCs/>
          <w:sz w:val="32"/>
          <w:szCs w:val="32"/>
        </w:rPr>
        <w:t>Play Money</w:t>
      </w:r>
      <w:r>
        <w:rPr>
          <w:b/>
          <w:bCs/>
          <w:sz w:val="32"/>
          <w:szCs w:val="32"/>
        </w:rPr>
        <w:t xml:space="preserve"> </w:t>
      </w:r>
      <w:r w:rsidRPr="00AD5B37">
        <w:rPr>
          <w:b/>
          <w:bCs/>
          <w:sz w:val="32"/>
          <w:szCs w:val="32"/>
        </w:rPr>
        <w:t xml:space="preserve">Resource Sheet </w:t>
      </w:r>
      <w:r>
        <w:rPr>
          <w:b/>
          <w:bCs/>
          <w:sz w:val="32"/>
          <w:szCs w:val="32"/>
        </w:rPr>
        <w:t>for Autistic Pupils in an Autism Unit.</w:t>
      </w:r>
    </w:p>
    <w:p w14:paraId="15B0E85D" w14:textId="77777777" w:rsidR="00351800" w:rsidRDefault="00351800" w:rsidP="00351800">
      <w:pPr>
        <w:jc w:val="center"/>
      </w:pPr>
      <w:r>
        <w:rPr>
          <w:noProof/>
        </w:rPr>
        <w:drawing>
          <wp:anchor distT="0" distB="0" distL="114300" distR="114300" simplePos="0" relativeHeight="251667456" behindDoc="1" locked="0" layoutInCell="1" allowOverlap="1" wp14:anchorId="63973CD0" wp14:editId="2B018BD4">
            <wp:simplePos x="0" y="0"/>
            <wp:positionH relativeFrom="margin">
              <wp:align>right</wp:align>
            </wp:positionH>
            <wp:positionV relativeFrom="paragraph">
              <wp:posOffset>161925</wp:posOffset>
            </wp:positionV>
            <wp:extent cx="3181350" cy="2758440"/>
            <wp:effectExtent l="0" t="0" r="0" b="3810"/>
            <wp:wrapTight wrapText="bothSides">
              <wp:wrapPolygon edited="0">
                <wp:start x="0" y="0"/>
                <wp:lineTo x="0" y="21481"/>
                <wp:lineTo x="21471" y="21481"/>
                <wp:lineTo x="21471" y="0"/>
                <wp:lineTo x="0" y="0"/>
              </wp:wrapPolygon>
            </wp:wrapTight>
            <wp:docPr id="1877642586" name="Picture 2" descr="A pile of coins and curren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642586" name="Picture 2" descr="A pile of coins and currency&#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81350" cy="2758440"/>
                    </a:xfrm>
                    <a:prstGeom prst="rect">
                      <a:avLst/>
                    </a:prstGeom>
                    <a:noFill/>
                  </pic:spPr>
                </pic:pic>
              </a:graphicData>
            </a:graphic>
            <wp14:sizeRelH relativeFrom="margin">
              <wp14:pctWidth>0</wp14:pctWidth>
            </wp14:sizeRelH>
            <wp14:sizeRelV relativeFrom="margin">
              <wp14:pctHeight>0</wp14:pctHeight>
            </wp14:sizeRelV>
          </wp:anchor>
        </w:drawing>
      </w:r>
    </w:p>
    <w:p w14:paraId="3ECEE797" w14:textId="77777777" w:rsidR="00351800" w:rsidRDefault="00351800" w:rsidP="00351800">
      <w:r>
        <w:rPr>
          <w:noProof/>
        </w:rPr>
        <mc:AlternateContent>
          <mc:Choice Requires="wps">
            <w:drawing>
              <wp:anchor distT="0" distB="0" distL="114300" distR="114300" simplePos="0" relativeHeight="251668480" behindDoc="0" locked="0" layoutInCell="1" allowOverlap="1" wp14:anchorId="1FF64D30" wp14:editId="46FBE6FB">
                <wp:simplePos x="0" y="0"/>
                <wp:positionH relativeFrom="column">
                  <wp:posOffset>3101340</wp:posOffset>
                </wp:positionH>
                <wp:positionV relativeFrom="paragraph">
                  <wp:posOffset>2471420</wp:posOffset>
                </wp:positionV>
                <wp:extent cx="1359535" cy="217170"/>
                <wp:effectExtent l="0" t="0" r="12065" b="11430"/>
                <wp:wrapNone/>
                <wp:docPr id="42372350" name="Text Box 1"/>
                <wp:cNvGraphicFramePr/>
                <a:graphic xmlns:a="http://schemas.openxmlformats.org/drawingml/2006/main">
                  <a:graphicData uri="http://schemas.microsoft.com/office/word/2010/wordprocessingShape">
                    <wps:wsp>
                      <wps:cNvSpPr txBox="1"/>
                      <wps:spPr>
                        <a:xfrm>
                          <a:off x="0" y="0"/>
                          <a:ext cx="1359535" cy="217170"/>
                        </a:xfrm>
                        <a:prstGeom prst="rect">
                          <a:avLst/>
                        </a:prstGeom>
                        <a:solidFill>
                          <a:schemeClr val="lt1"/>
                        </a:solidFill>
                        <a:ln w="6350">
                          <a:solidFill>
                            <a:schemeClr val="bg1"/>
                          </a:solidFill>
                        </a:ln>
                      </wps:spPr>
                      <wps:txbx>
                        <w:txbxContent>
                          <w:p w14:paraId="2B8670FF" w14:textId="77777777" w:rsidR="00351800" w:rsidRPr="00F02FB0" w:rsidRDefault="00351800" w:rsidP="00351800">
                            <w:pPr>
                              <w:rPr>
                                <w:sz w:val="16"/>
                                <w:szCs w:val="16"/>
                              </w:rPr>
                            </w:pPr>
                            <w:r w:rsidRPr="00F02FB0">
                              <w:rPr>
                                <w:sz w:val="16"/>
                                <w:szCs w:val="16"/>
                              </w:rPr>
                              <w:t>(Learning Resource,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64D30" id="Text Box 1" o:spid="_x0000_s1030" type="#_x0000_t202" style="position:absolute;margin-left:244.2pt;margin-top:194.6pt;width:107.05pt;height:17.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" fillcolor="white [3201]" strokecolor="white [3212]" strokeweight=".5pt">
                <v:textbox>
                  <w:txbxContent>
                    <w:p w14:paraId="2B8670FF" w14:textId="77777777" w:rsidR="00351800" w:rsidRPr="00F02FB0" w:rsidRDefault="00351800" w:rsidP="00351800">
                      <w:pPr>
                        <w:rPr>
                          <w:sz w:val="16"/>
                          <w:szCs w:val="16"/>
                        </w:rPr>
                      </w:pPr>
                      <w:r w:rsidRPr="00F02FB0">
                        <w:rPr>
                          <w:sz w:val="16"/>
                          <w:szCs w:val="16"/>
                        </w:rPr>
                        <w:t>(Learning Resource, 2025)</w:t>
                      </w:r>
                    </w:p>
                  </w:txbxContent>
                </v:textbox>
              </v:shape>
            </w:pict>
          </mc:Fallback>
        </mc:AlternateContent>
      </w:r>
      <w:r>
        <w:t>Play money is a tool that helps facilitate learning to pupils about basic financial literacy and money recognition, it also teaches pupils addition, subtraction and role-playing skills (Learning Resource, 2025).</w:t>
      </w:r>
      <w:r w:rsidRPr="00F02FB0">
        <w:rPr>
          <w:noProof/>
        </w:rPr>
        <w:t xml:space="preserve"> </w:t>
      </w:r>
      <w:r>
        <w:rPr>
          <w:noProof/>
        </w:rPr>
        <w:t>This resource sheet will provide a guide for how to use play money in an educational setting for autistic pupils in a primary setting, you can increase or decrease the challenge for your learner based on their individual needs to help futher their development (Welsh Government 2016).</w:t>
      </w:r>
    </w:p>
    <w:p w14:paraId="2297615A" w14:textId="77777777" w:rsidR="00351800" w:rsidRDefault="00351800" w:rsidP="00351800"/>
    <w:p w14:paraId="247E76D7" w14:textId="77777777" w:rsidR="00351800" w:rsidRPr="002C4ADE" w:rsidRDefault="00351800" w:rsidP="00351800">
      <w:pPr>
        <w:rPr>
          <w:b/>
          <w:bCs/>
          <w:sz w:val="32"/>
          <w:szCs w:val="32"/>
        </w:rPr>
      </w:pPr>
      <w:r w:rsidRPr="002C4ADE">
        <w:rPr>
          <w:b/>
          <w:bCs/>
          <w:sz w:val="32"/>
          <w:szCs w:val="32"/>
        </w:rPr>
        <w:t>Learning Activities Examples with Play Money</w:t>
      </w:r>
    </w:p>
    <w:p w14:paraId="22A1D1FA" w14:textId="77777777" w:rsidR="00351800" w:rsidRPr="002C4ADE" w:rsidRDefault="00351800" w:rsidP="00351800">
      <w:pPr>
        <w:rPr>
          <w:b/>
          <w:bCs/>
          <w:color w:val="E97132" w:themeColor="accent2"/>
          <w:sz w:val="28"/>
          <w:szCs w:val="28"/>
        </w:rPr>
      </w:pPr>
      <w:r w:rsidRPr="002C4ADE">
        <w:rPr>
          <w:b/>
          <w:bCs/>
          <w:color w:val="E97132" w:themeColor="accent2"/>
          <w:sz w:val="28"/>
          <w:szCs w:val="28"/>
        </w:rPr>
        <w:t>Money Recognition</w:t>
      </w:r>
    </w:p>
    <w:p w14:paraId="35011C51" w14:textId="77777777" w:rsidR="00351800" w:rsidRPr="00D20856" w:rsidRDefault="00351800" w:rsidP="00351800">
      <w:r w:rsidRPr="00D20856">
        <w:t>Example: A matching game, set out different values of money for the pupil to match the correct notes and coins to.</w:t>
      </w:r>
    </w:p>
    <w:p w14:paraId="06A8279F" w14:textId="77777777" w:rsidR="00351800" w:rsidRPr="00D20856" w:rsidRDefault="00351800" w:rsidP="00351800">
      <w:r w:rsidRPr="00D20856">
        <w:t>Area of learning: Can the pupil point or use play money to match what you have set out, are they able to sort coins by their size, shape or colour (Welsh Government, 2018).</w:t>
      </w:r>
    </w:p>
    <w:p w14:paraId="7C04AA37" w14:textId="77777777" w:rsidR="00351800" w:rsidRPr="00D20856" w:rsidRDefault="00351800" w:rsidP="00351800">
      <w:r w:rsidRPr="00D20856">
        <w:t xml:space="preserve">The aim is to work on the pupil’s ability to recognise coins and notes and understand what each one is worth. </w:t>
      </w:r>
      <w:r>
        <w:t>You can utilise Discovery Learning Theory (1966) to assess what the pupil can do, support them to develop, and at the end find out what they have learnt (Bates, 2019).</w:t>
      </w:r>
    </w:p>
    <w:p w14:paraId="5A030DAB" w14:textId="77777777" w:rsidR="00351800" w:rsidRDefault="00351800" w:rsidP="00351800">
      <w:pPr>
        <w:rPr>
          <w:b/>
          <w:bCs/>
          <w:sz w:val="28"/>
          <w:szCs w:val="28"/>
        </w:rPr>
      </w:pPr>
    </w:p>
    <w:p w14:paraId="0BD027DC" w14:textId="77777777" w:rsidR="00351800" w:rsidRDefault="00351800" w:rsidP="00351800">
      <w:pPr>
        <w:rPr>
          <w:b/>
          <w:bCs/>
          <w:color w:val="E97132" w:themeColor="accent2"/>
          <w:sz w:val="28"/>
          <w:szCs w:val="28"/>
        </w:rPr>
      </w:pPr>
    </w:p>
    <w:p w14:paraId="50E6DADA" w14:textId="77777777" w:rsidR="00351800" w:rsidRDefault="00351800" w:rsidP="00351800">
      <w:pPr>
        <w:rPr>
          <w:b/>
          <w:bCs/>
          <w:color w:val="E97132" w:themeColor="accent2"/>
          <w:sz w:val="28"/>
          <w:szCs w:val="28"/>
        </w:rPr>
      </w:pPr>
    </w:p>
    <w:p w14:paraId="4230458B" w14:textId="4B95E7B5" w:rsidR="00351800" w:rsidRPr="002C4ADE" w:rsidRDefault="00351800" w:rsidP="00351800">
      <w:pPr>
        <w:rPr>
          <w:b/>
          <w:bCs/>
          <w:color w:val="E97132" w:themeColor="accent2"/>
          <w:sz w:val="28"/>
          <w:szCs w:val="28"/>
        </w:rPr>
      </w:pPr>
      <w:r w:rsidRPr="002C4ADE">
        <w:rPr>
          <w:b/>
          <w:bCs/>
          <w:color w:val="E97132" w:themeColor="accent2"/>
          <w:sz w:val="28"/>
          <w:szCs w:val="28"/>
        </w:rPr>
        <w:lastRenderedPageBreak/>
        <w:t>Basic Maths</w:t>
      </w:r>
    </w:p>
    <w:p w14:paraId="50E8B8F7" w14:textId="77777777" w:rsidR="00351800" w:rsidRPr="00D20856" w:rsidRDefault="00351800" w:rsidP="00351800">
      <w:r w:rsidRPr="00D20856">
        <w:t>Example:</w:t>
      </w:r>
      <w:r>
        <w:t xml:space="preserve"> Use play money to do basic math, such as addition and subtraction. Create basic math problems for the learner to solve using money.</w:t>
      </w:r>
    </w:p>
    <w:p w14:paraId="0B0CC2E9" w14:textId="77777777" w:rsidR="00351800" w:rsidRDefault="00351800" w:rsidP="00351800">
      <w:r w:rsidRPr="00D20856">
        <w:t>Area of learning:</w:t>
      </w:r>
      <w:r>
        <w:t xml:space="preserve"> Can the pupil use play money to add or takeaway from basic math problems, can they re-count to find the new total (Welsh Government, 2018).</w:t>
      </w:r>
    </w:p>
    <w:p w14:paraId="039E1CB2" w14:textId="77777777" w:rsidR="00351800" w:rsidRDefault="00351800" w:rsidP="00351800">
      <w:r>
        <w:t xml:space="preserve">The aim is to use the play money as a physical tool to help the pupil solve the problem. To ensure that the pupil can reach their full potential, you can follow the 6 steps of cognitive domain taxonomy: </w:t>
      </w:r>
    </w:p>
    <w:p w14:paraId="63BF870B" w14:textId="2599C69B" w:rsidR="00351800" w:rsidRDefault="00351800" w:rsidP="00351800">
      <w:pPr>
        <w:pStyle w:val="ListParagraph"/>
        <w:ind w:left="0"/>
        <w:rPr>
          <w:rFonts w:cs="Times New Roman"/>
        </w:rPr>
      </w:pPr>
      <w:r>
        <w:t>1.Knowledge, 2. Comprehension, 3. Application, 4. Analysis, 5. Synthesis, 6. Evaluation (</w:t>
      </w:r>
      <w:r w:rsidRPr="006B475A">
        <w:rPr>
          <w:rFonts w:cs="Times New Roman"/>
        </w:rPr>
        <w:t>Aubrey and Riley</w:t>
      </w:r>
      <w:r>
        <w:rPr>
          <w:rFonts w:cs="Times New Roman"/>
        </w:rPr>
        <w:t xml:space="preserve">, </w:t>
      </w:r>
      <w:r w:rsidRPr="006B475A">
        <w:rPr>
          <w:rFonts w:cs="Times New Roman"/>
        </w:rPr>
        <w:t>2019).</w:t>
      </w:r>
    </w:p>
    <w:p w14:paraId="360E1358" w14:textId="77777777" w:rsidR="00351800" w:rsidRDefault="00351800" w:rsidP="00351800">
      <w:pPr>
        <w:pStyle w:val="ListParagraph"/>
        <w:ind w:left="0"/>
        <w:rPr>
          <w:rFonts w:cs="Times New Roman"/>
        </w:rPr>
      </w:pPr>
    </w:p>
    <w:p w14:paraId="52758D98" w14:textId="1764F0EB" w:rsidR="00351800" w:rsidRDefault="00351800" w:rsidP="00351800">
      <w:pPr>
        <w:pStyle w:val="ListParagraph"/>
        <w:ind w:left="0"/>
      </w:pPr>
      <w:r>
        <w:rPr>
          <w:noProof/>
        </w:rPr>
        <mc:AlternateContent>
          <mc:Choice Requires="wps">
            <w:drawing>
              <wp:anchor distT="0" distB="0" distL="114300" distR="114300" simplePos="0" relativeHeight="251670528" behindDoc="0" locked="0" layoutInCell="1" allowOverlap="1" wp14:anchorId="48D8FC08" wp14:editId="42739237">
                <wp:simplePos x="0" y="0"/>
                <wp:positionH relativeFrom="margin">
                  <wp:posOffset>99060</wp:posOffset>
                </wp:positionH>
                <wp:positionV relativeFrom="paragraph">
                  <wp:posOffset>890905</wp:posOffset>
                </wp:positionV>
                <wp:extent cx="1196340" cy="228600"/>
                <wp:effectExtent l="0" t="0" r="22860" b="19050"/>
                <wp:wrapNone/>
                <wp:docPr id="186681764" name="Text Box 4"/>
                <wp:cNvGraphicFramePr/>
                <a:graphic xmlns:a="http://schemas.openxmlformats.org/drawingml/2006/main">
                  <a:graphicData uri="http://schemas.microsoft.com/office/word/2010/wordprocessingShape">
                    <wps:wsp>
                      <wps:cNvSpPr txBox="1"/>
                      <wps:spPr>
                        <a:xfrm>
                          <a:off x="0" y="0"/>
                          <a:ext cx="1196340" cy="228600"/>
                        </a:xfrm>
                        <a:prstGeom prst="rect">
                          <a:avLst/>
                        </a:prstGeom>
                        <a:solidFill>
                          <a:schemeClr val="lt1"/>
                        </a:solidFill>
                        <a:ln w="6350">
                          <a:solidFill>
                            <a:schemeClr val="bg1"/>
                          </a:solidFill>
                        </a:ln>
                      </wps:spPr>
                      <wps:txbx>
                        <w:txbxContent>
                          <w:p w14:paraId="09E02CD2" w14:textId="77777777" w:rsidR="00351800" w:rsidRPr="006C346D" w:rsidRDefault="00351800" w:rsidP="00351800">
                            <w:pPr>
                              <w:rPr>
                                <w:sz w:val="16"/>
                                <w:szCs w:val="16"/>
                              </w:rPr>
                            </w:pPr>
                            <w:r>
                              <w:rPr>
                                <w:sz w:val="16"/>
                                <w:szCs w:val="16"/>
                              </w:rPr>
                              <w:t>(</w:t>
                            </w:r>
                            <w:r w:rsidRPr="00B37DCF">
                              <w:rPr>
                                <w:sz w:val="16"/>
                                <w:szCs w:val="16"/>
                              </w:rPr>
                              <w:t>Merritt College</w:t>
                            </w:r>
                            <w:r w:rsidRPr="006C346D">
                              <w:rPr>
                                <w:sz w:val="16"/>
                                <w:szCs w:val="16"/>
                              </w:rPr>
                              <w:t>, 2</w:t>
                            </w:r>
                            <w:r w:rsidRPr="00B37DCF">
                              <w:rPr>
                                <w:sz w:val="16"/>
                                <w:szCs w:val="16"/>
                              </w:rPr>
                              <w:t>015</w:t>
                            </w:r>
                            <w:r>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D8FC08" id="_x0000_s1031" type="#_x0000_t202" style="position:absolute;margin-left:7.8pt;margin-top:70.15pt;width:94.2pt;height:18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" fillcolor="white [3201]" strokecolor="white [3212]" strokeweight=".5pt">
                <v:textbox>
                  <w:txbxContent>
                    <w:p w14:paraId="09E02CD2" w14:textId="77777777" w:rsidR="00351800" w:rsidRPr="006C346D" w:rsidRDefault="00351800" w:rsidP="00351800">
                      <w:pPr>
                        <w:rPr>
                          <w:sz w:val="16"/>
                          <w:szCs w:val="16"/>
                        </w:rPr>
                      </w:pPr>
                      <w:r>
                        <w:rPr>
                          <w:sz w:val="16"/>
                          <w:szCs w:val="16"/>
                        </w:rPr>
                        <w:t>(</w:t>
                      </w:r>
                      <w:r w:rsidRPr="00B37DCF">
                        <w:rPr>
                          <w:sz w:val="16"/>
                          <w:szCs w:val="16"/>
                        </w:rPr>
                        <w:t>Merritt College</w:t>
                      </w:r>
                      <w:r w:rsidRPr="006C346D">
                        <w:rPr>
                          <w:sz w:val="16"/>
                          <w:szCs w:val="16"/>
                        </w:rPr>
                        <w:t>, 2</w:t>
                      </w:r>
                      <w:r w:rsidRPr="00B37DCF">
                        <w:rPr>
                          <w:sz w:val="16"/>
                          <w:szCs w:val="16"/>
                        </w:rPr>
                        <w:t>015</w:t>
                      </w:r>
                      <w:r>
                        <w:rPr>
                          <w:sz w:val="16"/>
                          <w:szCs w:val="16"/>
                        </w:rPr>
                        <w:t>)</w:t>
                      </w:r>
                    </w:p>
                  </w:txbxContent>
                </v:textbox>
                <w10:wrap anchorx="margin"/>
              </v:shape>
            </w:pict>
          </mc:Fallback>
        </mc:AlternateContent>
      </w:r>
    </w:p>
    <w:p w14:paraId="45AC9B8B" w14:textId="77777777" w:rsidR="00351800" w:rsidRDefault="00351800" w:rsidP="00351800">
      <w:pPr>
        <w:rPr>
          <w:b/>
          <w:bCs/>
          <w:sz w:val="28"/>
          <w:szCs w:val="28"/>
        </w:rPr>
      </w:pPr>
      <w:r>
        <w:rPr>
          <w:noProof/>
        </w:rPr>
        <w:drawing>
          <wp:anchor distT="0" distB="0" distL="114300" distR="114300" simplePos="0" relativeHeight="251669504" behindDoc="1" locked="0" layoutInCell="1" allowOverlap="1" wp14:anchorId="6D6749B4" wp14:editId="640B9289">
            <wp:simplePos x="0" y="0"/>
            <wp:positionH relativeFrom="margin">
              <wp:align>right</wp:align>
            </wp:positionH>
            <wp:positionV relativeFrom="paragraph">
              <wp:posOffset>6350</wp:posOffset>
            </wp:positionV>
            <wp:extent cx="5722620" cy="3101975"/>
            <wp:effectExtent l="0" t="0" r="0" b="3175"/>
            <wp:wrapTight wrapText="bothSides">
              <wp:wrapPolygon edited="0">
                <wp:start x="0" y="0"/>
                <wp:lineTo x="0" y="21489"/>
                <wp:lineTo x="21499" y="21489"/>
                <wp:lineTo x="21499" y="0"/>
                <wp:lineTo x="0" y="0"/>
              </wp:wrapPolygon>
            </wp:wrapTight>
            <wp:docPr id="647471413" name="Picture 3" descr="A diagram of a blooming taxono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471413" name="Picture 3" descr="A diagram of a blooming taxonomy&#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2620" cy="3101975"/>
                    </a:xfrm>
                    <a:prstGeom prst="rect">
                      <a:avLst/>
                    </a:prstGeom>
                    <a:noFill/>
                  </pic:spPr>
                </pic:pic>
              </a:graphicData>
            </a:graphic>
            <wp14:sizeRelH relativeFrom="margin">
              <wp14:pctWidth>0</wp14:pctWidth>
            </wp14:sizeRelH>
            <wp14:sizeRelV relativeFrom="margin">
              <wp14:pctHeight>0</wp14:pctHeight>
            </wp14:sizeRelV>
          </wp:anchor>
        </w:drawing>
      </w:r>
    </w:p>
    <w:p w14:paraId="09D80894" w14:textId="77777777" w:rsidR="00351800" w:rsidRPr="002C4ADE" w:rsidRDefault="00351800" w:rsidP="00351800">
      <w:pPr>
        <w:rPr>
          <w:b/>
          <w:bCs/>
          <w:color w:val="E97132" w:themeColor="accent2"/>
          <w:sz w:val="28"/>
          <w:szCs w:val="28"/>
        </w:rPr>
      </w:pPr>
      <w:r w:rsidRPr="002C4ADE">
        <w:rPr>
          <w:b/>
          <w:bCs/>
          <w:color w:val="E97132" w:themeColor="accent2"/>
          <w:sz w:val="28"/>
          <w:szCs w:val="28"/>
        </w:rPr>
        <w:t>Role Play</w:t>
      </w:r>
    </w:p>
    <w:p w14:paraId="3FCDCA84" w14:textId="77777777" w:rsidR="00351800" w:rsidRPr="00D20856" w:rsidRDefault="00351800" w:rsidP="00351800">
      <w:r w:rsidRPr="00D20856">
        <w:t>Example:</w:t>
      </w:r>
      <w:r>
        <w:t xml:space="preserve"> Set up a shop where the pupils can practice social interaction by buying selling and work out change (Welsh Government, 2018).</w:t>
      </w:r>
    </w:p>
    <w:p w14:paraId="54DEFEFF" w14:textId="77777777" w:rsidR="00351800" w:rsidRDefault="00351800" w:rsidP="00351800">
      <w:r w:rsidRPr="00D20856">
        <w:t>Area of learning:</w:t>
      </w:r>
      <w:r>
        <w:t xml:space="preserve"> Using combinations of money can the pupil pay for items up to a certain amount and are they able to calculate the change. Is the pupil able to order and compare prices of items, can they make record what they have spent and saved (Welsh Government, 2017).</w:t>
      </w:r>
    </w:p>
    <w:p w14:paraId="09E95CB3" w14:textId="77777777" w:rsidR="00351800" w:rsidRDefault="00351800" w:rsidP="00351800">
      <w:r>
        <w:lastRenderedPageBreak/>
        <w:t>The aim of Role Play is to help the pupil understand the role of money in everyday life, it allows them to revisit areas of learning independently which leads to further development of their skills (Estyn, 2024). It also helps the learner build transferable skills, allowing them to utilise the skill and use them outside of a classroom setting.</w:t>
      </w:r>
    </w:p>
    <w:p w14:paraId="5895ED42" w14:textId="77777777" w:rsidR="00351800" w:rsidRDefault="00351800" w:rsidP="00351800"/>
    <w:p w14:paraId="0ABBD997" w14:textId="77777777" w:rsidR="00351800" w:rsidRDefault="00351800" w:rsidP="00351800">
      <w:r>
        <w:t>Using play money as a resource allows pupils to have a fun and interactive experience in the learning environment. It helps pupils build confidence in an integral area of learning which will greatly benefit them.</w:t>
      </w:r>
    </w:p>
    <w:p w14:paraId="49E8D2B6" w14:textId="77777777" w:rsidR="00351800" w:rsidRDefault="00351800" w:rsidP="00283A3E">
      <w:pPr>
        <w:jc w:val="center"/>
      </w:pPr>
    </w:p>
    <w:p w14:paraId="57887A6E" w14:textId="77777777" w:rsidR="00351800" w:rsidRDefault="00351800" w:rsidP="00283A3E">
      <w:pPr>
        <w:jc w:val="center"/>
      </w:pPr>
    </w:p>
    <w:p w14:paraId="5420B8D2" w14:textId="77777777" w:rsidR="00351800" w:rsidRDefault="00351800" w:rsidP="00283A3E">
      <w:pPr>
        <w:jc w:val="center"/>
      </w:pPr>
    </w:p>
    <w:p w14:paraId="0E894703" w14:textId="77777777" w:rsidR="00351800" w:rsidRDefault="00351800" w:rsidP="00283A3E">
      <w:pPr>
        <w:jc w:val="center"/>
      </w:pPr>
    </w:p>
    <w:p w14:paraId="21CC164D" w14:textId="77777777" w:rsidR="00351800" w:rsidRDefault="00351800" w:rsidP="00283A3E">
      <w:pPr>
        <w:jc w:val="center"/>
      </w:pPr>
    </w:p>
    <w:p w14:paraId="30802262" w14:textId="77777777" w:rsidR="00351800" w:rsidRDefault="00351800" w:rsidP="00283A3E">
      <w:pPr>
        <w:jc w:val="center"/>
      </w:pPr>
    </w:p>
    <w:p w14:paraId="78E52695" w14:textId="77777777" w:rsidR="00090A02" w:rsidRDefault="00090A02" w:rsidP="00283A3E">
      <w:pPr>
        <w:jc w:val="center"/>
      </w:pPr>
    </w:p>
    <w:p w14:paraId="2512E594" w14:textId="77777777" w:rsidR="00090A02" w:rsidRDefault="00090A02" w:rsidP="00283A3E">
      <w:pPr>
        <w:jc w:val="center"/>
      </w:pPr>
    </w:p>
    <w:p w14:paraId="0FFA3015" w14:textId="77777777" w:rsidR="00090A02" w:rsidRDefault="00090A02" w:rsidP="00283A3E">
      <w:pPr>
        <w:jc w:val="center"/>
      </w:pPr>
    </w:p>
    <w:p w14:paraId="5E77997C" w14:textId="77777777" w:rsidR="00090A02" w:rsidRDefault="00090A02" w:rsidP="00283A3E">
      <w:pPr>
        <w:jc w:val="center"/>
      </w:pPr>
    </w:p>
    <w:p w14:paraId="3E6B1168" w14:textId="77777777" w:rsidR="00090A02" w:rsidRDefault="00090A02" w:rsidP="00283A3E">
      <w:pPr>
        <w:jc w:val="center"/>
      </w:pPr>
    </w:p>
    <w:p w14:paraId="66E15057" w14:textId="77777777" w:rsidR="00090A02" w:rsidRDefault="00090A02" w:rsidP="00283A3E">
      <w:pPr>
        <w:jc w:val="center"/>
      </w:pPr>
    </w:p>
    <w:p w14:paraId="1DFDA23F" w14:textId="77777777" w:rsidR="00090A02" w:rsidRDefault="00090A02" w:rsidP="00283A3E">
      <w:pPr>
        <w:jc w:val="center"/>
      </w:pPr>
    </w:p>
    <w:p w14:paraId="6989216F" w14:textId="77777777" w:rsidR="00090A02" w:rsidRDefault="00090A02" w:rsidP="00283A3E">
      <w:pPr>
        <w:jc w:val="center"/>
      </w:pPr>
    </w:p>
    <w:p w14:paraId="108EF708" w14:textId="77777777" w:rsidR="00090A02" w:rsidRDefault="00090A02" w:rsidP="00283A3E">
      <w:pPr>
        <w:jc w:val="center"/>
      </w:pPr>
    </w:p>
    <w:p w14:paraId="589B9398" w14:textId="77777777" w:rsidR="00090A02" w:rsidRDefault="00090A02" w:rsidP="00283A3E">
      <w:pPr>
        <w:jc w:val="center"/>
      </w:pPr>
    </w:p>
    <w:p w14:paraId="5EAD556D" w14:textId="77777777" w:rsidR="00090A02" w:rsidRDefault="00090A02" w:rsidP="00283A3E">
      <w:pPr>
        <w:jc w:val="center"/>
      </w:pPr>
    </w:p>
    <w:p w14:paraId="047E93DC" w14:textId="77777777" w:rsidR="00090A02" w:rsidRDefault="00090A02" w:rsidP="00283A3E">
      <w:pPr>
        <w:jc w:val="center"/>
      </w:pPr>
    </w:p>
    <w:p w14:paraId="6AB29111" w14:textId="77777777" w:rsidR="00090A02" w:rsidRDefault="00090A02" w:rsidP="00283A3E">
      <w:pPr>
        <w:jc w:val="center"/>
      </w:pPr>
    </w:p>
    <w:p w14:paraId="06D5E66B" w14:textId="77777777" w:rsidR="00090A02" w:rsidRDefault="00090A02" w:rsidP="00283A3E">
      <w:pPr>
        <w:jc w:val="center"/>
      </w:pPr>
    </w:p>
    <w:p w14:paraId="195A9F37" w14:textId="77777777" w:rsidR="00090A02" w:rsidRDefault="00090A02" w:rsidP="00283A3E">
      <w:pPr>
        <w:jc w:val="center"/>
      </w:pPr>
    </w:p>
    <w:p w14:paraId="0184D617" w14:textId="35DE39B4" w:rsidR="00090A02" w:rsidRDefault="00090A02" w:rsidP="00283A3E">
      <w:pPr>
        <w:jc w:val="center"/>
      </w:pPr>
      <w:r>
        <w:lastRenderedPageBreak/>
        <w:t xml:space="preserve">Element 3: References </w:t>
      </w:r>
    </w:p>
    <w:p w14:paraId="5CA0ED01" w14:textId="77777777" w:rsidR="00090A02" w:rsidRDefault="00090A02" w:rsidP="00090A02">
      <w:pPr>
        <w:spacing w:line="360" w:lineRule="auto"/>
        <w:rPr>
          <w:rFonts w:cs="Times New Roman"/>
        </w:rPr>
      </w:pPr>
      <w:r w:rsidRPr="006B475A">
        <w:rPr>
          <w:rFonts w:cs="Times New Roman"/>
        </w:rPr>
        <w:t xml:space="preserve">Aubrey, K. and Riley, A. (2019). </w:t>
      </w:r>
      <w:r w:rsidRPr="006B475A">
        <w:rPr>
          <w:rFonts w:cs="Times New Roman"/>
          <w:i/>
          <w:iCs/>
        </w:rPr>
        <w:t>Understanding and Using Educational Theories</w:t>
      </w:r>
      <w:r w:rsidRPr="006B475A">
        <w:rPr>
          <w:rFonts w:cs="Times New Roman"/>
        </w:rPr>
        <w:t>. 2nd ed. London: Sage</w:t>
      </w:r>
      <w:r>
        <w:rPr>
          <w:rFonts w:cs="Times New Roman"/>
        </w:rPr>
        <w:t xml:space="preserve"> Publishing.</w:t>
      </w:r>
    </w:p>
    <w:p w14:paraId="24B119E1" w14:textId="77777777" w:rsidR="00090A02" w:rsidRDefault="00090A02" w:rsidP="00090A02">
      <w:pPr>
        <w:spacing w:line="360" w:lineRule="auto"/>
        <w:rPr>
          <w:rFonts w:cs="Times New Roman"/>
        </w:rPr>
      </w:pPr>
      <w:r w:rsidRPr="00073A2B">
        <w:rPr>
          <w:rFonts w:cs="Times New Roman"/>
        </w:rPr>
        <w:t xml:space="preserve">Bates, B. (2019). </w:t>
      </w:r>
      <w:r w:rsidRPr="00BD0CA5">
        <w:rPr>
          <w:rFonts w:cs="Times New Roman"/>
          <w:i/>
          <w:iCs/>
        </w:rPr>
        <w:t>Learning Theories Simplified.</w:t>
      </w:r>
      <w:r w:rsidRPr="00073A2B">
        <w:rPr>
          <w:rFonts w:cs="Times New Roman"/>
        </w:rPr>
        <w:t xml:space="preserve"> London: Sage Publishing</w:t>
      </w:r>
      <w:r>
        <w:rPr>
          <w:rFonts w:cs="Times New Roman"/>
        </w:rPr>
        <w:t>.</w:t>
      </w:r>
    </w:p>
    <w:p w14:paraId="393A9066" w14:textId="77777777" w:rsidR="00090A02" w:rsidRDefault="00090A02" w:rsidP="00090A02">
      <w:pPr>
        <w:spacing w:line="360" w:lineRule="auto"/>
        <w:rPr>
          <w:rFonts w:cs="Times New Roman"/>
        </w:rPr>
      </w:pPr>
      <w:r>
        <w:rPr>
          <w:rFonts w:cs="Times New Roman"/>
        </w:rPr>
        <w:t xml:space="preserve">Bruner, J. S. (1966). </w:t>
      </w:r>
      <w:r w:rsidRPr="00BD0CA5">
        <w:rPr>
          <w:rFonts w:cs="Times New Roman"/>
          <w:i/>
          <w:iCs/>
        </w:rPr>
        <w:t>Towards a Theory of Instruction</w:t>
      </w:r>
      <w:r>
        <w:rPr>
          <w:rFonts w:cs="Times New Roman"/>
        </w:rPr>
        <w:t>. New York: W.W. Norton.</w:t>
      </w:r>
    </w:p>
    <w:p w14:paraId="16C273B9" w14:textId="77777777" w:rsidR="00090A02" w:rsidRDefault="00090A02" w:rsidP="00090A02">
      <w:pPr>
        <w:spacing w:line="360" w:lineRule="auto"/>
        <w:rPr>
          <w:rFonts w:cs="Times New Roman"/>
        </w:rPr>
      </w:pPr>
      <w:r w:rsidRPr="00006987">
        <w:rPr>
          <w:rFonts w:cs="Times New Roman"/>
        </w:rPr>
        <w:t>Estyn</w:t>
      </w:r>
      <w:r>
        <w:rPr>
          <w:rFonts w:cs="Times New Roman"/>
        </w:rPr>
        <w:t>.</w:t>
      </w:r>
      <w:r w:rsidRPr="00006987">
        <w:rPr>
          <w:rFonts w:cs="Times New Roman"/>
        </w:rPr>
        <w:t xml:space="preserve"> (2024). </w:t>
      </w:r>
      <w:r w:rsidRPr="00006987">
        <w:rPr>
          <w:rFonts w:cs="Times New Roman"/>
          <w:i/>
          <w:iCs/>
        </w:rPr>
        <w:t>Learn and develop through play - Estyn</w:t>
      </w:r>
      <w:r w:rsidRPr="00006987">
        <w:rPr>
          <w:rFonts w:cs="Times New Roman"/>
        </w:rPr>
        <w:t>. [</w:t>
      </w:r>
      <w:r>
        <w:rPr>
          <w:rFonts w:cs="Times New Roman"/>
        </w:rPr>
        <w:t>O</w:t>
      </w:r>
      <w:r w:rsidRPr="00006987">
        <w:rPr>
          <w:rFonts w:cs="Times New Roman"/>
        </w:rPr>
        <w:t xml:space="preserve">nline]. Available at: </w:t>
      </w:r>
      <w:hyperlink r:id="rId35" w:history="1">
        <w:r w:rsidRPr="00006987">
          <w:rPr>
            <w:rStyle w:val="Hyperlink"/>
            <w:rFonts w:cs="Times New Roman"/>
          </w:rPr>
          <w:t>https://estyn.gov.wales/improvement-resources/learn-and-develop-through-play/</w:t>
        </w:r>
      </w:hyperlink>
      <w:r>
        <w:rPr>
          <w:rFonts w:cs="Times New Roman"/>
        </w:rPr>
        <w:t>. (Accessed: 1</w:t>
      </w:r>
      <w:r w:rsidRPr="00006987">
        <w:rPr>
          <w:rFonts w:cs="Times New Roman"/>
          <w:vertAlign w:val="superscript"/>
        </w:rPr>
        <w:t>st</w:t>
      </w:r>
      <w:r>
        <w:rPr>
          <w:rFonts w:cs="Times New Roman"/>
        </w:rPr>
        <w:t xml:space="preserve"> March 2025).</w:t>
      </w:r>
    </w:p>
    <w:p w14:paraId="3CDE2B71" w14:textId="77777777" w:rsidR="00090A02" w:rsidRDefault="00090A02" w:rsidP="00090A02">
      <w:r>
        <w:t>L</w:t>
      </w:r>
      <w:r w:rsidRPr="00ED48CD">
        <w:t>earning Resources</w:t>
      </w:r>
      <w:r>
        <w:t>.</w:t>
      </w:r>
      <w:r w:rsidRPr="00ED48CD">
        <w:t xml:space="preserve"> (2025). </w:t>
      </w:r>
      <w:r w:rsidRPr="00ED48CD">
        <w:rPr>
          <w:i/>
          <w:iCs/>
        </w:rPr>
        <w:t>Play Money UK Assortment</w:t>
      </w:r>
      <w:r w:rsidRPr="00ED48CD">
        <w:t>. [</w:t>
      </w:r>
      <w:r>
        <w:t>O</w:t>
      </w:r>
      <w:r w:rsidRPr="00ED48CD">
        <w:t>nline]</w:t>
      </w:r>
      <w:r>
        <w:t>.</w:t>
      </w:r>
      <w:r w:rsidRPr="00ED48CD">
        <w:t xml:space="preserve"> Available at: </w:t>
      </w:r>
      <w:hyperlink r:id="rId36" w:history="1">
        <w:r w:rsidRPr="00ED48CD">
          <w:rPr>
            <w:rStyle w:val="Hyperlink"/>
          </w:rPr>
          <w:t>https://www.learningresources.co.uk/pretend-play-uk-money-pack-blister</w:t>
        </w:r>
      </w:hyperlink>
      <w:r w:rsidRPr="00ED48CD">
        <w:t>.</w:t>
      </w:r>
      <w:r>
        <w:t xml:space="preserve"> (Accessed: 1</w:t>
      </w:r>
      <w:r w:rsidRPr="00ED48CD">
        <w:rPr>
          <w:vertAlign w:val="superscript"/>
        </w:rPr>
        <w:t>st</w:t>
      </w:r>
      <w:r>
        <w:t xml:space="preserve"> March 2025).</w:t>
      </w:r>
    </w:p>
    <w:p w14:paraId="32356079" w14:textId="77777777" w:rsidR="00090A02" w:rsidRDefault="00090A02" w:rsidP="00090A02">
      <w:r w:rsidRPr="00B37DCF">
        <w:t xml:space="preserve">Merritt College (2015). </w:t>
      </w:r>
      <w:r w:rsidRPr="00B37DCF">
        <w:rPr>
          <w:i/>
          <w:iCs/>
        </w:rPr>
        <w:t>Bloom’s Taxonomy</w:t>
      </w:r>
      <w:r w:rsidRPr="00B37DCF">
        <w:t>. [</w:t>
      </w:r>
      <w:r>
        <w:t>O</w:t>
      </w:r>
      <w:r w:rsidRPr="00B37DCF">
        <w:t xml:space="preserve">nline] Student Learning Outcomes &amp; Assessment Committee. Available at: </w:t>
      </w:r>
      <w:hyperlink r:id="rId37" w:history="1">
        <w:r w:rsidRPr="00B37DCF">
          <w:rPr>
            <w:rStyle w:val="Hyperlink"/>
          </w:rPr>
          <w:t>https://www.merritt.edu/slo/for-faculty/blooms-taxonomy/</w:t>
        </w:r>
      </w:hyperlink>
      <w:r w:rsidRPr="00B37DCF">
        <w:t>.</w:t>
      </w:r>
      <w:r>
        <w:t xml:space="preserve"> (Accessed: 1</w:t>
      </w:r>
      <w:r w:rsidRPr="00794F32">
        <w:rPr>
          <w:vertAlign w:val="superscript"/>
        </w:rPr>
        <w:t>st</w:t>
      </w:r>
      <w:r>
        <w:t xml:space="preserve"> March 2025).</w:t>
      </w:r>
    </w:p>
    <w:p w14:paraId="44C2D44E" w14:textId="77777777" w:rsidR="00090A02" w:rsidRDefault="00090A02" w:rsidP="00090A02">
      <w:r w:rsidRPr="003565C9">
        <w:t xml:space="preserve">Welsh Government (2017). </w:t>
      </w:r>
      <w:r w:rsidRPr="003565C9">
        <w:rPr>
          <w:i/>
          <w:iCs/>
        </w:rPr>
        <w:t>Foundation Phase Profile Handbook</w:t>
      </w:r>
      <w:r w:rsidRPr="003565C9">
        <w:t xml:space="preserve">. [online] Available at: </w:t>
      </w:r>
      <w:hyperlink r:id="rId38" w:history="1">
        <w:r w:rsidRPr="003565C9">
          <w:rPr>
            <w:rStyle w:val="Hyperlink"/>
          </w:rPr>
          <w:t>https://www.gov.wales/sites/default/files/publications/2018-03/foundation-phase-profile-handbook-revised-september-2017.pdf</w:t>
        </w:r>
      </w:hyperlink>
      <w:r w:rsidRPr="003565C9">
        <w:t>.</w:t>
      </w:r>
      <w:r>
        <w:t xml:space="preserve"> (Accessed: 28</w:t>
      </w:r>
      <w:r w:rsidRPr="003565C9">
        <w:rPr>
          <w:vertAlign w:val="superscript"/>
        </w:rPr>
        <w:t>th</w:t>
      </w:r>
      <w:r>
        <w:t xml:space="preserve"> February 2025).</w:t>
      </w:r>
    </w:p>
    <w:p w14:paraId="01577FB8" w14:textId="77777777" w:rsidR="00090A02" w:rsidRDefault="00090A02" w:rsidP="00090A02">
      <w:r w:rsidRPr="00DB74A9">
        <w:t xml:space="preserve">Welsh Government (2018). </w:t>
      </w:r>
      <w:r w:rsidRPr="00DB74A9">
        <w:rPr>
          <w:i/>
          <w:iCs/>
        </w:rPr>
        <w:t>Mathematical Development Area of Learning Routes for Learning/ABC steps Foundation Phase pedagogy</w:t>
      </w:r>
      <w:r w:rsidRPr="00DB74A9">
        <w:t>. [</w:t>
      </w:r>
      <w:r>
        <w:t>O</w:t>
      </w:r>
      <w:r w:rsidRPr="00DB74A9">
        <w:t>nline]</w:t>
      </w:r>
      <w:r>
        <w:t>.</w:t>
      </w:r>
      <w:r w:rsidRPr="00DB74A9">
        <w:t xml:space="preserve"> Available at: </w:t>
      </w:r>
      <w:hyperlink r:id="rId39" w:history="1">
        <w:r w:rsidRPr="00DB74A9">
          <w:rPr>
            <w:rStyle w:val="Hyperlink"/>
          </w:rPr>
          <w:t>https://www.gov.wales/sites/default/files/consultations/2018-01/140513-routes-to-numeracy-en.pdf</w:t>
        </w:r>
      </w:hyperlink>
      <w:r>
        <w:t>. (Accessed: 28</w:t>
      </w:r>
      <w:r w:rsidRPr="00DB74A9">
        <w:rPr>
          <w:vertAlign w:val="superscript"/>
        </w:rPr>
        <w:t>th</w:t>
      </w:r>
      <w:r>
        <w:t xml:space="preserve"> February 2025).</w:t>
      </w:r>
    </w:p>
    <w:p w14:paraId="14CB5EFB" w14:textId="77777777" w:rsidR="00090A02" w:rsidRPr="00A06BB9" w:rsidRDefault="00090A02" w:rsidP="00090A02">
      <w:r w:rsidRPr="00A06BB9">
        <w:t>Welsh Government</w:t>
      </w:r>
      <w:r>
        <w:t>.</w:t>
      </w:r>
      <w:r w:rsidRPr="00A06BB9">
        <w:t xml:space="preserve"> (2016). </w:t>
      </w:r>
      <w:r w:rsidRPr="00A06BB9">
        <w:rPr>
          <w:i/>
          <w:iCs/>
        </w:rPr>
        <w:t>School Governors’ guide to the law.</w:t>
      </w:r>
      <w:r w:rsidRPr="00A06BB9">
        <w:t xml:space="preserve"> Chapter 13: Children with Additional Learning Needs. [</w:t>
      </w:r>
      <w:r>
        <w:t>O</w:t>
      </w:r>
      <w:r w:rsidRPr="00A06BB9">
        <w:t xml:space="preserve">nline] Available at: </w:t>
      </w:r>
      <w:hyperlink r:id="rId40" w:history="1">
        <w:r w:rsidRPr="00A06BB9">
          <w:rPr>
            <w:rStyle w:val="Hyperlink"/>
          </w:rPr>
          <w:t>https://www.gov.wales/school-governors-guide-law</w:t>
        </w:r>
      </w:hyperlink>
      <w:r>
        <w:t>. (Accessed: 1</w:t>
      </w:r>
      <w:r w:rsidRPr="00A06BB9">
        <w:rPr>
          <w:vertAlign w:val="superscript"/>
        </w:rPr>
        <w:t>st</w:t>
      </w:r>
      <w:r>
        <w:t xml:space="preserve"> March 2025).</w:t>
      </w:r>
    </w:p>
    <w:p w14:paraId="4280A75A" w14:textId="77777777" w:rsidR="00090A02" w:rsidRDefault="00090A02" w:rsidP="00283A3E">
      <w:pPr>
        <w:jc w:val="center"/>
      </w:pPr>
    </w:p>
    <w:p w14:paraId="14C1E7E4" w14:textId="77777777" w:rsidR="00351800" w:rsidRDefault="00351800" w:rsidP="00283A3E">
      <w:pPr>
        <w:jc w:val="center"/>
      </w:pPr>
    </w:p>
    <w:p w14:paraId="3F40CB76" w14:textId="77777777" w:rsidR="00351800" w:rsidRDefault="00351800" w:rsidP="00283A3E">
      <w:pPr>
        <w:jc w:val="center"/>
      </w:pPr>
    </w:p>
    <w:p w14:paraId="72CEB52E" w14:textId="77777777" w:rsidR="00351800" w:rsidRDefault="00351800" w:rsidP="00283A3E">
      <w:pPr>
        <w:jc w:val="center"/>
      </w:pPr>
    </w:p>
    <w:p w14:paraId="30069591" w14:textId="77777777" w:rsidR="00351800" w:rsidRDefault="00351800" w:rsidP="00283A3E">
      <w:pPr>
        <w:jc w:val="center"/>
      </w:pPr>
    </w:p>
    <w:p w14:paraId="52F73018" w14:textId="77777777" w:rsidR="00351800" w:rsidRDefault="00351800" w:rsidP="00283A3E">
      <w:pPr>
        <w:jc w:val="center"/>
      </w:pPr>
    </w:p>
    <w:p w14:paraId="5203F769" w14:textId="77777777" w:rsidR="00090A02" w:rsidRDefault="00090A02" w:rsidP="00090A02"/>
    <w:p w14:paraId="791BBDA8" w14:textId="570ABD10" w:rsidR="00351800" w:rsidRDefault="00351800" w:rsidP="00090A02">
      <w:pPr>
        <w:jc w:val="center"/>
      </w:pPr>
      <w:r>
        <w:lastRenderedPageBreak/>
        <w:t>Element 4: Video of the resource in action</w:t>
      </w:r>
    </w:p>
    <w:p w14:paraId="04E946AD" w14:textId="77777777" w:rsidR="00351800" w:rsidRDefault="00351800" w:rsidP="00283A3E">
      <w:pPr>
        <w:jc w:val="center"/>
      </w:pPr>
    </w:p>
    <w:p w14:paraId="03862302" w14:textId="51D999CD" w:rsidR="00351800" w:rsidRDefault="00351800" w:rsidP="00351800">
      <w:r>
        <w:t>Please see video by following the link below:</w:t>
      </w:r>
    </w:p>
    <w:p w14:paraId="4432CBDE" w14:textId="1048F9DC" w:rsidR="00351800" w:rsidRDefault="00351800" w:rsidP="00283A3E">
      <w:pPr>
        <w:jc w:val="center"/>
      </w:pPr>
      <w:hyperlink r:id="rId41" w:history="1">
        <w:r w:rsidRPr="00A37E97">
          <w:rPr>
            <w:rStyle w:val="Hyperlink"/>
          </w:rPr>
          <w:t>https://www.canva.com/design/DAGglcPf83U/amfeY6h13VG3H0mlDVtv8w/edit?utm_content=DAGglcPf83U&amp;utm_campaign=designshare&amp;utm_medium=link2&amp;utm_source=sharebutton</w:t>
        </w:r>
      </w:hyperlink>
    </w:p>
    <w:p w14:paraId="68B897B4" w14:textId="77777777" w:rsidR="00351800" w:rsidRDefault="00351800" w:rsidP="00283A3E">
      <w:pPr>
        <w:jc w:val="center"/>
      </w:pPr>
    </w:p>
    <w:p w14:paraId="7EA22740" w14:textId="77777777" w:rsidR="00351800" w:rsidRDefault="00351800" w:rsidP="00283A3E">
      <w:pPr>
        <w:jc w:val="center"/>
      </w:pPr>
    </w:p>
    <w:p w14:paraId="054F783E" w14:textId="77777777" w:rsidR="00351800" w:rsidRDefault="00351800" w:rsidP="00283A3E">
      <w:pPr>
        <w:jc w:val="center"/>
      </w:pPr>
    </w:p>
    <w:p w14:paraId="15AFA4AF" w14:textId="77777777" w:rsidR="00351800" w:rsidRDefault="00351800" w:rsidP="00283A3E">
      <w:pPr>
        <w:jc w:val="center"/>
      </w:pPr>
    </w:p>
    <w:p w14:paraId="4D8ACAD6" w14:textId="77777777" w:rsidR="00351800" w:rsidRDefault="00351800" w:rsidP="00283A3E">
      <w:pPr>
        <w:jc w:val="center"/>
      </w:pPr>
    </w:p>
    <w:p w14:paraId="33770A0E" w14:textId="77777777" w:rsidR="00351800" w:rsidRDefault="00351800" w:rsidP="00283A3E">
      <w:pPr>
        <w:jc w:val="center"/>
      </w:pPr>
    </w:p>
    <w:p w14:paraId="648EE5DE" w14:textId="77777777" w:rsidR="00351800" w:rsidRDefault="00351800" w:rsidP="00283A3E">
      <w:pPr>
        <w:jc w:val="center"/>
      </w:pPr>
    </w:p>
    <w:p w14:paraId="252956F5" w14:textId="77777777" w:rsidR="00351800" w:rsidRDefault="00351800" w:rsidP="00283A3E">
      <w:pPr>
        <w:jc w:val="center"/>
      </w:pPr>
    </w:p>
    <w:p w14:paraId="32841186" w14:textId="77777777" w:rsidR="00351800" w:rsidRDefault="00351800" w:rsidP="00283A3E">
      <w:pPr>
        <w:jc w:val="center"/>
      </w:pPr>
    </w:p>
    <w:p w14:paraId="2F7373FA" w14:textId="77777777" w:rsidR="00351800" w:rsidRDefault="00351800" w:rsidP="00283A3E">
      <w:pPr>
        <w:jc w:val="center"/>
      </w:pPr>
    </w:p>
    <w:p w14:paraId="3D301335" w14:textId="77777777" w:rsidR="00351800" w:rsidRDefault="00351800" w:rsidP="00283A3E">
      <w:pPr>
        <w:jc w:val="center"/>
      </w:pPr>
    </w:p>
    <w:p w14:paraId="3CE51BA2" w14:textId="77777777" w:rsidR="00351800" w:rsidRDefault="00351800" w:rsidP="00283A3E">
      <w:pPr>
        <w:jc w:val="center"/>
      </w:pPr>
    </w:p>
    <w:p w14:paraId="1440AA75" w14:textId="77777777" w:rsidR="00351800" w:rsidRDefault="00351800" w:rsidP="00283A3E">
      <w:pPr>
        <w:jc w:val="center"/>
      </w:pPr>
    </w:p>
    <w:p w14:paraId="6F6D72DE" w14:textId="77777777" w:rsidR="00351800" w:rsidRDefault="00351800" w:rsidP="00283A3E">
      <w:pPr>
        <w:jc w:val="center"/>
      </w:pPr>
    </w:p>
    <w:p w14:paraId="2CF3E392" w14:textId="77777777" w:rsidR="00351800" w:rsidRDefault="00351800" w:rsidP="00283A3E">
      <w:pPr>
        <w:jc w:val="center"/>
      </w:pPr>
    </w:p>
    <w:p w14:paraId="52F59382" w14:textId="77777777" w:rsidR="00351800" w:rsidRDefault="00351800" w:rsidP="00283A3E">
      <w:pPr>
        <w:jc w:val="center"/>
      </w:pPr>
    </w:p>
    <w:p w14:paraId="60AC7F5F" w14:textId="77777777" w:rsidR="00351800" w:rsidRDefault="00351800" w:rsidP="00283A3E">
      <w:pPr>
        <w:jc w:val="center"/>
      </w:pPr>
    </w:p>
    <w:p w14:paraId="7D0E905A" w14:textId="77777777" w:rsidR="00351800" w:rsidRDefault="00351800" w:rsidP="00283A3E">
      <w:pPr>
        <w:jc w:val="center"/>
      </w:pPr>
    </w:p>
    <w:p w14:paraId="4417B82A" w14:textId="77777777" w:rsidR="00351800" w:rsidRDefault="00351800" w:rsidP="00283A3E">
      <w:pPr>
        <w:jc w:val="center"/>
      </w:pPr>
    </w:p>
    <w:p w14:paraId="0AC69093" w14:textId="77777777" w:rsidR="00351800" w:rsidRDefault="00351800" w:rsidP="00283A3E">
      <w:pPr>
        <w:jc w:val="center"/>
      </w:pPr>
    </w:p>
    <w:p w14:paraId="1EB2F37D" w14:textId="77777777" w:rsidR="00351800" w:rsidRDefault="00351800" w:rsidP="00283A3E">
      <w:pPr>
        <w:jc w:val="center"/>
      </w:pPr>
    </w:p>
    <w:p w14:paraId="25820F61" w14:textId="77777777" w:rsidR="00351800" w:rsidRDefault="00351800" w:rsidP="00283A3E">
      <w:pPr>
        <w:jc w:val="center"/>
      </w:pPr>
    </w:p>
    <w:p w14:paraId="2B44ED34" w14:textId="77777777" w:rsidR="00351800" w:rsidRDefault="00351800" w:rsidP="00283A3E">
      <w:pPr>
        <w:jc w:val="center"/>
      </w:pPr>
    </w:p>
    <w:p w14:paraId="2C0FBA8C" w14:textId="70582364" w:rsidR="00351800" w:rsidRDefault="00351800" w:rsidP="00283A3E">
      <w:pPr>
        <w:jc w:val="center"/>
      </w:pPr>
      <w:r>
        <w:lastRenderedPageBreak/>
        <w:t>Element 5: Evaluation of the resource</w:t>
      </w:r>
    </w:p>
    <w:p w14:paraId="069BE52A" w14:textId="77777777" w:rsidR="00351800" w:rsidRPr="00603BC5" w:rsidRDefault="00351800" w:rsidP="00351800">
      <w:pPr>
        <w:jc w:val="center"/>
        <w:rPr>
          <w:b/>
          <w:bCs/>
          <w:sz w:val="28"/>
          <w:szCs w:val="28"/>
        </w:rPr>
      </w:pPr>
      <w:r w:rsidRPr="00603BC5">
        <w:rPr>
          <w:b/>
          <w:bCs/>
          <w:sz w:val="28"/>
          <w:szCs w:val="28"/>
        </w:rPr>
        <w:t>Evaluation of Play Money used as a tool to help teach Autistic Pupils Numeracy.</w:t>
      </w:r>
    </w:p>
    <w:p w14:paraId="25B31ECD" w14:textId="77777777" w:rsidR="00351800" w:rsidRDefault="00351800" w:rsidP="00351800">
      <w:pPr>
        <w:rPr>
          <w:b/>
          <w:bCs/>
        </w:rPr>
      </w:pPr>
    </w:p>
    <w:p w14:paraId="63B16E32" w14:textId="77777777" w:rsidR="00351800" w:rsidRDefault="00351800" w:rsidP="00351800">
      <w:pPr>
        <w:rPr>
          <w:sz w:val="20"/>
          <w:szCs w:val="20"/>
        </w:rPr>
      </w:pPr>
      <w:r>
        <w:rPr>
          <w:sz w:val="20"/>
          <w:szCs w:val="20"/>
        </w:rPr>
        <w:t>In this evaluation I will be reflecting on the resource play money and its effectiveness as a tool to aid numeracy. I will be reflecting on my experience facilitating this resource in an autistic unit in a class of 6 autistic learners who vary in ages and abilities and have a ratio of 1 teacher to 2 learners. I will refer to the learners I worked with as Learner A and Learner B. Learner A is an ASD and ADHD 7-year-old with a passion for knowledge and Learner B is an ASD 7-year-old who loves to interact with teachers. I will use examples of the policies, theories and my experience throughout. Furthermore, in my evaluation I will look at the possible disadvantages of the resource and the reasoning for it.</w:t>
      </w:r>
    </w:p>
    <w:p w14:paraId="28DD5832" w14:textId="77777777" w:rsidR="00351800" w:rsidRPr="006479F3" w:rsidRDefault="00351800" w:rsidP="00351800">
      <w:pPr>
        <w:rPr>
          <w:b/>
          <w:bCs/>
          <w:sz w:val="20"/>
          <w:szCs w:val="20"/>
        </w:rPr>
      </w:pPr>
      <w:r>
        <w:rPr>
          <w:b/>
          <w:bCs/>
          <w:sz w:val="20"/>
          <w:szCs w:val="20"/>
        </w:rPr>
        <w:t xml:space="preserve">The learning process </w:t>
      </w:r>
    </w:p>
    <w:p w14:paraId="4E8D3C72" w14:textId="77777777" w:rsidR="00351800" w:rsidRDefault="00351800" w:rsidP="00351800">
      <w:pPr>
        <w:rPr>
          <w:sz w:val="20"/>
          <w:szCs w:val="20"/>
        </w:rPr>
      </w:pPr>
      <w:r>
        <w:rPr>
          <w:sz w:val="20"/>
          <w:szCs w:val="20"/>
        </w:rPr>
        <w:t>When implementing a new resource, it is always important to ensure that you know what your learner is capable of before setting any work, to do this I utilised the theoretical approach of Vygotsky’s (1978) Zone of Proximal Development (ZPD). I began by placing the resource in front of Leaner A and Learner B and asked them what they could tell me about the play money in front of them, both learners were able to tell me about the colour, size and shape, meeting the needs set out in the Numeracy Framework (Welsh Government, 2018). I then probed to see if they could tell me anything else, they were able to tell me about the value of each coin and note and demonstrated an understanding of how to add them together to make larger quantities. Notably, having physical play money helped keep both learners engaged and on task throughout the lesson, the effectiveness of such practical materials is described as beneficial to learners in The Cockroft Report (1982). Now that I understood what Leaner A and B were capable of, I could now move onto the next step. I could now choose a suitable work programme for them that is in their ZPD, this is essential to help develop their numerical skills. I chose their work using SMART goals, this allowed for specific and measurable lessons where the learners knew what to do and were able to do so within an achievable timeframe (Bates, 2019).  I began with a role play where each pupil exchanged money with myself and each other, this allowed the learners to show their awareness of money (Welsh Government, 2017). I provided support throughout lessons in a collaborative process called scaffolding, helping the learners when they were stuck and encouraging both to reach their full potential (Aubrey and Riley, 2019). Learner A struggled a little at the start and to my delight Learner B became a MKO (Most Knowledgeable Other) and implemented scaffolding to helped support Learner A. This was not only beneficial for Learner A, but also for Learner B as it allowed them to develop their numeracy skills further and build up confidence. I monitored this learning process through formative assessments and was able to adjust my teaching accordingly to meet the needs of the learners (Looney, 2011) ascending in difficulty as their numeracy skills grew in each lesson.</w:t>
      </w:r>
    </w:p>
    <w:p w14:paraId="1B54C9CB" w14:textId="77777777" w:rsidR="00351800" w:rsidRDefault="00351800" w:rsidP="00351800">
      <w:pPr>
        <w:rPr>
          <w:sz w:val="20"/>
          <w:szCs w:val="20"/>
        </w:rPr>
      </w:pPr>
    </w:p>
    <w:p w14:paraId="1ECE2533" w14:textId="77777777" w:rsidR="00351800" w:rsidRDefault="00351800" w:rsidP="00351800">
      <w:pPr>
        <w:rPr>
          <w:b/>
          <w:bCs/>
          <w:sz w:val="20"/>
          <w:szCs w:val="20"/>
        </w:rPr>
      </w:pPr>
      <w:r>
        <w:rPr>
          <w:b/>
          <w:bCs/>
          <w:sz w:val="20"/>
          <w:szCs w:val="20"/>
        </w:rPr>
        <w:t>What worked well, what didn’t work so well and the disadvantages of play money</w:t>
      </w:r>
    </w:p>
    <w:p w14:paraId="6575CEB2" w14:textId="5141761E" w:rsidR="00351800" w:rsidRDefault="00351800" w:rsidP="00351800">
      <w:pPr>
        <w:rPr>
          <w:sz w:val="20"/>
          <w:szCs w:val="20"/>
        </w:rPr>
      </w:pPr>
      <w:r>
        <w:rPr>
          <w:sz w:val="20"/>
          <w:szCs w:val="20"/>
        </w:rPr>
        <w:t xml:space="preserve">What worked well was the engagement with the resource, not only did the learners use it during our numeracy lessons, but they would ask to use it in downtime to play shop with it. As I watched them play, I could see the learners use problem solving skills and transfer their numerical skills across other areas with confidence (Estyn, 2024). When the learners were confident in what they had learnt they would use that knowledge to act as MKO’s when other pupils were unsure providing them with support and problem-solving skills. What did not work so well was not having enough play money when simultaneously </w:t>
      </w:r>
      <w:r>
        <w:rPr>
          <w:sz w:val="20"/>
          <w:szCs w:val="20"/>
        </w:rPr>
        <w:lastRenderedPageBreak/>
        <w:t xml:space="preserve">facilitating a lesson to both learners. Learner A struggled with sharing the money when they needed a particular coin or note that was not available to them at the time, this often resulted in a behaviour which then took time away from the lesson. To problem solve this, I would purchase more play money whilst using Skinner’s (1958) theory of positive reinforcement to encourage Learner A to accept and wait for what they need </w:t>
      </w:r>
      <w:r w:rsidRPr="00125C92">
        <w:rPr>
          <w:sz w:val="20"/>
          <w:szCs w:val="20"/>
        </w:rPr>
        <w:t>(</w:t>
      </w:r>
      <w:r w:rsidRPr="00380876">
        <w:rPr>
          <w:rFonts w:cs="Times New Roman"/>
          <w:sz w:val="20"/>
          <w:szCs w:val="20"/>
        </w:rPr>
        <w:t>Bartlett</w:t>
      </w:r>
      <w:r w:rsidRPr="00125C92">
        <w:rPr>
          <w:rFonts w:cs="Times New Roman"/>
          <w:sz w:val="20"/>
          <w:szCs w:val="20"/>
        </w:rPr>
        <w:t xml:space="preserve"> </w:t>
      </w:r>
      <w:r w:rsidRPr="00380876">
        <w:rPr>
          <w:rFonts w:cs="Times New Roman"/>
          <w:sz w:val="20"/>
          <w:szCs w:val="20"/>
        </w:rPr>
        <w:t>and Burton,</w:t>
      </w:r>
      <w:r w:rsidRPr="00125C92">
        <w:rPr>
          <w:rFonts w:cs="Times New Roman"/>
          <w:sz w:val="20"/>
          <w:szCs w:val="20"/>
        </w:rPr>
        <w:t xml:space="preserve"> </w:t>
      </w:r>
      <w:r w:rsidRPr="00380876">
        <w:rPr>
          <w:rFonts w:cs="Times New Roman"/>
          <w:sz w:val="20"/>
          <w:szCs w:val="20"/>
        </w:rPr>
        <w:t>2016)</w:t>
      </w:r>
      <w:r>
        <w:rPr>
          <w:sz w:val="20"/>
          <w:szCs w:val="20"/>
        </w:rPr>
        <w:t xml:space="preserve"> so that there is less chance of a lesson being interrupted due to a behaviour. Furthermore, I would have a </w:t>
      </w:r>
      <w:r w:rsidR="00A81357">
        <w:rPr>
          <w:sz w:val="20"/>
          <w:szCs w:val="20"/>
        </w:rPr>
        <w:t>backup</w:t>
      </w:r>
      <w:r>
        <w:rPr>
          <w:sz w:val="20"/>
          <w:szCs w:val="20"/>
        </w:rPr>
        <w:t xml:space="preserve"> of independent worksheets so that Learner B may continue with their numeracy work. Although not a disadvantage I saw in my classroom, I could see how play money would not be appropriate for some learners throughout the unit. Students with PICA, an eating disorder that leads the individual to eat non-edible items (NHS, 2023) would almost definitely eat the notes and therefore would not be safe to be around those students.</w:t>
      </w:r>
    </w:p>
    <w:p w14:paraId="73877334" w14:textId="77777777" w:rsidR="00351800" w:rsidRPr="00BB69F7" w:rsidRDefault="00351800" w:rsidP="00351800">
      <w:pPr>
        <w:rPr>
          <w:b/>
          <w:bCs/>
          <w:sz w:val="20"/>
          <w:szCs w:val="20"/>
        </w:rPr>
      </w:pPr>
      <w:r>
        <w:rPr>
          <w:b/>
          <w:bCs/>
          <w:sz w:val="20"/>
          <w:szCs w:val="20"/>
        </w:rPr>
        <w:t>What I have learned</w:t>
      </w:r>
    </w:p>
    <w:p w14:paraId="2E5B8B5A" w14:textId="77777777" w:rsidR="00351800" w:rsidRPr="00480998" w:rsidRDefault="00351800" w:rsidP="00351800">
      <w:pPr>
        <w:rPr>
          <w:sz w:val="20"/>
          <w:szCs w:val="20"/>
        </w:rPr>
      </w:pPr>
      <w:r>
        <w:rPr>
          <w:sz w:val="20"/>
          <w:szCs w:val="20"/>
        </w:rPr>
        <w:t xml:space="preserve"> I have learnt that play money is a very useful resource to use when teaching learners about numeracy, it allows the learners to develop important skills that will help them become independent and confident individuals that can problem solve in real life situations.</w:t>
      </w:r>
      <w:r w:rsidRPr="00DF2F08">
        <w:rPr>
          <w:sz w:val="20"/>
          <w:szCs w:val="20"/>
        </w:rPr>
        <w:t xml:space="preserve"> </w:t>
      </w:r>
      <w:r>
        <w:rPr>
          <w:sz w:val="20"/>
          <w:szCs w:val="20"/>
        </w:rPr>
        <w:t>In this evaluation I have looked at the effectiveness of play money as a tool to aid numerical literacy in autistic learners. I have reflected on my experience facilitating play money and have used examples, policies and theories throughout to critically analyse the process.</w:t>
      </w:r>
    </w:p>
    <w:p w14:paraId="63928241" w14:textId="77777777" w:rsidR="00351800" w:rsidRDefault="00351800" w:rsidP="00283A3E">
      <w:pPr>
        <w:jc w:val="center"/>
      </w:pPr>
    </w:p>
    <w:p w14:paraId="6C4DA233" w14:textId="77777777" w:rsidR="008F0AF8" w:rsidRDefault="008F0AF8" w:rsidP="00283A3E">
      <w:pPr>
        <w:jc w:val="center"/>
      </w:pPr>
    </w:p>
    <w:p w14:paraId="34DA33CB" w14:textId="77777777" w:rsidR="008F0AF8" w:rsidRDefault="008F0AF8" w:rsidP="00283A3E">
      <w:pPr>
        <w:jc w:val="center"/>
      </w:pPr>
    </w:p>
    <w:p w14:paraId="0A12682B" w14:textId="77777777" w:rsidR="008F0AF8" w:rsidRDefault="008F0AF8" w:rsidP="00283A3E">
      <w:pPr>
        <w:jc w:val="center"/>
      </w:pPr>
    </w:p>
    <w:p w14:paraId="5FAD6A87" w14:textId="77777777" w:rsidR="008F0AF8" w:rsidRDefault="008F0AF8" w:rsidP="00283A3E">
      <w:pPr>
        <w:jc w:val="center"/>
      </w:pPr>
    </w:p>
    <w:p w14:paraId="1F3883E0" w14:textId="77777777" w:rsidR="008F0AF8" w:rsidRDefault="008F0AF8" w:rsidP="00283A3E">
      <w:pPr>
        <w:jc w:val="center"/>
      </w:pPr>
    </w:p>
    <w:p w14:paraId="53383FB6" w14:textId="77777777" w:rsidR="008F0AF8" w:rsidRDefault="008F0AF8" w:rsidP="00283A3E">
      <w:pPr>
        <w:jc w:val="center"/>
      </w:pPr>
    </w:p>
    <w:p w14:paraId="4B6A49EB" w14:textId="77777777" w:rsidR="008F0AF8" w:rsidRDefault="008F0AF8" w:rsidP="00283A3E">
      <w:pPr>
        <w:jc w:val="center"/>
      </w:pPr>
    </w:p>
    <w:p w14:paraId="436F2708" w14:textId="77777777" w:rsidR="008F0AF8" w:rsidRDefault="008F0AF8" w:rsidP="00283A3E">
      <w:pPr>
        <w:jc w:val="center"/>
      </w:pPr>
    </w:p>
    <w:p w14:paraId="1ECEFB10" w14:textId="77777777" w:rsidR="008F0AF8" w:rsidRDefault="008F0AF8" w:rsidP="00283A3E">
      <w:pPr>
        <w:jc w:val="center"/>
      </w:pPr>
    </w:p>
    <w:p w14:paraId="74B132CF" w14:textId="77777777" w:rsidR="008F0AF8" w:rsidRDefault="008F0AF8" w:rsidP="00283A3E">
      <w:pPr>
        <w:jc w:val="center"/>
      </w:pPr>
    </w:p>
    <w:p w14:paraId="3DC083C2" w14:textId="77777777" w:rsidR="008F0AF8" w:rsidRDefault="008F0AF8" w:rsidP="00283A3E">
      <w:pPr>
        <w:jc w:val="center"/>
      </w:pPr>
    </w:p>
    <w:p w14:paraId="0A81BFE3" w14:textId="77777777" w:rsidR="008F0AF8" w:rsidRDefault="008F0AF8" w:rsidP="00283A3E">
      <w:pPr>
        <w:jc w:val="center"/>
      </w:pPr>
    </w:p>
    <w:p w14:paraId="77A52528" w14:textId="77777777" w:rsidR="008F0AF8" w:rsidRDefault="008F0AF8" w:rsidP="00283A3E">
      <w:pPr>
        <w:jc w:val="center"/>
      </w:pPr>
    </w:p>
    <w:p w14:paraId="38E40675" w14:textId="77777777" w:rsidR="008F0AF8" w:rsidRDefault="008F0AF8" w:rsidP="00283A3E">
      <w:pPr>
        <w:jc w:val="center"/>
      </w:pPr>
    </w:p>
    <w:p w14:paraId="75966C98" w14:textId="77777777" w:rsidR="008F0AF8" w:rsidRDefault="008F0AF8" w:rsidP="00283A3E">
      <w:pPr>
        <w:jc w:val="center"/>
      </w:pPr>
    </w:p>
    <w:p w14:paraId="3A55053A" w14:textId="77777777" w:rsidR="008F0AF8" w:rsidRDefault="008F0AF8" w:rsidP="00283A3E">
      <w:pPr>
        <w:jc w:val="center"/>
      </w:pPr>
    </w:p>
    <w:p w14:paraId="713E67D2" w14:textId="70D84FAA" w:rsidR="008F0AF8" w:rsidRDefault="003A6FE8" w:rsidP="00283A3E">
      <w:pPr>
        <w:jc w:val="center"/>
      </w:pPr>
      <w:r>
        <w:lastRenderedPageBreak/>
        <w:t>Element 5: References</w:t>
      </w:r>
    </w:p>
    <w:p w14:paraId="67F7D164" w14:textId="77777777" w:rsidR="003A6FE8" w:rsidRDefault="003A6FE8" w:rsidP="00283A3E">
      <w:pPr>
        <w:jc w:val="center"/>
      </w:pPr>
    </w:p>
    <w:p w14:paraId="6D284883" w14:textId="77777777" w:rsidR="003A6FE8" w:rsidRDefault="003A6FE8" w:rsidP="003A6FE8">
      <w:pPr>
        <w:spacing w:line="360" w:lineRule="auto"/>
        <w:rPr>
          <w:rFonts w:cs="Times New Roman"/>
        </w:rPr>
      </w:pPr>
      <w:r w:rsidRPr="006B475A">
        <w:rPr>
          <w:rFonts w:cs="Times New Roman"/>
        </w:rPr>
        <w:t xml:space="preserve">Aubrey, K. and Riley, A. (2019). </w:t>
      </w:r>
      <w:r w:rsidRPr="006B475A">
        <w:rPr>
          <w:rFonts w:cs="Times New Roman"/>
          <w:i/>
          <w:iCs/>
        </w:rPr>
        <w:t>Understanding and Using Educational Theories</w:t>
      </w:r>
      <w:r w:rsidRPr="006B475A">
        <w:rPr>
          <w:rFonts w:cs="Times New Roman"/>
        </w:rPr>
        <w:t>. 2nd ed. London: Sage</w:t>
      </w:r>
      <w:r>
        <w:rPr>
          <w:rFonts w:cs="Times New Roman"/>
        </w:rPr>
        <w:t xml:space="preserve"> Publishing.</w:t>
      </w:r>
    </w:p>
    <w:p w14:paraId="3D72B7CF" w14:textId="77777777" w:rsidR="003A6FE8" w:rsidRDefault="003A6FE8" w:rsidP="003A6FE8">
      <w:pPr>
        <w:spacing w:line="360" w:lineRule="auto"/>
        <w:rPr>
          <w:rFonts w:cs="Times New Roman"/>
        </w:rPr>
      </w:pPr>
      <w:r w:rsidRPr="00380876">
        <w:rPr>
          <w:rFonts w:cs="Times New Roman"/>
        </w:rPr>
        <w:t>Bartlett, S. and Burton, D. (2016). </w:t>
      </w:r>
      <w:r w:rsidRPr="00380876">
        <w:rPr>
          <w:rFonts w:cs="Times New Roman"/>
          <w:i/>
          <w:iCs/>
        </w:rPr>
        <w:t>Introduction to education studies</w:t>
      </w:r>
      <w:r w:rsidRPr="00380876">
        <w:rPr>
          <w:rFonts w:cs="Times New Roman"/>
        </w:rPr>
        <w:t>. London: Sage.</w:t>
      </w:r>
    </w:p>
    <w:p w14:paraId="75026187" w14:textId="77777777" w:rsidR="003A6FE8" w:rsidRDefault="003A6FE8" w:rsidP="003A6FE8">
      <w:pPr>
        <w:spacing w:line="360" w:lineRule="auto"/>
        <w:rPr>
          <w:rFonts w:cs="Times New Roman"/>
        </w:rPr>
      </w:pPr>
      <w:r w:rsidRPr="00073A2B">
        <w:rPr>
          <w:rFonts w:cs="Times New Roman"/>
        </w:rPr>
        <w:t xml:space="preserve">Bates, B. (2019). </w:t>
      </w:r>
      <w:r w:rsidRPr="007B15F1">
        <w:rPr>
          <w:rFonts w:cs="Times New Roman"/>
          <w:i/>
          <w:iCs/>
        </w:rPr>
        <w:t>Learning Theories Simplified</w:t>
      </w:r>
      <w:r w:rsidRPr="00073A2B">
        <w:rPr>
          <w:rFonts w:cs="Times New Roman"/>
        </w:rPr>
        <w:t>. London: Sage Publishing</w:t>
      </w:r>
      <w:r>
        <w:rPr>
          <w:rFonts w:cs="Times New Roman"/>
        </w:rPr>
        <w:t>.</w:t>
      </w:r>
    </w:p>
    <w:p w14:paraId="7764765E" w14:textId="77777777" w:rsidR="003A6FE8" w:rsidRDefault="003A6FE8" w:rsidP="003A6FE8">
      <w:pPr>
        <w:spacing w:line="360" w:lineRule="auto"/>
        <w:rPr>
          <w:rFonts w:cs="Times New Roman"/>
        </w:rPr>
      </w:pPr>
      <w:r w:rsidRPr="003D389A">
        <w:rPr>
          <w:rFonts w:cs="Times New Roman"/>
        </w:rPr>
        <w:t xml:space="preserve">Cockcroft, W. (1982). </w:t>
      </w:r>
      <w:r w:rsidRPr="003D389A">
        <w:rPr>
          <w:rFonts w:cs="Times New Roman"/>
          <w:i/>
          <w:iCs/>
        </w:rPr>
        <w:t>Cockcroft Report (1982)</w:t>
      </w:r>
      <w:r w:rsidRPr="003D389A">
        <w:rPr>
          <w:rFonts w:cs="Times New Roman"/>
        </w:rPr>
        <w:t>. [</w:t>
      </w:r>
      <w:r>
        <w:rPr>
          <w:rFonts w:cs="Times New Roman"/>
        </w:rPr>
        <w:t>O</w:t>
      </w:r>
      <w:r w:rsidRPr="003D389A">
        <w:rPr>
          <w:rFonts w:cs="Times New Roman"/>
        </w:rPr>
        <w:t>nline]</w:t>
      </w:r>
      <w:r>
        <w:rPr>
          <w:rFonts w:cs="Times New Roman"/>
        </w:rPr>
        <w:t>.</w:t>
      </w:r>
      <w:r w:rsidRPr="003D389A">
        <w:rPr>
          <w:rFonts w:cs="Times New Roman"/>
        </w:rPr>
        <w:t xml:space="preserve"> Available at: </w:t>
      </w:r>
      <w:hyperlink r:id="rId42" w:history="1">
        <w:r w:rsidRPr="003D389A">
          <w:rPr>
            <w:rStyle w:val="Hyperlink"/>
            <w:rFonts w:cs="Times New Roman"/>
          </w:rPr>
          <w:t>https://education-uk.org/documents/cockcroft/cockcroft1982.html</w:t>
        </w:r>
      </w:hyperlink>
      <w:r w:rsidRPr="003D389A">
        <w:rPr>
          <w:rFonts w:cs="Times New Roman"/>
        </w:rPr>
        <w:t>.</w:t>
      </w:r>
      <w:r>
        <w:rPr>
          <w:rFonts w:cs="Times New Roman"/>
        </w:rPr>
        <w:t xml:space="preserve"> (Accessed: 1</w:t>
      </w:r>
      <w:r w:rsidRPr="003D389A">
        <w:rPr>
          <w:rFonts w:cs="Times New Roman"/>
          <w:vertAlign w:val="superscript"/>
        </w:rPr>
        <w:t>st</w:t>
      </w:r>
      <w:r>
        <w:rPr>
          <w:rFonts w:cs="Times New Roman"/>
        </w:rPr>
        <w:t xml:space="preserve"> March 2025).</w:t>
      </w:r>
    </w:p>
    <w:p w14:paraId="641DFDF1" w14:textId="77777777" w:rsidR="003A6FE8" w:rsidRDefault="003A6FE8" w:rsidP="003A6FE8">
      <w:pPr>
        <w:spacing w:line="360" w:lineRule="auto"/>
        <w:rPr>
          <w:rFonts w:cs="Times New Roman"/>
        </w:rPr>
      </w:pPr>
      <w:r w:rsidRPr="004E2145">
        <w:rPr>
          <w:rFonts w:cs="Times New Roman"/>
        </w:rPr>
        <w:t>Estyn</w:t>
      </w:r>
      <w:r>
        <w:rPr>
          <w:rFonts w:cs="Times New Roman"/>
        </w:rPr>
        <w:t>.</w:t>
      </w:r>
      <w:r w:rsidRPr="004E2145">
        <w:rPr>
          <w:rFonts w:cs="Times New Roman"/>
        </w:rPr>
        <w:t xml:space="preserve"> (2024). </w:t>
      </w:r>
      <w:r w:rsidRPr="004E2145">
        <w:rPr>
          <w:rFonts w:cs="Times New Roman"/>
          <w:i/>
          <w:iCs/>
        </w:rPr>
        <w:t>Learning through play in a real-life context</w:t>
      </w:r>
      <w:r>
        <w:rPr>
          <w:rFonts w:cs="Times New Roman"/>
          <w:i/>
          <w:iCs/>
        </w:rPr>
        <w:t>.</w:t>
      </w:r>
      <w:r w:rsidRPr="004E2145">
        <w:rPr>
          <w:rFonts w:cs="Times New Roman"/>
        </w:rPr>
        <w:t xml:space="preserve"> [</w:t>
      </w:r>
      <w:r>
        <w:rPr>
          <w:rFonts w:cs="Times New Roman"/>
        </w:rPr>
        <w:t>O</w:t>
      </w:r>
      <w:r w:rsidRPr="004E2145">
        <w:rPr>
          <w:rFonts w:cs="Times New Roman"/>
        </w:rPr>
        <w:t xml:space="preserve">nline]. Available at: </w:t>
      </w:r>
      <w:hyperlink r:id="rId43" w:history="1">
        <w:r w:rsidRPr="004E2145">
          <w:rPr>
            <w:rStyle w:val="Hyperlink"/>
            <w:rFonts w:cs="Times New Roman"/>
          </w:rPr>
          <w:t>https://estyn.gov.wales/improvement-resources/learning-through-play-in-a-real-life-context/</w:t>
        </w:r>
      </w:hyperlink>
      <w:r w:rsidRPr="004E2145">
        <w:rPr>
          <w:rFonts w:cs="Times New Roman"/>
        </w:rPr>
        <w:t>.</w:t>
      </w:r>
      <w:r>
        <w:rPr>
          <w:rFonts w:cs="Times New Roman"/>
        </w:rPr>
        <w:t xml:space="preserve"> (Accessed: 1</w:t>
      </w:r>
      <w:r w:rsidRPr="004E2145">
        <w:rPr>
          <w:rFonts w:cs="Times New Roman"/>
          <w:vertAlign w:val="superscript"/>
        </w:rPr>
        <w:t>st</w:t>
      </w:r>
      <w:r>
        <w:rPr>
          <w:rFonts w:cs="Times New Roman"/>
        </w:rPr>
        <w:t xml:space="preserve"> March 2025).</w:t>
      </w:r>
    </w:p>
    <w:p w14:paraId="6DA3E1E3" w14:textId="77777777" w:rsidR="003A6FE8" w:rsidRDefault="003A6FE8" w:rsidP="003A6FE8">
      <w:pPr>
        <w:spacing w:line="360" w:lineRule="auto"/>
        <w:rPr>
          <w:rFonts w:cs="Times New Roman"/>
        </w:rPr>
      </w:pPr>
      <w:r w:rsidRPr="0033157E">
        <w:rPr>
          <w:rFonts w:cs="Times New Roman"/>
        </w:rPr>
        <w:t>Looney, J. (2011), “Integrating Formative and Summative Assessment: Progress Toward a Seamless System?”, </w:t>
      </w:r>
      <w:r w:rsidRPr="0033157E">
        <w:rPr>
          <w:rFonts w:cs="Times New Roman"/>
          <w:i/>
          <w:iCs/>
        </w:rPr>
        <w:t>OECD Education Working Papers</w:t>
      </w:r>
      <w:r w:rsidRPr="0033157E">
        <w:rPr>
          <w:rFonts w:cs="Times New Roman"/>
        </w:rPr>
        <w:t>, No. 58, OECD Publishing, Paris, </w:t>
      </w:r>
      <w:hyperlink r:id="rId44" w:history="1">
        <w:r w:rsidRPr="0033157E">
          <w:rPr>
            <w:rStyle w:val="Hyperlink"/>
            <w:rFonts w:cs="Times New Roman"/>
          </w:rPr>
          <w:t>https://doi.org/10.1787/5kghx3kbl734-en</w:t>
        </w:r>
      </w:hyperlink>
      <w:r w:rsidRPr="0033157E">
        <w:rPr>
          <w:rFonts w:cs="Times New Roman"/>
        </w:rPr>
        <w:t>.</w:t>
      </w:r>
      <w:r>
        <w:rPr>
          <w:rFonts w:cs="Times New Roman"/>
        </w:rPr>
        <w:t xml:space="preserve"> (Accessed: 1</w:t>
      </w:r>
      <w:r w:rsidRPr="0033157E">
        <w:rPr>
          <w:rFonts w:cs="Times New Roman"/>
          <w:vertAlign w:val="superscript"/>
        </w:rPr>
        <w:t>st</w:t>
      </w:r>
      <w:r>
        <w:rPr>
          <w:rFonts w:cs="Times New Roman"/>
        </w:rPr>
        <w:t xml:space="preserve"> March 2025).</w:t>
      </w:r>
    </w:p>
    <w:p w14:paraId="431DAB6A" w14:textId="77777777" w:rsidR="003A6FE8" w:rsidRDefault="003A6FE8" w:rsidP="003A6FE8">
      <w:pPr>
        <w:spacing w:line="360" w:lineRule="auto"/>
        <w:rPr>
          <w:rFonts w:cs="Times New Roman"/>
        </w:rPr>
      </w:pPr>
      <w:r w:rsidRPr="001D45B3">
        <w:rPr>
          <w:rFonts w:cs="Times New Roman"/>
        </w:rPr>
        <w:t xml:space="preserve">NHS (2023). </w:t>
      </w:r>
      <w:r w:rsidRPr="001D45B3">
        <w:rPr>
          <w:rFonts w:cs="Times New Roman"/>
          <w:i/>
          <w:iCs/>
        </w:rPr>
        <w:t>Pica (eating non-edible items)</w:t>
      </w:r>
      <w:r w:rsidRPr="001D45B3">
        <w:rPr>
          <w:rFonts w:cs="Times New Roman"/>
        </w:rPr>
        <w:t>. [</w:t>
      </w:r>
      <w:r>
        <w:rPr>
          <w:rFonts w:cs="Times New Roman"/>
        </w:rPr>
        <w:t>O</w:t>
      </w:r>
      <w:r w:rsidRPr="001D45B3">
        <w:rPr>
          <w:rFonts w:cs="Times New Roman"/>
        </w:rPr>
        <w:t>nline]</w:t>
      </w:r>
      <w:r>
        <w:rPr>
          <w:rFonts w:cs="Times New Roman"/>
        </w:rPr>
        <w:t xml:space="preserve">. </w:t>
      </w:r>
      <w:r w:rsidRPr="001D45B3">
        <w:rPr>
          <w:rFonts w:cs="Times New Roman"/>
        </w:rPr>
        <w:t xml:space="preserve">Available at: </w:t>
      </w:r>
      <w:hyperlink r:id="rId45" w:history="1">
        <w:r w:rsidRPr="001D45B3">
          <w:rPr>
            <w:rStyle w:val="Hyperlink"/>
            <w:rFonts w:cs="Times New Roman"/>
          </w:rPr>
          <w:t>https://cambspborochildrenshealth.nhs.uk/services/cambridgeshire-community-paediatrics/pica-eating-non-edible-items/</w:t>
        </w:r>
      </w:hyperlink>
      <w:r w:rsidRPr="001D45B3">
        <w:rPr>
          <w:rFonts w:cs="Times New Roman"/>
        </w:rPr>
        <w:t>.</w:t>
      </w:r>
      <w:r>
        <w:rPr>
          <w:rFonts w:cs="Times New Roman"/>
        </w:rPr>
        <w:t xml:space="preserve"> (Accessed: 1</w:t>
      </w:r>
      <w:r w:rsidRPr="001D45B3">
        <w:rPr>
          <w:rFonts w:cs="Times New Roman"/>
          <w:vertAlign w:val="superscript"/>
        </w:rPr>
        <w:t>st</w:t>
      </w:r>
      <w:r>
        <w:rPr>
          <w:rFonts w:cs="Times New Roman"/>
        </w:rPr>
        <w:t xml:space="preserve"> March 2025).</w:t>
      </w:r>
    </w:p>
    <w:p w14:paraId="6445D55A" w14:textId="77777777" w:rsidR="003A6FE8" w:rsidRPr="0013771E" w:rsidRDefault="003A6FE8" w:rsidP="003A6FE8">
      <w:pPr>
        <w:spacing w:line="360" w:lineRule="auto"/>
        <w:rPr>
          <w:rFonts w:cs="Times New Roman"/>
        </w:rPr>
      </w:pPr>
      <w:r w:rsidRPr="0013771E">
        <w:rPr>
          <w:rFonts w:cs="Times New Roman"/>
        </w:rPr>
        <w:t xml:space="preserve">Skinner, B.F. (1958) ‘Reinforcement today’, </w:t>
      </w:r>
      <w:r w:rsidRPr="0013771E">
        <w:rPr>
          <w:rFonts w:cs="Times New Roman"/>
          <w:i/>
          <w:iCs/>
        </w:rPr>
        <w:t>The American psychologist</w:t>
      </w:r>
      <w:r w:rsidRPr="0013771E">
        <w:rPr>
          <w:rFonts w:cs="Times New Roman"/>
        </w:rPr>
        <w:t xml:space="preserve">, 13(3), pp. 94–99. Available at: </w:t>
      </w:r>
      <w:hyperlink r:id="rId46" w:history="1">
        <w:r w:rsidRPr="0013771E">
          <w:rPr>
            <w:rStyle w:val="Hyperlink"/>
            <w:rFonts w:cs="Times New Roman"/>
          </w:rPr>
          <w:t>https://doi.org/10.1037/h0049039</w:t>
        </w:r>
      </w:hyperlink>
      <w:r w:rsidRPr="0013771E">
        <w:rPr>
          <w:rFonts w:cs="Times New Roman"/>
        </w:rPr>
        <w:t>.</w:t>
      </w:r>
      <w:r>
        <w:rPr>
          <w:rFonts w:cs="Times New Roman"/>
        </w:rPr>
        <w:t xml:space="preserve"> </w:t>
      </w:r>
    </w:p>
    <w:p w14:paraId="6616C159" w14:textId="77777777" w:rsidR="003A6FE8" w:rsidRPr="005B6841" w:rsidRDefault="003A6FE8" w:rsidP="003A6FE8">
      <w:pPr>
        <w:spacing w:line="360" w:lineRule="auto"/>
        <w:rPr>
          <w:rFonts w:cs="Times New Roman"/>
        </w:rPr>
      </w:pPr>
      <w:r w:rsidRPr="00CC6A26">
        <w:rPr>
          <w:rFonts w:cs="Times New Roman"/>
        </w:rPr>
        <w:t xml:space="preserve">Vygotsky, L.S. (1978). </w:t>
      </w:r>
      <w:r w:rsidRPr="00CC6A26">
        <w:rPr>
          <w:rFonts w:cs="Times New Roman"/>
          <w:i/>
          <w:iCs/>
        </w:rPr>
        <w:t>Mind in Society.</w:t>
      </w:r>
      <w:r w:rsidRPr="00CC6A26">
        <w:rPr>
          <w:rFonts w:cs="Times New Roman"/>
        </w:rPr>
        <w:t xml:space="preserve"> Cambridge, MA: Harvard University Press.</w:t>
      </w:r>
    </w:p>
    <w:p w14:paraId="12046381" w14:textId="77777777" w:rsidR="003A6FE8" w:rsidRDefault="003A6FE8" w:rsidP="003A6FE8">
      <w:r w:rsidRPr="00943D03">
        <w:t xml:space="preserve">Welsh Government (2017). </w:t>
      </w:r>
      <w:r w:rsidRPr="00943D03">
        <w:rPr>
          <w:i/>
          <w:iCs/>
        </w:rPr>
        <w:t>Foundation Phase Profile Handbook</w:t>
      </w:r>
      <w:r w:rsidRPr="00943D03">
        <w:t xml:space="preserve">. [online] Available at: </w:t>
      </w:r>
      <w:hyperlink r:id="rId47" w:history="1">
        <w:r w:rsidRPr="00943D03">
          <w:rPr>
            <w:rStyle w:val="Hyperlink"/>
          </w:rPr>
          <w:t>https://www.gov.wales/sites/default/files/publications/2018-03/foundation-phase-profile-handbook-revised-september-2017.pdf</w:t>
        </w:r>
      </w:hyperlink>
      <w:r w:rsidRPr="00943D03">
        <w:t>.</w:t>
      </w:r>
      <w:r>
        <w:t xml:space="preserve"> (Accessed: 1</w:t>
      </w:r>
      <w:r w:rsidRPr="00943D03">
        <w:rPr>
          <w:vertAlign w:val="superscript"/>
        </w:rPr>
        <w:t>st</w:t>
      </w:r>
      <w:r>
        <w:t xml:space="preserve"> March 2025).</w:t>
      </w:r>
    </w:p>
    <w:p w14:paraId="4D69FC1E" w14:textId="77777777" w:rsidR="003A6FE8" w:rsidRDefault="003A6FE8" w:rsidP="003A6FE8">
      <w:r w:rsidRPr="00DB74A9">
        <w:t xml:space="preserve">Welsh Government (2018). </w:t>
      </w:r>
      <w:r w:rsidRPr="00DB74A9">
        <w:rPr>
          <w:i/>
          <w:iCs/>
        </w:rPr>
        <w:t>Mathematical Development Area of Learning Routes for Learning/ABC steps Foundation Phase pedagogy</w:t>
      </w:r>
      <w:r w:rsidRPr="00DB74A9">
        <w:t>. [</w:t>
      </w:r>
      <w:r>
        <w:t>O</w:t>
      </w:r>
      <w:r w:rsidRPr="00DB74A9">
        <w:t>nline]</w:t>
      </w:r>
      <w:r>
        <w:t>.</w:t>
      </w:r>
      <w:r w:rsidRPr="00DB74A9">
        <w:t xml:space="preserve"> Available at: </w:t>
      </w:r>
      <w:hyperlink r:id="rId48" w:history="1">
        <w:r w:rsidRPr="00DB74A9">
          <w:rPr>
            <w:rStyle w:val="Hyperlink"/>
          </w:rPr>
          <w:t>https://www.gov.wales/sites/default/files/consultations/2018-01/140513-routes-to-numeracy-en.pdf</w:t>
        </w:r>
      </w:hyperlink>
      <w:r>
        <w:t>. (Accessed: 1st March 2025).</w:t>
      </w:r>
    </w:p>
    <w:p w14:paraId="75F9E3D6" w14:textId="77777777" w:rsidR="003A6FE8" w:rsidRDefault="003A6FE8" w:rsidP="003A6FE8"/>
    <w:p w14:paraId="2162FA47" w14:textId="77777777" w:rsidR="003A6FE8" w:rsidRPr="00283A3E" w:rsidRDefault="003A6FE8" w:rsidP="00283A3E">
      <w:pPr>
        <w:jc w:val="center"/>
      </w:pPr>
    </w:p>
    <w:sectPr w:rsidR="003A6FE8" w:rsidRPr="00283A3E">
      <w:head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0AE36" w14:textId="77777777" w:rsidR="00646D03" w:rsidRDefault="00646D03" w:rsidP="00723E46">
      <w:pPr>
        <w:spacing w:after="0" w:line="240" w:lineRule="auto"/>
      </w:pPr>
      <w:r>
        <w:separator/>
      </w:r>
    </w:p>
  </w:endnote>
  <w:endnote w:type="continuationSeparator" w:id="0">
    <w:p w14:paraId="0121715A" w14:textId="77777777" w:rsidR="00646D03" w:rsidRDefault="00646D03" w:rsidP="00723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guet Script">
    <w:charset w:val="00"/>
    <w:family w:val="auto"/>
    <w:pitch w:val="variable"/>
    <w:sig w:usb0="00000007" w:usb1="00000000" w:usb2="00000000" w:usb3="00000000" w:csb0="00000093"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CEA4E" w14:textId="77777777" w:rsidR="00646D03" w:rsidRDefault="00646D03" w:rsidP="00723E46">
      <w:pPr>
        <w:spacing w:after="0" w:line="240" w:lineRule="auto"/>
      </w:pPr>
      <w:r>
        <w:separator/>
      </w:r>
    </w:p>
  </w:footnote>
  <w:footnote w:type="continuationSeparator" w:id="0">
    <w:p w14:paraId="7E795554" w14:textId="77777777" w:rsidR="00646D03" w:rsidRDefault="00646D03" w:rsidP="00723E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7896598"/>
      <w:docPartObj>
        <w:docPartGallery w:val="Page Numbers (Top of Page)"/>
        <w:docPartUnique/>
      </w:docPartObj>
    </w:sdtPr>
    <w:sdtEndPr>
      <w:rPr>
        <w:noProof/>
      </w:rPr>
    </w:sdtEndPr>
    <w:sdtContent>
      <w:p w14:paraId="021CE745" w14:textId="33F9C109" w:rsidR="00723E46" w:rsidRDefault="00723E4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07DF34A" w14:textId="77777777" w:rsidR="00723E46" w:rsidRDefault="00723E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A33B65"/>
    <w:multiLevelType w:val="hybridMultilevel"/>
    <w:tmpl w:val="0760619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430C01"/>
    <w:multiLevelType w:val="hybridMultilevel"/>
    <w:tmpl w:val="5D98F794"/>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num w:numId="1" w16cid:durableId="450785349">
    <w:abstractNumId w:val="0"/>
  </w:num>
  <w:num w:numId="2" w16cid:durableId="2970353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E46"/>
    <w:rsid w:val="00090A02"/>
    <w:rsid w:val="00283A3E"/>
    <w:rsid w:val="00347124"/>
    <w:rsid w:val="00351800"/>
    <w:rsid w:val="003A6FE8"/>
    <w:rsid w:val="004154A7"/>
    <w:rsid w:val="004433E9"/>
    <w:rsid w:val="004511A2"/>
    <w:rsid w:val="00646D03"/>
    <w:rsid w:val="00723E46"/>
    <w:rsid w:val="008F0AF8"/>
    <w:rsid w:val="00971313"/>
    <w:rsid w:val="00A81357"/>
    <w:rsid w:val="00E44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58033"/>
  <w15:chartTrackingRefBased/>
  <w15:docId w15:val="{E768D869-DECE-4401-81B7-B84A97AF0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3E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3E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3E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3E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3E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3E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3E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3E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3E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E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3E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3E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3E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3E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3E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3E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3E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3E46"/>
    <w:rPr>
      <w:rFonts w:eastAsiaTheme="majorEastAsia" w:cstheme="majorBidi"/>
      <w:color w:val="272727" w:themeColor="text1" w:themeTint="D8"/>
    </w:rPr>
  </w:style>
  <w:style w:type="paragraph" w:styleId="Title">
    <w:name w:val="Title"/>
    <w:basedOn w:val="Normal"/>
    <w:next w:val="Normal"/>
    <w:link w:val="TitleChar"/>
    <w:uiPriority w:val="10"/>
    <w:qFormat/>
    <w:rsid w:val="00723E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3E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3E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3E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3E46"/>
    <w:pPr>
      <w:spacing w:before="160"/>
      <w:jc w:val="center"/>
    </w:pPr>
    <w:rPr>
      <w:i/>
      <w:iCs/>
      <w:color w:val="404040" w:themeColor="text1" w:themeTint="BF"/>
    </w:rPr>
  </w:style>
  <w:style w:type="character" w:customStyle="1" w:styleId="QuoteChar">
    <w:name w:val="Quote Char"/>
    <w:basedOn w:val="DefaultParagraphFont"/>
    <w:link w:val="Quote"/>
    <w:uiPriority w:val="29"/>
    <w:rsid w:val="00723E46"/>
    <w:rPr>
      <w:i/>
      <w:iCs/>
      <w:color w:val="404040" w:themeColor="text1" w:themeTint="BF"/>
    </w:rPr>
  </w:style>
  <w:style w:type="paragraph" w:styleId="ListParagraph">
    <w:name w:val="List Paragraph"/>
    <w:basedOn w:val="Normal"/>
    <w:uiPriority w:val="34"/>
    <w:qFormat/>
    <w:rsid w:val="00723E46"/>
    <w:pPr>
      <w:ind w:left="720"/>
      <w:contextualSpacing/>
    </w:pPr>
  </w:style>
  <w:style w:type="character" w:styleId="IntenseEmphasis">
    <w:name w:val="Intense Emphasis"/>
    <w:basedOn w:val="DefaultParagraphFont"/>
    <w:uiPriority w:val="21"/>
    <w:qFormat/>
    <w:rsid w:val="00723E46"/>
    <w:rPr>
      <w:i/>
      <w:iCs/>
      <w:color w:val="0F4761" w:themeColor="accent1" w:themeShade="BF"/>
    </w:rPr>
  </w:style>
  <w:style w:type="paragraph" w:styleId="IntenseQuote">
    <w:name w:val="Intense Quote"/>
    <w:basedOn w:val="Normal"/>
    <w:next w:val="Normal"/>
    <w:link w:val="IntenseQuoteChar"/>
    <w:uiPriority w:val="30"/>
    <w:qFormat/>
    <w:rsid w:val="00723E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3E46"/>
    <w:rPr>
      <w:i/>
      <w:iCs/>
      <w:color w:val="0F4761" w:themeColor="accent1" w:themeShade="BF"/>
    </w:rPr>
  </w:style>
  <w:style w:type="character" w:styleId="IntenseReference">
    <w:name w:val="Intense Reference"/>
    <w:basedOn w:val="DefaultParagraphFont"/>
    <w:uiPriority w:val="32"/>
    <w:qFormat/>
    <w:rsid w:val="00723E46"/>
    <w:rPr>
      <w:b/>
      <w:bCs/>
      <w:smallCaps/>
      <w:color w:val="0F4761" w:themeColor="accent1" w:themeShade="BF"/>
      <w:spacing w:val="5"/>
    </w:rPr>
  </w:style>
  <w:style w:type="paragraph" w:styleId="Header">
    <w:name w:val="header"/>
    <w:basedOn w:val="Normal"/>
    <w:link w:val="HeaderChar"/>
    <w:uiPriority w:val="99"/>
    <w:unhideWhenUsed/>
    <w:rsid w:val="00723E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E46"/>
  </w:style>
  <w:style w:type="paragraph" w:styleId="Footer">
    <w:name w:val="footer"/>
    <w:basedOn w:val="Normal"/>
    <w:link w:val="FooterChar"/>
    <w:uiPriority w:val="99"/>
    <w:unhideWhenUsed/>
    <w:rsid w:val="00723E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E46"/>
  </w:style>
  <w:style w:type="character" w:styleId="Hyperlink">
    <w:name w:val="Hyperlink"/>
    <w:basedOn w:val="DefaultParagraphFont"/>
    <w:uiPriority w:val="99"/>
    <w:unhideWhenUsed/>
    <w:rsid w:val="00283A3E"/>
    <w:rPr>
      <w:color w:val="467886" w:themeColor="hyperlink"/>
      <w:u w:val="single"/>
    </w:rPr>
  </w:style>
  <w:style w:type="table" w:styleId="TableGrid">
    <w:name w:val="Table Grid"/>
    <w:basedOn w:val="TableNormal"/>
    <w:uiPriority w:val="59"/>
    <w:rsid w:val="00283A3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351800"/>
    <w:rPr>
      <w:color w:val="605E5C"/>
      <w:shd w:val="clear" w:color="auto" w:fill="E1DFDD"/>
    </w:rPr>
  </w:style>
  <w:style w:type="paragraph" w:styleId="TOCHeading">
    <w:name w:val="TOC Heading"/>
    <w:basedOn w:val="Heading1"/>
    <w:next w:val="Normal"/>
    <w:uiPriority w:val="39"/>
    <w:unhideWhenUsed/>
    <w:qFormat/>
    <w:rsid w:val="00351800"/>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351800"/>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351800"/>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351800"/>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5799068">
      <w:bodyDiv w:val="1"/>
      <w:marLeft w:val="0"/>
      <w:marRight w:val="0"/>
      <w:marTop w:val="0"/>
      <w:marBottom w:val="0"/>
      <w:divBdr>
        <w:top w:val="none" w:sz="0" w:space="0" w:color="auto"/>
        <w:left w:val="none" w:sz="0" w:space="0" w:color="auto"/>
        <w:bottom w:val="none" w:sz="0" w:space="0" w:color="auto"/>
        <w:right w:val="none" w:sz="0" w:space="0" w:color="auto"/>
      </w:divBdr>
    </w:div>
    <w:div w:id="1402171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wales/sites/default/files/publications/2021-04/curriculum-and-assessment-act-explanatory-memorandum.pdf" TargetMode="External"/><Relationship Id="rId18" Type="http://schemas.openxmlformats.org/officeDocument/2006/relationships/hyperlink" Target="https://youtu.be/hiiEeMN7vbQ" TargetMode="External"/><Relationship Id="rId26" Type="http://schemas.openxmlformats.org/officeDocument/2006/relationships/hyperlink" Target="https://www.topmarks.co.uk/" TargetMode="External"/><Relationship Id="rId39" Type="http://schemas.openxmlformats.org/officeDocument/2006/relationships/hyperlink" Target="https://www.gov.wales/sites/default/files/consultations/2018-01/140513-routes-to-numeracy-en.pdf" TargetMode="External"/><Relationship Id="rId21" Type="http://schemas.openxmlformats.org/officeDocument/2006/relationships/hyperlink" Target="https://www.topmarks.co.uk/" TargetMode="External"/><Relationship Id="rId34" Type="http://schemas.openxmlformats.org/officeDocument/2006/relationships/image" Target="media/image5.png"/><Relationship Id="rId42" Type="http://schemas.openxmlformats.org/officeDocument/2006/relationships/hyperlink" Target="https://education-uk.org/documents/cockcroft/cockcroft1982.html" TargetMode="External"/><Relationship Id="rId47" Type="http://schemas.openxmlformats.org/officeDocument/2006/relationships/hyperlink" Target="https://www.gov.wales/sites/default/files/publications/2018-03/foundation-phase-profile-handbook-revised-september-2017.pdf" TargetMode="External"/><Relationship Id="rId50" Type="http://schemas.openxmlformats.org/officeDocument/2006/relationships/fontTable" Target="fontTable.xml"/><Relationship Id="rId7" Type="http://schemas.openxmlformats.org/officeDocument/2006/relationships/hyperlink" Target="https://doi.org/10.1787/45ec682f-en" TargetMode="External"/><Relationship Id="rId2" Type="http://schemas.openxmlformats.org/officeDocument/2006/relationships/styles" Target="styles.xml"/><Relationship Id="rId16" Type="http://schemas.microsoft.com/office/2007/relationships/hdphoto" Target="media/hdphoto1.wdp"/><Relationship Id="rId29" Type="http://schemas.openxmlformats.org/officeDocument/2006/relationships/hyperlink" Target="https://hwb.gov.wales/curriculum-for-wales/mathematics-and-numeracy/designing-your-curriculum/" TargetMode="External"/><Relationship Id="rId11" Type="http://schemas.openxmlformats.org/officeDocument/2006/relationships/hyperlink" Target="https://www.unicef.org/sites/default/files/2020-02/Global-framework-on-transferable-skills-2019.pdf" TargetMode="External"/><Relationship Id="rId24" Type="http://schemas.openxmlformats.org/officeDocument/2006/relationships/hyperlink" Target="https://youtu.be/hiiEeMN7vbQ" TargetMode="External"/><Relationship Id="rId32" Type="http://schemas.openxmlformats.org/officeDocument/2006/relationships/hyperlink" Target="https://www.gov.wales/sites/default/files/statistics-and-research/2023-12/pisa-2022-national-report-wales-059.pdf" TargetMode="External"/><Relationship Id="rId37" Type="http://schemas.openxmlformats.org/officeDocument/2006/relationships/hyperlink" Target="https://www.merritt.edu/slo/for-faculty/blooms-taxonomy/" TargetMode="External"/><Relationship Id="rId40" Type="http://schemas.openxmlformats.org/officeDocument/2006/relationships/hyperlink" Target="https://www.gov.wales/school-governors-guide-law" TargetMode="External"/><Relationship Id="rId45" Type="http://schemas.openxmlformats.org/officeDocument/2006/relationships/hyperlink" Target="https://cambspborochildrenshealth.nhs.uk/services/cambridgeshire-community-paediatrics/pica-eating-non-edible-items/" TargetMode="Externa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hyperlink" Target="https://doi.org/10.1787/45ec682f-en" TargetMode="External"/><Relationship Id="rId28" Type="http://schemas.openxmlformats.org/officeDocument/2006/relationships/hyperlink" Target="https://www.gov.wales/sites/default/files/publications/2018-03/foundation-phase-profile-handbook-revised-september-2017.pdf" TargetMode="External"/><Relationship Id="rId36" Type="http://schemas.openxmlformats.org/officeDocument/2006/relationships/hyperlink" Target="https://www.learningresources.co.uk/pretend-play-uk-money-pack-blister" TargetMode="External"/><Relationship Id="rId49" Type="http://schemas.openxmlformats.org/officeDocument/2006/relationships/header" Target="header1.xml"/><Relationship Id="rId10" Type="http://schemas.openxmlformats.org/officeDocument/2006/relationships/hyperlink" Target="https://doi.org/10.1787/c3f3dc74-en" TargetMode="External"/><Relationship Id="rId19" Type="http://schemas.openxmlformats.org/officeDocument/2006/relationships/image" Target="media/image3.png"/><Relationship Id="rId31" Type="http://schemas.openxmlformats.org/officeDocument/2006/relationships/hyperlink" Target="https://www.gov.wales/mathematics-and-numeracy-plan-2023-html" TargetMode="External"/><Relationship Id="rId44" Type="http://schemas.openxmlformats.org/officeDocument/2006/relationships/hyperlink" Target="https://doi.org/10.1787/5kghx3kbl734-en" TargetMode="External"/><Relationship Id="rId4" Type="http://schemas.openxmlformats.org/officeDocument/2006/relationships/webSettings" Target="webSettings.xml"/><Relationship Id="rId9" Type="http://schemas.openxmlformats.org/officeDocument/2006/relationships/hyperlink" Target="https://www.nationalnumeracy.org.uk/what-numeracy/why-numeracy-important" TargetMode="External"/><Relationship Id="rId14" Type="http://schemas.openxmlformats.org/officeDocument/2006/relationships/hyperlink" Target="https://www.gov.wales/mathematics-and-numeracy-plan-2023-html" TargetMode="External"/><Relationship Id="rId22" Type="http://schemas.openxmlformats.org/officeDocument/2006/relationships/hyperlink" Target="https://stock.adobe.com/uk/search?k=growth+mindset&amp;search_type=usertyped&amp;asset_id=510988348" TargetMode="External"/><Relationship Id="rId27" Type="http://schemas.openxmlformats.org/officeDocument/2006/relationships/hyperlink" Target="https://www.gov.wales/achievement-15-year-olds-program-international-student-assessment-pisa-national-report-2022" TargetMode="External"/><Relationship Id="rId30" Type="http://schemas.openxmlformats.org/officeDocument/2006/relationships/hyperlink" Target="https://hwb.gov.wales/curriculum-for-wales/assessment-arrangements/supporting-learner-progression-assessment-guidance" TargetMode="External"/><Relationship Id="rId35" Type="http://schemas.openxmlformats.org/officeDocument/2006/relationships/hyperlink" Target="https://estyn.gov.wales/improvement-resources/learn-and-develop-through-play/" TargetMode="External"/><Relationship Id="rId43" Type="http://schemas.openxmlformats.org/officeDocument/2006/relationships/hyperlink" Target="https://estyn.gov.wales/improvement-resources/learning-through-play-in-a-real-life-context/" TargetMode="External"/><Relationship Id="rId48" Type="http://schemas.openxmlformats.org/officeDocument/2006/relationships/hyperlink" Target="https://www.gov.wales/sites/default/files/consultations/2018-01/140513-routes-to-numeracy-en.pdf" TargetMode="External"/><Relationship Id="rId8" Type="http://schemas.openxmlformats.org/officeDocument/2006/relationships/hyperlink" Target="https://estyn.gov.wales/improvement-resources/supporting-pupils-and-families-to-develop-positive-financial-literacy-skills/"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gov.wales/sites/default/files/consultations/2018-01/140513-routes-to-numeracy-en.pdf" TargetMode="External"/><Relationship Id="rId17" Type="http://schemas.openxmlformats.org/officeDocument/2006/relationships/image" Target="media/image2.png"/><Relationship Id="rId25" Type="http://schemas.openxmlformats.org/officeDocument/2006/relationships/hyperlink" Target="https://www.simplypsychology.org/Zone-of-Proximal-Development.html" TargetMode="External"/><Relationship Id="rId33" Type="http://schemas.openxmlformats.org/officeDocument/2006/relationships/image" Target="media/image4.png"/><Relationship Id="rId38" Type="http://schemas.openxmlformats.org/officeDocument/2006/relationships/hyperlink" Target="https://www.gov.wales/sites/default/files/publications/2018-03/foundation-phase-profile-handbook-revised-september-2017.pdf" TargetMode="External"/><Relationship Id="rId46" Type="http://schemas.openxmlformats.org/officeDocument/2006/relationships/hyperlink" Target="https://doi.org/10.1037/h0049039" TargetMode="External"/><Relationship Id="rId20" Type="http://schemas.openxmlformats.org/officeDocument/2006/relationships/hyperlink" Target="https://www.simplypsychology.org/zone-of-proximal-development.html" TargetMode="External"/><Relationship Id="rId41" Type="http://schemas.openxmlformats.org/officeDocument/2006/relationships/hyperlink" Target="https://www.canva.com/design/DAGglcPf83U/amfeY6h13VG3H0mlDVtv8w/edit?utm_content=DAGglcPf83U&amp;utm_campaign=designshare&amp;utm_medium=link2&amp;utm_source=sharebutton"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TotalTime>
  <Pages>19</Pages>
  <Words>5120</Words>
  <Characters>29188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Jones</dc:creator>
  <cp:keywords/>
  <dc:description/>
  <cp:lastModifiedBy>Leah Jones</cp:lastModifiedBy>
  <cp:revision>9</cp:revision>
  <dcterms:created xsi:type="dcterms:W3CDTF">2025-03-02T19:44:00Z</dcterms:created>
  <dcterms:modified xsi:type="dcterms:W3CDTF">2025-03-02T20:32:00Z</dcterms:modified>
</cp:coreProperties>
</file>