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1EA8EF" w14:textId="77777777" w:rsidR="008A338A" w:rsidRDefault="008A338A" w:rsidP="008A338A">
      <w:pPr>
        <w:rPr>
          <w:rFonts w:asciiTheme="majorHAnsi" w:hAnsiTheme="majorHAnsi" w:cstheme="majorHAnsi"/>
          <w:b/>
          <w:bCs/>
          <w:u w:val="single"/>
        </w:rPr>
      </w:pPr>
      <w:r w:rsidRPr="008A338A">
        <w:rPr>
          <w:rFonts w:asciiTheme="majorHAnsi" w:hAnsiTheme="majorHAnsi" w:cstheme="majorHAnsi"/>
          <w:b/>
          <w:bCs/>
          <w:u w:val="single"/>
        </w:rPr>
        <w:t>Portfolio Part A</w:t>
      </w:r>
    </w:p>
    <w:p w14:paraId="52B3A6DF" w14:textId="48937258" w:rsidR="008A338A" w:rsidRPr="00113353" w:rsidRDefault="008A338A" w:rsidP="008A338A">
      <w:pPr>
        <w:rPr>
          <w:rFonts w:asciiTheme="majorHAnsi" w:hAnsiTheme="majorHAnsi" w:cstheme="majorHAnsi"/>
          <w:b/>
          <w:bCs/>
          <w:u w:val="single"/>
        </w:rPr>
      </w:pPr>
      <w:r w:rsidRPr="00113353">
        <w:rPr>
          <w:rFonts w:asciiTheme="majorHAnsi" w:hAnsiTheme="majorHAnsi" w:cstheme="majorHAnsi"/>
          <w:u w:val="single"/>
        </w:rPr>
        <w:t xml:space="preserve">Document Analysis of </w:t>
      </w:r>
      <w:r w:rsidR="00113353" w:rsidRPr="00113353">
        <w:rPr>
          <w:rFonts w:asciiTheme="majorHAnsi" w:hAnsiTheme="majorHAnsi" w:cstheme="majorHAnsi"/>
          <w:u w:val="single"/>
        </w:rPr>
        <w:t xml:space="preserve">Norman Angell’s Letter to </w:t>
      </w:r>
      <w:r w:rsidR="00113353" w:rsidRPr="00113353">
        <w:rPr>
          <w:rFonts w:asciiTheme="majorHAnsi" w:hAnsiTheme="majorHAnsi" w:cstheme="majorHAnsi"/>
          <w:i/>
          <w:iCs/>
          <w:u w:val="single"/>
        </w:rPr>
        <w:t>The Times</w:t>
      </w:r>
      <w:r w:rsidR="00113353" w:rsidRPr="00113353">
        <w:rPr>
          <w:rFonts w:asciiTheme="majorHAnsi" w:hAnsiTheme="majorHAnsi" w:cstheme="majorHAnsi"/>
          <w:u w:val="single"/>
        </w:rPr>
        <w:t xml:space="preserve"> Concerning the Dominance of Russia Over Germany</w:t>
      </w:r>
    </w:p>
    <w:p w14:paraId="1F62C84E" w14:textId="77777777" w:rsidR="001D1A5C" w:rsidRPr="001D1A5C" w:rsidRDefault="001D1A5C" w:rsidP="001D1A5C">
      <w:pPr>
        <w:rPr>
          <w:rFonts w:cstheme="minorHAnsi"/>
        </w:rPr>
      </w:pPr>
      <w:r w:rsidRPr="001D1A5C">
        <w:rPr>
          <w:rFonts w:cstheme="minorHAnsi"/>
        </w:rPr>
        <w:t xml:space="preserve">I chose to analyse Norman Angell's letter to </w:t>
      </w:r>
      <w:r w:rsidRPr="001D1A5C">
        <w:rPr>
          <w:rFonts w:cstheme="minorHAnsi"/>
          <w:i/>
          <w:iCs/>
        </w:rPr>
        <w:t>The Times</w:t>
      </w:r>
      <w:r w:rsidRPr="001D1A5C">
        <w:rPr>
          <w:rFonts w:cstheme="minorHAnsi"/>
        </w:rPr>
        <w:t xml:space="preserve"> as, during my studies, I developed an interest in the pacifists who were opposed, before and during, the Great War. Writers like Norman Angell, who spoke out against a war in Europe, challenged the misconception that Britons were generally jingoistic in the lead up to the war. Angell's letters and writings are unique in that they do not argue for peace from a moral standpoint but from an economic one. I will analyse the letter he wrote through the context of who Angell was, its intentions, and alongside other contemporary writings.</w:t>
      </w:r>
    </w:p>
    <w:p w14:paraId="5CA2EBCA" w14:textId="1B4932AD" w:rsidR="0081542F" w:rsidRPr="001D1A5C" w:rsidRDefault="001D1A5C" w:rsidP="001D1A5C">
      <w:pPr>
        <w:rPr>
          <w:rFonts w:cstheme="minorHAnsi"/>
        </w:rPr>
      </w:pPr>
      <w:r w:rsidRPr="001D1A5C">
        <w:rPr>
          <w:rFonts w:cstheme="minorHAnsi"/>
        </w:rPr>
        <w:t>Norman Angell was born in Holbeach, Lincolnshire, in 1872. He studied in schools throughout England and the Lycée de St. Omer in France; After which he attended business school in London. During his time at the University of Geneva, whilst editing an English-speaking Genevese newspaper, Angell realised that Europe was hopelessly tangled in unsolvable problems. Disheartened, he left for America, where he would become a journalist witnessing the fury of the Americans during the 1898 Spanish-American war. Family affairs would bring him back to England and Paris, where he would also experience the British fervour over the Boer War and the vindictive chauvinism of the French during the Dreyfus Affair. Angell was opportunely placed to have reported on these three prime examples of jingoism. He culminated his journalistic experience in Europe and America into his 1903 book: Patriotism under Three Flags: A Plea for Rationalism in Politics</w:t>
      </w:r>
      <w:r w:rsidR="00A57F4C" w:rsidRPr="001D1A5C">
        <w:rPr>
          <w:rFonts w:cstheme="minorHAnsi"/>
        </w:rPr>
        <w:t>.</w:t>
      </w:r>
      <w:r w:rsidR="00152B35" w:rsidRPr="001D1A5C">
        <w:rPr>
          <w:rStyle w:val="FootnoteReference"/>
          <w:rFonts w:cstheme="minorHAnsi"/>
        </w:rPr>
        <w:footnoteReference w:id="1"/>
      </w:r>
    </w:p>
    <w:p w14:paraId="194AF1EB" w14:textId="14A93B46" w:rsidR="00A57F4C" w:rsidRDefault="001D1A5C" w:rsidP="008A338A">
      <w:pPr>
        <w:rPr>
          <w:rFonts w:cstheme="minorHAnsi"/>
        </w:rPr>
      </w:pPr>
      <w:r w:rsidRPr="001D1A5C">
        <w:rPr>
          <w:rFonts w:cstheme="minorHAnsi"/>
        </w:rPr>
        <w:t xml:space="preserve">His letter to </w:t>
      </w:r>
      <w:r>
        <w:rPr>
          <w:rFonts w:cstheme="minorHAnsi"/>
          <w:i/>
          <w:iCs/>
        </w:rPr>
        <w:t>T</w:t>
      </w:r>
      <w:r w:rsidRPr="001D1A5C">
        <w:rPr>
          <w:rFonts w:cstheme="minorHAnsi"/>
          <w:i/>
          <w:iCs/>
        </w:rPr>
        <w:t xml:space="preserve">he </w:t>
      </w:r>
      <w:r>
        <w:rPr>
          <w:rFonts w:cstheme="minorHAnsi"/>
          <w:i/>
          <w:iCs/>
        </w:rPr>
        <w:t>T</w:t>
      </w:r>
      <w:r w:rsidRPr="001D1A5C">
        <w:rPr>
          <w:rFonts w:cstheme="minorHAnsi"/>
          <w:i/>
          <w:iCs/>
        </w:rPr>
        <w:t>imes</w:t>
      </w:r>
      <w:r w:rsidRPr="001D1A5C">
        <w:rPr>
          <w:rFonts w:cstheme="minorHAnsi"/>
        </w:rPr>
        <w:t xml:space="preserve"> echoes his disdain for jingoistic chauvinism that he no doubt accrued through his experiences, arguing that Britain's position of power would be better maintained through peace. His time as a journalist would have also informed his affirmation that the German occupation of Alsace-Lorraine was a devastating loss. For the Germans and the French, motivating his views that war in an economically integrated Europe would be devastating for the victor and the vanquished. </w:t>
      </w:r>
      <w:r w:rsidR="00AA0C3B">
        <w:rPr>
          <w:rStyle w:val="FootnoteReference"/>
          <w:rFonts w:cstheme="minorHAnsi"/>
        </w:rPr>
        <w:footnoteReference w:id="2"/>
      </w:r>
    </w:p>
    <w:p w14:paraId="59CB2446" w14:textId="6D7116F1" w:rsidR="0046558D" w:rsidRDefault="0046558D" w:rsidP="008A338A">
      <w:pPr>
        <w:rPr>
          <w:rFonts w:cstheme="minorHAnsi"/>
        </w:rPr>
      </w:pPr>
      <w:r>
        <w:rPr>
          <w:rFonts w:cstheme="minorHAnsi"/>
        </w:rPr>
        <w:t>His most renowned work would b</w:t>
      </w:r>
      <w:r w:rsidR="00C47631">
        <w:rPr>
          <w:rFonts w:cstheme="minorHAnsi"/>
        </w:rPr>
        <w:t xml:space="preserve">e </w:t>
      </w:r>
      <w:r w:rsidR="00C47631">
        <w:rPr>
          <w:rFonts w:cstheme="minorHAnsi"/>
          <w:i/>
          <w:iCs/>
        </w:rPr>
        <w:t>The Great Illusion</w:t>
      </w:r>
      <w:r w:rsidR="00C47631">
        <w:rPr>
          <w:rFonts w:cstheme="minorHAnsi"/>
        </w:rPr>
        <w:t xml:space="preserve"> (1910) which would be widely celebrated throughout the decades leading up to the first world war, being something of a bestseller</w:t>
      </w:r>
      <w:r w:rsidR="005E38E5">
        <w:rPr>
          <w:rFonts w:cstheme="minorHAnsi"/>
        </w:rPr>
        <w:t>.</w:t>
      </w:r>
      <w:r w:rsidR="00C669D9">
        <w:rPr>
          <w:rFonts w:cstheme="minorHAnsi"/>
          <w:vertAlign w:val="superscript"/>
        </w:rPr>
        <w:t xml:space="preserve">2 </w:t>
      </w:r>
      <w:r w:rsidR="00C669D9" w:rsidRPr="00C669D9">
        <w:rPr>
          <w:rFonts w:cstheme="minorHAnsi"/>
          <w:i/>
          <w:iCs/>
        </w:rPr>
        <w:t>The</w:t>
      </w:r>
      <w:r w:rsidR="00C73D9A">
        <w:rPr>
          <w:rFonts w:cstheme="minorHAnsi"/>
          <w:i/>
          <w:iCs/>
        </w:rPr>
        <w:t xml:space="preserve"> Times</w:t>
      </w:r>
      <w:r w:rsidR="00C73D9A">
        <w:rPr>
          <w:rFonts w:cstheme="minorHAnsi"/>
        </w:rPr>
        <w:t xml:space="preserve"> stated that ‘few writers have stimulated reflection upon International Politics more than Mr Norman Angell.’</w:t>
      </w:r>
      <w:r w:rsidR="00C73D9A">
        <w:rPr>
          <w:rStyle w:val="FootnoteReference"/>
          <w:rFonts w:cstheme="minorHAnsi"/>
        </w:rPr>
        <w:footnoteReference w:id="3"/>
      </w:r>
      <w:r w:rsidR="003D16A7">
        <w:rPr>
          <w:rFonts w:cstheme="minorHAnsi"/>
        </w:rPr>
        <w:t xml:space="preserve"> </w:t>
      </w:r>
      <w:r w:rsidR="001D1A5C" w:rsidRPr="001D1A5C">
        <w:rPr>
          <w:rFonts w:cstheme="minorHAnsi"/>
        </w:rPr>
        <w:t xml:space="preserve">It is no wonder why Angell decided to write his letter concerning the new war in Europe to </w:t>
      </w:r>
      <w:r w:rsidR="001D1A5C" w:rsidRPr="001D1A5C">
        <w:rPr>
          <w:rFonts w:cstheme="minorHAnsi"/>
          <w:i/>
          <w:iCs/>
        </w:rPr>
        <w:t>The Times</w:t>
      </w:r>
      <w:r w:rsidR="001D1A5C" w:rsidRPr="001D1A5C">
        <w:rPr>
          <w:rFonts w:cstheme="minorHAnsi"/>
        </w:rPr>
        <w:t>. A hugely popular newspaper supported his message detailed in his other works and would no doubt feature his letter. He would have understood the importance of one's views to have a broad platform if they were to be of any influence, and according to Angell's views, the threat of a British war on the continent would have been an imminent and critical error.</w:t>
      </w:r>
    </w:p>
    <w:p w14:paraId="474B088F" w14:textId="243B2E45" w:rsidR="00870D00" w:rsidRDefault="001D1A5C" w:rsidP="008A338A">
      <w:pPr>
        <w:rPr>
          <w:rFonts w:cstheme="minorHAnsi"/>
        </w:rPr>
      </w:pPr>
      <w:r w:rsidRPr="001D1A5C">
        <w:rPr>
          <w:rFonts w:cstheme="minorHAnsi"/>
        </w:rPr>
        <w:t>And, indeed, it would be imminent. First, this letter was published on the 1st of August 1914, the day that Germany declared war on Russia and three days before Britain would declare war. And secondly, it would be critical. Angell's The Great Illusion was the basis this letter was written, and itself was written in preparation for war in Europe amongst growing tensions as early as the 1905 Tangier Crisis.</w:t>
      </w:r>
      <w:r w:rsidR="00A77BDF">
        <w:rPr>
          <w:rStyle w:val="FootnoteReference"/>
          <w:rFonts w:cstheme="minorHAnsi"/>
        </w:rPr>
        <w:footnoteReference w:id="4"/>
      </w:r>
      <w:r w:rsidRPr="001D1A5C">
        <w:t xml:space="preserve"> </w:t>
      </w:r>
      <w:r w:rsidRPr="001D1A5C">
        <w:rPr>
          <w:rFonts w:cstheme="minorHAnsi"/>
        </w:rPr>
        <w:t xml:space="preserve">Proponents of Angell's doctrine had been desperately arguing for peace and shunning the thought of an Anglo-German war for years. His work held a significant (although </w:t>
      </w:r>
      <w:r w:rsidRPr="001D1A5C">
        <w:rPr>
          <w:rFonts w:cstheme="minorHAnsi"/>
        </w:rPr>
        <w:lastRenderedPageBreak/>
        <w:t>inevitably short-lived) influence on many different pacifist groups and statesmen</w:t>
      </w:r>
      <w:r w:rsidR="008F5845">
        <w:rPr>
          <w:rStyle w:val="FootnoteReference"/>
          <w:rFonts w:cstheme="minorHAnsi"/>
        </w:rPr>
        <w:footnoteReference w:id="5"/>
      </w:r>
      <w:bookmarkStart w:id="2" w:name="_Hlk94902685"/>
      <w:r w:rsidR="00354D71" w:rsidRPr="00354D71">
        <w:t xml:space="preserve"> </w:t>
      </w:r>
      <w:r w:rsidR="00354D71" w:rsidRPr="00354D71">
        <w:rPr>
          <w:rFonts w:cstheme="minorHAnsi"/>
        </w:rPr>
        <w:t>and he would have no doubt hoped that war would have been a self-destructive improbability. The letter's tone seems to suggest the last cry for peace against the inevitability of war. The approach seems to denounce the pro-war arguments that would have been given on the eve of war. He seems to be pleading to the readers of The Times, who would have no doubt included politicians and citizens alike, to remain 'the one power in Europe that has not yielded to war madness.'</w:t>
      </w:r>
      <w:r w:rsidR="005B4CE4">
        <w:rPr>
          <w:rStyle w:val="FootnoteReference"/>
          <w:rFonts w:cstheme="minorHAnsi"/>
        </w:rPr>
        <w:footnoteReference w:id="6"/>
      </w:r>
      <w:bookmarkEnd w:id="2"/>
      <w:r w:rsidR="00901AAD">
        <w:rPr>
          <w:rFonts w:cstheme="minorHAnsi"/>
        </w:rPr>
        <w:t xml:space="preserve"> </w:t>
      </w:r>
      <w:r w:rsidR="00354D71" w:rsidRPr="00354D71">
        <w:rPr>
          <w:rFonts w:cstheme="minorHAnsi"/>
        </w:rPr>
        <w:t>It is also a product of its time in being relatively pro-German. The letter espouses the German people as 'highly civilised and mainly given the arts of trade and commerce.'</w:t>
      </w:r>
      <w:r w:rsidR="00354D71" w:rsidRPr="00354D71">
        <w:rPr>
          <w:rFonts w:cstheme="minorHAnsi"/>
          <w:vertAlign w:val="superscript"/>
        </w:rPr>
        <w:t>6</w:t>
      </w:r>
      <w:r w:rsidR="00354D71" w:rsidRPr="00354D71">
        <w:rPr>
          <w:rFonts w:cstheme="minorHAnsi"/>
        </w:rPr>
        <w:t xml:space="preserve"> Given the anti-German sentiment that would develop as the war went on, a letter in a national newspaper that praised the Germans would have most likely been in very poor taste to many.</w:t>
      </w:r>
    </w:p>
    <w:p w14:paraId="422CF38B" w14:textId="37FC98BB" w:rsidR="000D670B" w:rsidRDefault="007B706B" w:rsidP="000D670B">
      <w:pPr>
        <w:rPr>
          <w:rFonts w:cstheme="minorHAnsi"/>
          <w:vertAlign w:val="superscript"/>
        </w:rPr>
      </w:pPr>
      <w:r w:rsidRPr="007B706B">
        <w:rPr>
          <w:rFonts w:cstheme="minorHAnsi"/>
        </w:rPr>
        <w:t>It does seem that Norman Angell was very much not alone in his desire for peace. His correspondence to The Times was accompanied by two other letters that appeared on the 1st of August from a group of scholars and a meeting of Socialists. Each of these seems to share Angell's alarm and concern over a war with Germany. The first letter declares that many university professors stated that they benefit from the cooperation of their German equivalents in a range of different ways. They protested that they regard Germany as a country that excels the British in the arts and sciences and the thought of warring against her in favour of Russia and Serbia was an affront to civilisation. They expressed regret that war would be waged on 'a nation so near akin to our own, and with whom we have so much in common.'</w:t>
      </w:r>
      <w:r w:rsidR="00204496" w:rsidRPr="00204496">
        <w:rPr>
          <w:rFonts w:cstheme="minorHAnsi"/>
          <w:vertAlign w:val="superscript"/>
        </w:rPr>
        <w:t>6</w:t>
      </w:r>
    </w:p>
    <w:p w14:paraId="7D2DBB83" w14:textId="72A51F40" w:rsidR="0004093E" w:rsidRDefault="007B706B" w:rsidP="000D670B">
      <w:pPr>
        <w:rPr>
          <w:rFonts w:cstheme="minorHAnsi"/>
        </w:rPr>
      </w:pPr>
      <w:r w:rsidRPr="007B706B">
        <w:rPr>
          <w:rFonts w:cstheme="minorHAnsi"/>
        </w:rPr>
        <w:t>The second letter is a resolution that the prospect of a large pan-European war seems to have been orchestrated through secret alliances that were not made known to the nations involved nor supported by them. It supports workers' organisations across Europe protesting their governments entering the war. The socialists go on to state that they</w:t>
      </w:r>
      <w:r w:rsidR="0004093E">
        <w:rPr>
          <w:rFonts w:cstheme="minorHAnsi"/>
        </w:rPr>
        <w:t xml:space="preserve">: </w:t>
      </w:r>
    </w:p>
    <w:p w14:paraId="5F9E751C" w14:textId="06FE8FD6" w:rsidR="000D670B" w:rsidRDefault="0004093E" w:rsidP="0004093E">
      <w:pPr>
        <w:ind w:left="720"/>
        <w:rPr>
          <w:rFonts w:cstheme="minorHAnsi"/>
          <w:vertAlign w:val="superscript"/>
        </w:rPr>
      </w:pPr>
      <w:r>
        <w:rPr>
          <w:rFonts w:cstheme="minorHAnsi"/>
        </w:rPr>
        <w:t>‘Declare that as we have no interest, direct or indirect, in the threatened quarrels which may result from the action of Austria in Serbia, the government of Great Britain should confine itself to efforts to bring about peace as steadily as possible.’</w:t>
      </w:r>
      <w:r>
        <w:rPr>
          <w:rFonts w:cstheme="minorHAnsi"/>
          <w:vertAlign w:val="superscript"/>
        </w:rPr>
        <w:t>6</w:t>
      </w:r>
    </w:p>
    <w:p w14:paraId="5ECB8E87" w14:textId="716774D6" w:rsidR="0004093E" w:rsidRDefault="007B706B" w:rsidP="0004093E">
      <w:pPr>
        <w:rPr>
          <w:rFonts w:cstheme="minorHAnsi"/>
        </w:rPr>
      </w:pPr>
      <w:r w:rsidRPr="007B706B">
        <w:rPr>
          <w:rFonts w:cstheme="minorHAnsi"/>
        </w:rPr>
        <w:t>Not only do both letters share the same anti-war viewpoint as Angell's letter, but they also share his dismay and anger at the prospect of war with Germany. This implies that confusion over the war was not an uncommon position to hold. It seems many were sceptical of the necessity of a war with Germany. Angell seems to address this in his closing remarks: 'this, I believe, will be found to be the firm conviction of the overwhelming majority of the English people.'</w:t>
      </w:r>
      <w:r w:rsidR="00BF69AF">
        <w:rPr>
          <w:rFonts w:cstheme="minorHAnsi"/>
          <w:vertAlign w:val="superscript"/>
        </w:rPr>
        <w:t>6</w:t>
      </w:r>
      <w:r w:rsidR="00BF69AF">
        <w:rPr>
          <w:rFonts w:cstheme="minorHAnsi"/>
        </w:rPr>
        <w:t xml:space="preserve"> </w:t>
      </w:r>
      <w:r w:rsidRPr="007B706B">
        <w:rPr>
          <w:rFonts w:cstheme="minorHAnsi"/>
        </w:rPr>
        <w:t>The notion of allying with Russia and France, Britain's historical rivals, against a nation with whom there had been a history of amicable relations and shared a common Germanic heritage would have seemed random to many.</w:t>
      </w:r>
    </w:p>
    <w:p w14:paraId="5ED5CF1C" w14:textId="77777777" w:rsidR="004317B3" w:rsidRPr="004317B3" w:rsidRDefault="004317B3" w:rsidP="004317B3">
      <w:pPr>
        <w:rPr>
          <w:rFonts w:cstheme="minorHAnsi"/>
        </w:rPr>
      </w:pPr>
      <w:r w:rsidRPr="004317B3">
        <w:rPr>
          <w:rFonts w:cstheme="minorHAnsi"/>
        </w:rPr>
        <w:t>There does seem to be a significant level of frustration in Angell's letter, particularly regarding allying with Russia. He refers to '160,000,000' autocratic, rudimentary, and militant Russians ready to unite into a Slavonic league to threaten the whole of Europe; a force Britain would better stand to combat should Europe remain at peace under a British Empire not weakened by war. The letter is pocked by anti-Slavic sentiment. He supposes another 'monstrous error and miscalculation' like the Crimean war should Europe wage war on the continent: a Crimean war that would only promote Russian dominance in Europe.</w:t>
      </w:r>
    </w:p>
    <w:p w14:paraId="09786D99" w14:textId="4B77545D" w:rsidR="002B327A" w:rsidRDefault="004317B3" w:rsidP="004317B3">
      <w:pPr>
        <w:rPr>
          <w:rFonts w:cstheme="minorHAnsi"/>
        </w:rPr>
      </w:pPr>
      <w:r w:rsidRPr="004317B3">
        <w:rPr>
          <w:rFonts w:cstheme="minorHAnsi"/>
        </w:rPr>
        <w:lastRenderedPageBreak/>
        <w:t xml:space="preserve">Angell begins his second paragraph with the statement that there is a belief that should Germany be victorious, she would be so domineering as to occupy Belgium, Normandy, and the Netherlands. He laughs this off as an impossibility. Instead, he cites the great difficulty Germany experienced following its annexation of Alsace-Lorraine. Saying that if a province so German in its origins and history could confound the German Empire so much, imagine how crippling an annexation of Belgium, Holland, and Northern France would be. And at the end of it all, Russia would still be able to remain a significant threat. </w:t>
      </w:r>
      <w:r w:rsidR="00136061">
        <w:rPr>
          <w:rStyle w:val="FootnoteReference"/>
          <w:rFonts w:cstheme="minorHAnsi"/>
        </w:rPr>
        <w:footnoteReference w:id="7"/>
      </w:r>
    </w:p>
    <w:p w14:paraId="0F368103" w14:textId="0D9165B5" w:rsidR="00184DA0" w:rsidRDefault="004317B3" w:rsidP="0004093E">
      <w:pPr>
        <w:rPr>
          <w:rFonts w:cstheme="minorHAnsi"/>
        </w:rPr>
      </w:pPr>
      <w:r w:rsidRPr="004317B3">
        <w:rPr>
          <w:rFonts w:cstheme="minorHAnsi"/>
        </w:rPr>
        <w:t>Norman Angell would have hoped to make pacificists out of The Times' readers through the appliance of his (ultimately flawed, though this does not fit within the scope of the work) approach to the futility and self-destructiveness of a war of conquest. The letter remains an excellent example of pacifism in pre-war Britain and is incredibly useful for inferring the anti-war frustrations that were prevalent at the time.</w:t>
      </w:r>
      <w:r w:rsidR="00FB2B6D">
        <w:rPr>
          <w:rStyle w:val="FootnoteReference"/>
          <w:rFonts w:cstheme="minorHAnsi"/>
        </w:rPr>
        <w:footnoteReference w:id="8"/>
      </w:r>
    </w:p>
    <w:p w14:paraId="1EFB8F53" w14:textId="77777777" w:rsidR="00184DA0" w:rsidRDefault="00184DA0">
      <w:pPr>
        <w:rPr>
          <w:rFonts w:cstheme="minorHAnsi"/>
        </w:rPr>
      </w:pPr>
      <w:r>
        <w:rPr>
          <w:rFonts w:cstheme="minorHAnsi"/>
        </w:rPr>
        <w:br w:type="page"/>
      </w:r>
    </w:p>
    <w:p w14:paraId="3AFC75D5" w14:textId="18090BAF" w:rsidR="00184DA0" w:rsidRDefault="00184DA0" w:rsidP="0004093E">
      <w:pPr>
        <w:rPr>
          <w:rFonts w:asciiTheme="majorHAnsi" w:hAnsiTheme="majorHAnsi" w:cstheme="majorHAnsi"/>
          <w:i/>
          <w:iCs/>
          <w:u w:val="single"/>
        </w:rPr>
      </w:pPr>
      <w:r>
        <w:rPr>
          <w:rFonts w:asciiTheme="majorHAnsi" w:hAnsiTheme="majorHAnsi" w:cstheme="majorHAnsi"/>
          <w:u w:val="single"/>
        </w:rPr>
        <w:lastRenderedPageBreak/>
        <w:t xml:space="preserve">Book Review of Adrian Gregory’s </w:t>
      </w:r>
      <w:r w:rsidRPr="00F31DD8">
        <w:rPr>
          <w:rFonts w:asciiTheme="majorHAnsi" w:hAnsiTheme="majorHAnsi" w:cstheme="majorHAnsi"/>
          <w:i/>
          <w:iCs/>
          <w:u w:val="single"/>
        </w:rPr>
        <w:t>‘</w:t>
      </w:r>
      <w:r w:rsidR="00F31DD8" w:rsidRPr="00F31DD8">
        <w:rPr>
          <w:rFonts w:asciiTheme="majorHAnsi" w:hAnsiTheme="majorHAnsi" w:cstheme="majorHAnsi"/>
          <w:i/>
          <w:iCs/>
          <w:u w:val="single"/>
        </w:rPr>
        <w:t>The</w:t>
      </w:r>
      <w:r w:rsidR="00F31DD8">
        <w:rPr>
          <w:rFonts w:asciiTheme="majorHAnsi" w:hAnsiTheme="majorHAnsi" w:cstheme="majorHAnsi"/>
          <w:u w:val="single"/>
        </w:rPr>
        <w:t xml:space="preserve"> </w:t>
      </w:r>
      <w:r>
        <w:rPr>
          <w:rFonts w:asciiTheme="majorHAnsi" w:hAnsiTheme="majorHAnsi" w:cstheme="majorHAnsi"/>
          <w:i/>
          <w:iCs/>
          <w:u w:val="single"/>
        </w:rPr>
        <w:t>Last Great War’</w:t>
      </w:r>
    </w:p>
    <w:p w14:paraId="4F788747" w14:textId="39451853" w:rsidR="00481C1E" w:rsidRDefault="004317B3" w:rsidP="0004093E">
      <w:pPr>
        <w:rPr>
          <w:rFonts w:cstheme="minorHAnsi"/>
        </w:rPr>
      </w:pPr>
      <w:r w:rsidRPr="004317B3">
        <w:rPr>
          <w:rFonts w:cstheme="minorHAnsi"/>
        </w:rPr>
        <w:t xml:space="preserve">Adrian Gregory's </w:t>
      </w:r>
      <w:r w:rsidRPr="004317B3">
        <w:rPr>
          <w:rFonts w:cstheme="minorHAnsi"/>
          <w:i/>
          <w:iCs/>
        </w:rPr>
        <w:t>The Last Great War</w:t>
      </w:r>
      <w:r w:rsidRPr="004317B3">
        <w:rPr>
          <w:rFonts w:cstheme="minorHAnsi"/>
        </w:rPr>
        <w:t xml:space="preserve"> is a book that attempted to re-examine and reassess the social history of Britain during the Great War. Popular opinion seems to tend towards it being a 'stupid, tragic, and futile'</w:t>
      </w:r>
      <w:r w:rsidR="00CE073B">
        <w:rPr>
          <w:rStyle w:val="FootnoteReference"/>
          <w:rFonts w:cstheme="minorHAnsi"/>
        </w:rPr>
        <w:footnoteReference w:id="9"/>
      </w:r>
      <w:r w:rsidR="00CE073B">
        <w:rPr>
          <w:rFonts w:cstheme="minorHAnsi"/>
        </w:rPr>
        <w:t xml:space="preserve"> </w:t>
      </w:r>
      <w:r w:rsidRPr="004317B3">
        <w:rPr>
          <w:rFonts w:cstheme="minorHAnsi"/>
        </w:rPr>
        <w:t>war, as seen in media like Blackadder Goes Forth (where the hopelessness and tragedy form the basis of its famous finale). Gregory claims that the revisionist war narrative of widespread jingoism in 1914 giving way to scepticism and lack of direction by the conclusion of the war in 1918 is a result of looking at the war in hindsight from an overreliance on a small group of post-war sources that depict the time through a narrative than as a history.</w:t>
      </w:r>
    </w:p>
    <w:p w14:paraId="2AC30853" w14:textId="60DB10BE" w:rsidR="00DF174E" w:rsidRDefault="00DF174E" w:rsidP="0004093E">
      <w:pPr>
        <w:rPr>
          <w:rFonts w:cstheme="minorHAnsi"/>
        </w:rPr>
      </w:pPr>
      <w:r w:rsidRPr="00DF174E">
        <w:rPr>
          <w:rFonts w:cstheme="minorHAnsi"/>
        </w:rPr>
        <w:t>Gregory's attempts to rewrite popular history and even the view of academics suggests that his intended audience was that of scholars of history, but I found the book very accessible, so it is clear that he has made accommodations for students of history as well as the average reader. It is a relatively recent work (2008), so it is still ground-breaking and contemporary.</w:t>
      </w:r>
    </w:p>
    <w:p w14:paraId="4F1E2BA1" w14:textId="513B8B56" w:rsidR="00DF174E" w:rsidRDefault="00DF174E" w:rsidP="0004093E">
      <w:pPr>
        <w:rPr>
          <w:rFonts w:cstheme="minorHAnsi"/>
        </w:rPr>
      </w:pPr>
      <w:r w:rsidRPr="00DF174E">
        <w:rPr>
          <w:rFonts w:cstheme="minorHAnsi"/>
        </w:rPr>
        <w:t>Gregory emphasises the influence the second world war had on how the first world war has been interpreted by certain revisionist sources. He claims that because World War Two holds the status of a morally just war with a clear goal to protect British liberty, it is a kind of contrast to World War One, where soldiers' lives were wasted in vain. Because the "War to End All Wars" failed to avert a second war just twenty-one years later, it has made the conflict seem insignificant; meaningful only in bringing forth another, more devastating war. The failure of the sacrifices of many millions to preserve a European peace made victory look hollow in the long term and with hindsight. To escape this view, Gregory uses a vast array of contemporary sources to survey the attitudes at the time. His charge of re-evaluating the view of the war in Britain requires a deep and broad basis of research. He includes diaries, film, fiction, government records, letters, newspapers, and fiction, among other sources.</w:t>
      </w:r>
    </w:p>
    <w:p w14:paraId="263D20DB" w14:textId="092E6362" w:rsidR="00F31DD8" w:rsidRDefault="00F31DD8" w:rsidP="0004093E">
      <w:pPr>
        <w:rPr>
          <w:rFonts w:cstheme="minorHAnsi"/>
        </w:rPr>
      </w:pPr>
      <w:r>
        <w:rPr>
          <w:rFonts w:cstheme="minorHAnsi"/>
          <w:i/>
          <w:iCs/>
        </w:rPr>
        <w:t>The Last Great War</w:t>
      </w:r>
      <w:r>
        <w:rPr>
          <w:rFonts w:cstheme="minorHAnsi"/>
        </w:rPr>
        <w:t xml:space="preserve"> </w:t>
      </w:r>
      <w:r w:rsidR="00DF174E" w:rsidRPr="00DF174E">
        <w:rPr>
          <w:rFonts w:cstheme="minorHAnsi"/>
        </w:rPr>
        <w:t>is structured into three sections, ordered chronologically. Chapters one and two focus on the start of the war in 1914-15, with the goal of attempting to understand why the populace agreed to go to war. Gregory goes on to cast doubt on the widely held notion of a universal eager reaction, claiming that it is based on assumptions of the excitability of the masses rather than any empirical facts. I found this first section, in my opinion, the most nuanced and thorough. He meticulously segments different British responses into a variety of class and regional groupings, with a particular focus on the uncertain reactions to the war as seen in Wales. In particular, the lack of cooperation of the South Wales Miner's Guild on the matter of cutting short a workers' holiday.</w:t>
      </w:r>
    </w:p>
    <w:p w14:paraId="6A137ABA" w14:textId="687BFDAC" w:rsidR="00DD1015" w:rsidRDefault="00DD1015" w:rsidP="0004093E">
      <w:pPr>
        <w:rPr>
          <w:rFonts w:cstheme="minorHAnsi"/>
        </w:rPr>
      </w:pPr>
      <w:r>
        <w:rPr>
          <w:rFonts w:cstheme="minorHAnsi"/>
        </w:rPr>
        <w:t>The book’s second section looks at how the war was fought back in Britain, focusing on an ‘economy of sacrifice</w:t>
      </w:r>
      <w:r w:rsidR="0098452C">
        <w:rPr>
          <w:rFonts w:cstheme="minorHAnsi"/>
        </w:rPr>
        <w:t>.</w:t>
      </w:r>
      <w:r>
        <w:rPr>
          <w:rFonts w:cstheme="minorHAnsi"/>
        </w:rPr>
        <w:t>’</w:t>
      </w:r>
      <w:r>
        <w:rPr>
          <w:rStyle w:val="FootnoteReference"/>
          <w:rFonts w:cstheme="minorHAnsi"/>
        </w:rPr>
        <w:footnoteReference w:id="10"/>
      </w:r>
      <w:r w:rsidR="0098452C">
        <w:rPr>
          <w:rFonts w:cstheme="minorHAnsi"/>
        </w:rPr>
        <w:t xml:space="preserve"> </w:t>
      </w:r>
      <w:r w:rsidR="00DF174E" w:rsidRPr="00DF174E">
        <w:rPr>
          <w:rFonts w:cstheme="minorHAnsi"/>
        </w:rPr>
        <w:t>It also looks at the demands of sacrifice that were, on paper, universal but were unequal in practice, resulting in social, religious, and vocational differences—highlighting a disproportionate number of dead among the middle class. He goes on to use this as an explanation for societal conflicts during, as well as after, the war.</w:t>
      </w:r>
    </w:p>
    <w:p w14:paraId="77BFA4E5" w14:textId="59B28501" w:rsidR="00DF174E" w:rsidRDefault="00DF174E" w:rsidP="0004093E">
      <w:pPr>
        <w:rPr>
          <w:rFonts w:cstheme="minorHAnsi"/>
        </w:rPr>
      </w:pPr>
      <w:r w:rsidRPr="00DF174E">
        <w:rPr>
          <w:rFonts w:cstheme="minorHAnsi"/>
        </w:rPr>
        <w:t xml:space="preserve">The final chapter concerns itself with the effect victory had on how the war would be perceived. After the war was won, the vocabulary used to describe the war shifted to an emphasis on nationwide mourning. To some degree, Gregory boldly claims that this was a ruse created to mask </w:t>
      </w:r>
      <w:r w:rsidRPr="00DF174E">
        <w:rPr>
          <w:rFonts w:cstheme="minorHAnsi"/>
        </w:rPr>
        <w:lastRenderedPageBreak/>
        <w:t>the societal tensions caused by total warfare, stating: "The luxury of victory was that it minimised the searching for scapegoats and instead stressed universalism."</w:t>
      </w:r>
      <w:r>
        <w:rPr>
          <w:rStyle w:val="FootnoteReference"/>
          <w:rFonts w:cstheme="minorHAnsi"/>
        </w:rPr>
        <w:footnoteReference w:id="11"/>
      </w:r>
    </w:p>
    <w:p w14:paraId="70F04795" w14:textId="7C7D2832" w:rsidR="00035E27" w:rsidRDefault="00347394" w:rsidP="0004093E">
      <w:pPr>
        <w:rPr>
          <w:rFonts w:cstheme="minorHAnsi"/>
        </w:rPr>
      </w:pPr>
      <w:r>
        <w:rPr>
          <w:rFonts w:cstheme="minorHAnsi"/>
        </w:rPr>
        <w:t>The stress placed on universalism would, according to Gregory, lead to a willingness to empathise with Germany and reconciliate. This would lead to the perception of the war as unjustifiable.</w:t>
      </w:r>
      <w:r>
        <w:rPr>
          <w:rStyle w:val="FootnoteReference"/>
          <w:rFonts w:cstheme="minorHAnsi"/>
        </w:rPr>
        <w:footnoteReference w:id="12"/>
      </w:r>
      <w:r>
        <w:rPr>
          <w:rFonts w:cstheme="minorHAnsi"/>
        </w:rPr>
        <w:t xml:space="preserve"> A conclusion Gregory regards as </w:t>
      </w:r>
      <w:r w:rsidR="003E49FE">
        <w:rPr>
          <w:rFonts w:cstheme="minorHAnsi"/>
        </w:rPr>
        <w:t>deeply</w:t>
      </w:r>
      <w:r>
        <w:rPr>
          <w:rFonts w:cstheme="minorHAnsi"/>
        </w:rPr>
        <w:t xml:space="preserve"> erroneous.</w:t>
      </w:r>
    </w:p>
    <w:p w14:paraId="29597FA3" w14:textId="549E08BA" w:rsidR="001D5ED3" w:rsidRDefault="00347394" w:rsidP="0004093E">
      <w:pPr>
        <w:rPr>
          <w:rFonts w:cstheme="minorHAnsi"/>
        </w:rPr>
      </w:pPr>
      <w:r>
        <w:rPr>
          <w:rFonts w:cstheme="minorHAnsi"/>
        </w:rPr>
        <w:t>His</w:t>
      </w:r>
      <w:r w:rsidR="001D5ED3">
        <w:rPr>
          <w:rFonts w:cstheme="minorHAnsi"/>
        </w:rPr>
        <w:t xml:space="preserve"> great focus on a finely detailed local and class-based account could also be viewed as slight flaw in some places. Key lines of investigation such as Ireland, the role of gender in the war as well as military history were all distinctly lacking. However, this is not unacceptable as it does prevent his work from becoming too long</w:t>
      </w:r>
      <w:r w:rsidR="00342AB6">
        <w:rPr>
          <w:rFonts w:cstheme="minorHAnsi"/>
        </w:rPr>
        <w:t xml:space="preserve"> winded</w:t>
      </w:r>
      <w:r w:rsidR="001D5ED3">
        <w:rPr>
          <w:rFonts w:cstheme="minorHAnsi"/>
        </w:rPr>
        <w:t>.</w:t>
      </w:r>
    </w:p>
    <w:p w14:paraId="291D8AB0" w14:textId="2355D0FA" w:rsidR="00FA59B4" w:rsidRDefault="0094334E" w:rsidP="0004093E">
      <w:pPr>
        <w:rPr>
          <w:rFonts w:cstheme="minorHAnsi"/>
        </w:rPr>
      </w:pPr>
      <w:r>
        <w:rPr>
          <w:rFonts w:cstheme="minorHAnsi"/>
        </w:rPr>
        <w:t xml:space="preserve">I found </w:t>
      </w:r>
      <w:r>
        <w:rPr>
          <w:rFonts w:cstheme="minorHAnsi"/>
          <w:i/>
          <w:iCs/>
        </w:rPr>
        <w:t>The Last Great War</w:t>
      </w:r>
      <w:r>
        <w:rPr>
          <w:rFonts w:cstheme="minorHAnsi"/>
        </w:rPr>
        <w:t xml:space="preserve"> to be enjoyable and thought-provoking, as well obviously ground-breaking in its approach to British social history.</w:t>
      </w:r>
      <w:r w:rsidR="000269E4">
        <w:rPr>
          <w:rFonts w:cstheme="minorHAnsi"/>
        </w:rPr>
        <w:t xml:space="preserve"> A noble outcome of this book, I think, is the dispelling of the myth that the British public were like mindless cattle being herded by the powers that be to an inevitable and pointless slaughter. Gregory seems to, by the end of the book, have restored the pride of the British people.</w:t>
      </w:r>
      <w:r w:rsidR="00A16108">
        <w:rPr>
          <w:rFonts w:cstheme="minorHAnsi"/>
        </w:rPr>
        <w:t xml:space="preserve"> His work debunks the revisionist view of civilians as gullible victims of peer pressure, fooled by the government with propaganda and forced to serve the war with their conscription. This enables us to empathise with the British civilian </w:t>
      </w:r>
      <w:r w:rsidR="00E81EBB">
        <w:rPr>
          <w:rFonts w:cstheme="minorHAnsi"/>
        </w:rPr>
        <w:t>living in</w:t>
      </w:r>
      <w:r w:rsidR="00A16108">
        <w:rPr>
          <w:rFonts w:cstheme="minorHAnsi"/>
        </w:rPr>
        <w:t xml:space="preserve"> this time by restoring their rationality and autonomy, as well as their reputation.</w:t>
      </w:r>
      <w:r w:rsidR="003E49FE">
        <w:rPr>
          <w:rFonts w:cstheme="minorHAnsi"/>
        </w:rPr>
        <w:t xml:space="preserve"> I therefore believe that it is an excellent academic aid for a student of World War One, especially those looking into how perception of the war shifted from 1914-1918. Although, it’s lack of depth in certain areas (namely Ireland as well as gender history) means that other works would need to be consulted </w:t>
      </w:r>
      <w:r w:rsidR="00BF5DAC">
        <w:rPr>
          <w:rFonts w:cstheme="minorHAnsi"/>
        </w:rPr>
        <w:t>to</w:t>
      </w:r>
      <w:r w:rsidR="003E49FE">
        <w:rPr>
          <w:rFonts w:cstheme="minorHAnsi"/>
        </w:rPr>
        <w:t xml:space="preserve"> supplement this.</w:t>
      </w:r>
    </w:p>
    <w:p w14:paraId="22A7A518" w14:textId="77777777" w:rsidR="00FA59B4" w:rsidRDefault="00FA59B4">
      <w:pPr>
        <w:rPr>
          <w:rFonts w:cstheme="minorHAnsi"/>
        </w:rPr>
      </w:pPr>
      <w:r>
        <w:rPr>
          <w:rFonts w:cstheme="minorHAnsi"/>
        </w:rPr>
        <w:br w:type="page"/>
      </w:r>
    </w:p>
    <w:p w14:paraId="6067002F" w14:textId="439EAB5A" w:rsidR="0094334E" w:rsidRDefault="00FA59B4" w:rsidP="00FA59B4">
      <w:pPr>
        <w:pStyle w:val="Heading1"/>
      </w:pPr>
      <w:r>
        <w:lastRenderedPageBreak/>
        <w:t>Bibliography</w:t>
      </w:r>
    </w:p>
    <w:p w14:paraId="39207BAE" w14:textId="4CFE9664" w:rsidR="00FA59B4" w:rsidRDefault="00FA59B4" w:rsidP="00FA59B4">
      <w:pPr>
        <w:pStyle w:val="ListParagraph"/>
        <w:numPr>
          <w:ilvl w:val="0"/>
          <w:numId w:val="1"/>
        </w:numPr>
      </w:pPr>
      <w:r w:rsidRPr="009B0EE4">
        <w:t xml:space="preserve">Sir Norman Angell – Biographical", </w:t>
      </w:r>
      <w:r w:rsidRPr="009B0EE4">
        <w:rPr>
          <w:i/>
          <w:iCs/>
        </w:rPr>
        <w:t>Nobelprize.Org</w:t>
      </w:r>
      <w:r w:rsidRPr="009B0EE4">
        <w:t>, 2022 &lt;https://www.nobelprize.org/prizes/peace/1933/angell/biographical/&gt; [Accessed 4 February 2022].</w:t>
      </w:r>
    </w:p>
    <w:p w14:paraId="5DDC4EC6" w14:textId="07F0333C" w:rsidR="00FA59B4" w:rsidRDefault="00FA59B4" w:rsidP="00FA59B4">
      <w:pPr>
        <w:pStyle w:val="ListParagraph"/>
        <w:numPr>
          <w:ilvl w:val="0"/>
          <w:numId w:val="1"/>
        </w:numPr>
      </w:pPr>
      <w:r>
        <w:t>Howard Weinroth, ‘Norman Angell and The Great Illusion: An Episode in Pre-1914 Pacifism’, The Historical Journal, 17.3 (1974).</w:t>
      </w:r>
    </w:p>
    <w:p w14:paraId="24EA3F05" w14:textId="766F8CB0" w:rsidR="00FA59B4" w:rsidRDefault="00FA59B4" w:rsidP="00FA59B4">
      <w:pPr>
        <w:pStyle w:val="ListParagraph"/>
        <w:numPr>
          <w:ilvl w:val="0"/>
          <w:numId w:val="1"/>
        </w:numPr>
      </w:pPr>
      <w:r>
        <w:t>Arthur Marwick</w:t>
      </w:r>
      <w:r w:rsidRPr="005B4CE4">
        <w:t xml:space="preserve">, </w:t>
      </w:r>
      <w:r>
        <w:t>Wendy Simpson</w:t>
      </w:r>
      <w:r w:rsidRPr="005B4CE4">
        <w:t xml:space="preserve">, </w:t>
      </w:r>
      <w:r w:rsidRPr="005B4CE4">
        <w:rPr>
          <w:i/>
          <w:iCs/>
        </w:rPr>
        <w:t>‘War, Peace and Social Change’</w:t>
      </w:r>
      <w:r w:rsidRPr="005B4CE4">
        <w:t xml:space="preserve"> – </w:t>
      </w:r>
      <w:r>
        <w:t>Documents 1</w:t>
      </w:r>
      <w:r w:rsidRPr="005B4CE4">
        <w:t xml:space="preserve"> 1900-1929 (</w:t>
      </w:r>
      <w:r>
        <w:t>Open University Press</w:t>
      </w:r>
      <w:r w:rsidRPr="005B4CE4">
        <w:t>, 1990)</w:t>
      </w:r>
      <w:r>
        <w:t>.</w:t>
      </w:r>
    </w:p>
    <w:p w14:paraId="307536BF" w14:textId="2FADC970" w:rsidR="00FA59B4" w:rsidRDefault="00FA59B4" w:rsidP="00FA59B4">
      <w:pPr>
        <w:pStyle w:val="ListParagraph"/>
        <w:numPr>
          <w:ilvl w:val="0"/>
          <w:numId w:val="1"/>
        </w:numPr>
      </w:pPr>
      <w:r w:rsidRPr="00FB2B6D">
        <w:t>Adrian Gregory, </w:t>
      </w:r>
      <w:r w:rsidRPr="00FB2B6D">
        <w:rPr>
          <w:i/>
          <w:iCs/>
        </w:rPr>
        <w:t>British Society and The First World War</w:t>
      </w:r>
      <w:r w:rsidRPr="00FB2B6D">
        <w:t> (Cambridge: Cambridge University Press, 2008).</w:t>
      </w:r>
    </w:p>
    <w:p w14:paraId="320E746D" w14:textId="28697C35" w:rsidR="0001385C" w:rsidRPr="00FA59B4" w:rsidRDefault="0001385C" w:rsidP="00FA59B4">
      <w:pPr>
        <w:pStyle w:val="ListParagraph"/>
        <w:numPr>
          <w:ilvl w:val="0"/>
          <w:numId w:val="1"/>
        </w:numPr>
      </w:pPr>
      <w:r w:rsidRPr="0001385C">
        <w:t xml:space="preserve">Catriona Pennell, "Review Article: British Society </w:t>
      </w:r>
      <w:r w:rsidR="00BF5DAC" w:rsidRPr="0001385C">
        <w:t>and</w:t>
      </w:r>
      <w:r w:rsidRPr="0001385C">
        <w:t xml:space="preserve"> The First World War", </w:t>
      </w:r>
      <w:r w:rsidRPr="0001385C">
        <w:rPr>
          <w:i/>
          <w:iCs/>
        </w:rPr>
        <w:t xml:space="preserve">War </w:t>
      </w:r>
      <w:r w:rsidR="00BF5DAC" w:rsidRPr="0001385C">
        <w:rPr>
          <w:i/>
          <w:iCs/>
        </w:rPr>
        <w:t>in</w:t>
      </w:r>
      <w:r w:rsidRPr="0001385C">
        <w:rPr>
          <w:i/>
          <w:iCs/>
        </w:rPr>
        <w:t xml:space="preserve"> History</w:t>
      </w:r>
      <w:r w:rsidRPr="0001385C">
        <w:t>, 16.4 (2009), 506-518 &lt;https://doi.org/10.1177/0968344509342164&gt;.</w:t>
      </w:r>
    </w:p>
    <w:p w14:paraId="070831BC" w14:textId="77777777" w:rsidR="00E81EBB" w:rsidRPr="0094334E" w:rsidRDefault="00E81EBB" w:rsidP="0004093E">
      <w:pPr>
        <w:rPr>
          <w:rFonts w:cstheme="minorHAnsi"/>
        </w:rPr>
      </w:pPr>
    </w:p>
    <w:sectPr w:rsidR="00E81EBB" w:rsidRPr="0094334E">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DBE3DD" w14:textId="77777777" w:rsidR="005E4640" w:rsidRDefault="005E4640" w:rsidP="008A338A">
      <w:pPr>
        <w:spacing w:after="0" w:line="240" w:lineRule="auto"/>
      </w:pPr>
      <w:r>
        <w:separator/>
      </w:r>
    </w:p>
  </w:endnote>
  <w:endnote w:type="continuationSeparator" w:id="0">
    <w:p w14:paraId="49FF9C44" w14:textId="77777777" w:rsidR="005E4640" w:rsidRDefault="005E4640" w:rsidP="008A33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D555F6" w14:textId="77777777" w:rsidR="005E4640" w:rsidRDefault="005E4640" w:rsidP="008A338A">
      <w:pPr>
        <w:spacing w:after="0" w:line="240" w:lineRule="auto"/>
      </w:pPr>
      <w:r>
        <w:separator/>
      </w:r>
    </w:p>
  </w:footnote>
  <w:footnote w:type="continuationSeparator" w:id="0">
    <w:p w14:paraId="1B6A1F24" w14:textId="77777777" w:rsidR="005E4640" w:rsidRDefault="005E4640" w:rsidP="008A338A">
      <w:pPr>
        <w:spacing w:after="0" w:line="240" w:lineRule="auto"/>
      </w:pPr>
      <w:r>
        <w:continuationSeparator/>
      </w:r>
    </w:p>
  </w:footnote>
  <w:footnote w:id="1">
    <w:p w14:paraId="6986FDDD" w14:textId="6E1669CB" w:rsidR="00152B35" w:rsidRDefault="00152B35">
      <w:pPr>
        <w:pStyle w:val="FootnoteText"/>
      </w:pPr>
      <w:r>
        <w:rPr>
          <w:rStyle w:val="FootnoteReference"/>
        </w:rPr>
        <w:footnoteRef/>
      </w:r>
      <w:r>
        <w:t xml:space="preserve"> </w:t>
      </w:r>
      <w:r w:rsidR="009B0EE4" w:rsidRPr="009B0EE4">
        <w:t>"</w:t>
      </w:r>
      <w:bookmarkStart w:id="0" w:name="_Hlk94994313"/>
      <w:r w:rsidR="009B0EE4" w:rsidRPr="009B0EE4">
        <w:t xml:space="preserve">Sir Norman Angell – Biographical", </w:t>
      </w:r>
      <w:r w:rsidR="009B0EE4" w:rsidRPr="009B0EE4">
        <w:rPr>
          <w:i/>
          <w:iCs/>
        </w:rPr>
        <w:t>Nobelprize.Org</w:t>
      </w:r>
      <w:r w:rsidR="009B0EE4" w:rsidRPr="009B0EE4">
        <w:t>, 2022 &lt;https://www.nobelprize.org/prizes/peace/1933/angell/biographical/&gt; [Accessed 4 February 2022].</w:t>
      </w:r>
      <w:bookmarkEnd w:id="0"/>
    </w:p>
  </w:footnote>
  <w:footnote w:id="2">
    <w:p w14:paraId="27B65E9E" w14:textId="24594259" w:rsidR="00AA0C3B" w:rsidRPr="00AA0C3B" w:rsidRDefault="00AA0C3B" w:rsidP="00AA0C3B">
      <w:pPr>
        <w:pStyle w:val="FootnoteText"/>
      </w:pPr>
      <w:r>
        <w:rPr>
          <w:rStyle w:val="FootnoteReference"/>
        </w:rPr>
        <w:footnoteRef/>
      </w:r>
      <w:r>
        <w:t xml:space="preserve"> </w:t>
      </w:r>
      <w:bookmarkStart w:id="1" w:name="_Hlk94994363"/>
      <w:r w:rsidR="00FA59B4">
        <w:t xml:space="preserve">Howard </w:t>
      </w:r>
      <w:r>
        <w:t xml:space="preserve">Weinroth, ‘Norman Angell and The Great Illusion: An Episode in Pre-1914 Pacifism’, The Historical Journal, 17.3 (1974), </w:t>
      </w:r>
      <w:bookmarkEnd w:id="1"/>
      <w:r>
        <w:t xml:space="preserve">pg. 551. </w:t>
      </w:r>
      <w:r>
        <w:rPr>
          <w:b/>
          <w:bCs/>
          <w:i/>
          <w:iCs/>
        </w:rPr>
        <w:t>This source will be hereafter cited as ‘HJ’.</w:t>
      </w:r>
    </w:p>
  </w:footnote>
  <w:footnote w:id="3">
    <w:p w14:paraId="2A7E73E2" w14:textId="751A9D8C" w:rsidR="00C73D9A" w:rsidRDefault="00C73D9A">
      <w:pPr>
        <w:pStyle w:val="FootnoteText"/>
      </w:pPr>
      <w:r>
        <w:rPr>
          <w:rStyle w:val="FootnoteReference"/>
        </w:rPr>
        <w:footnoteRef/>
      </w:r>
      <w:r>
        <w:t xml:space="preserve"> HJ, pg. 554.</w:t>
      </w:r>
    </w:p>
  </w:footnote>
  <w:footnote w:id="4">
    <w:p w14:paraId="22E2334B" w14:textId="3CCCDC0C" w:rsidR="00A77BDF" w:rsidRDefault="00A77BDF">
      <w:pPr>
        <w:pStyle w:val="FootnoteText"/>
      </w:pPr>
      <w:r>
        <w:rPr>
          <w:rStyle w:val="FootnoteReference"/>
        </w:rPr>
        <w:footnoteRef/>
      </w:r>
      <w:r>
        <w:t xml:space="preserve"> HJ, pg. 553.</w:t>
      </w:r>
    </w:p>
  </w:footnote>
  <w:footnote w:id="5">
    <w:p w14:paraId="609BA862" w14:textId="7465A473" w:rsidR="008F5845" w:rsidRDefault="008F5845">
      <w:pPr>
        <w:pStyle w:val="FootnoteText"/>
      </w:pPr>
      <w:r>
        <w:rPr>
          <w:rStyle w:val="FootnoteReference"/>
        </w:rPr>
        <w:footnoteRef/>
      </w:r>
      <w:r>
        <w:t xml:space="preserve"> HJ, pg. </w:t>
      </w:r>
      <w:r w:rsidR="00505D49">
        <w:t>551-</w:t>
      </w:r>
      <w:r>
        <w:t>552.</w:t>
      </w:r>
    </w:p>
  </w:footnote>
  <w:footnote w:id="6">
    <w:p w14:paraId="4CF1BCC8" w14:textId="28D23A09" w:rsidR="005B4CE4" w:rsidRDefault="005B4CE4">
      <w:pPr>
        <w:pStyle w:val="FootnoteText"/>
      </w:pPr>
      <w:r>
        <w:rPr>
          <w:rStyle w:val="FootnoteReference"/>
        </w:rPr>
        <w:footnoteRef/>
      </w:r>
      <w:r>
        <w:t xml:space="preserve"> </w:t>
      </w:r>
      <w:bookmarkStart w:id="3" w:name="_Hlk94994407"/>
      <w:bookmarkStart w:id="4" w:name="_Hlk94912119"/>
      <w:r>
        <w:t>Arthur Marwick</w:t>
      </w:r>
      <w:r w:rsidRPr="005B4CE4">
        <w:t xml:space="preserve">, </w:t>
      </w:r>
      <w:r>
        <w:t>Wendy Simpson</w:t>
      </w:r>
      <w:r w:rsidRPr="005B4CE4">
        <w:t xml:space="preserve">, </w:t>
      </w:r>
      <w:r w:rsidRPr="005B4CE4">
        <w:rPr>
          <w:i/>
          <w:iCs/>
        </w:rPr>
        <w:t>‘War, Peace and Social Change’</w:t>
      </w:r>
      <w:r w:rsidRPr="005B4CE4">
        <w:t xml:space="preserve"> – </w:t>
      </w:r>
      <w:r>
        <w:t>Documents 1</w:t>
      </w:r>
      <w:r w:rsidRPr="005B4CE4">
        <w:t xml:space="preserve"> 1900-1929 (</w:t>
      </w:r>
      <w:r>
        <w:t>Open University Press</w:t>
      </w:r>
      <w:r w:rsidRPr="005B4CE4">
        <w:t>, 1990)</w:t>
      </w:r>
      <w:bookmarkEnd w:id="3"/>
      <w:r w:rsidRPr="005B4CE4">
        <w:t>, PP.3-4.</w:t>
      </w:r>
      <w:bookmarkEnd w:id="4"/>
    </w:p>
  </w:footnote>
  <w:footnote w:id="7">
    <w:p w14:paraId="13F9CDDC" w14:textId="040A256A" w:rsidR="00136061" w:rsidRDefault="00136061">
      <w:pPr>
        <w:pStyle w:val="FootnoteText"/>
      </w:pPr>
      <w:r>
        <w:rPr>
          <w:rStyle w:val="FootnoteReference"/>
        </w:rPr>
        <w:footnoteRef/>
      </w:r>
      <w:r>
        <w:t xml:space="preserve"> Arthur Marwick</w:t>
      </w:r>
      <w:r w:rsidRPr="005B4CE4">
        <w:t xml:space="preserve">, </w:t>
      </w:r>
      <w:r>
        <w:t>Wendy Simpson</w:t>
      </w:r>
      <w:r w:rsidRPr="005B4CE4">
        <w:t xml:space="preserve">, </w:t>
      </w:r>
      <w:r w:rsidRPr="005B4CE4">
        <w:rPr>
          <w:i/>
          <w:iCs/>
        </w:rPr>
        <w:t>‘War, Peace and Social Change’</w:t>
      </w:r>
      <w:r w:rsidRPr="005B4CE4">
        <w:t xml:space="preserve"> – </w:t>
      </w:r>
      <w:r>
        <w:t>Documents 1</w:t>
      </w:r>
      <w:r w:rsidRPr="005B4CE4">
        <w:t xml:space="preserve"> 1900-1929 (</w:t>
      </w:r>
      <w:r>
        <w:t>Open University Press</w:t>
      </w:r>
      <w:r w:rsidRPr="005B4CE4">
        <w:t>, 1990), PP.3-4.</w:t>
      </w:r>
    </w:p>
  </w:footnote>
  <w:footnote w:id="8">
    <w:p w14:paraId="4F700B4B" w14:textId="6787D95D" w:rsidR="00FB2B6D" w:rsidRDefault="00FB2B6D">
      <w:pPr>
        <w:pStyle w:val="FootnoteText"/>
      </w:pPr>
      <w:r>
        <w:rPr>
          <w:rStyle w:val="FootnoteReference"/>
        </w:rPr>
        <w:footnoteRef/>
      </w:r>
      <w:r>
        <w:t xml:space="preserve"> </w:t>
      </w:r>
      <w:bookmarkStart w:id="5" w:name="_Hlk94994438"/>
      <w:r w:rsidRPr="00FB2B6D">
        <w:t>Adrian Gregory, </w:t>
      </w:r>
      <w:r w:rsidRPr="00FB2B6D">
        <w:rPr>
          <w:i/>
          <w:iCs/>
        </w:rPr>
        <w:t xml:space="preserve">British Society </w:t>
      </w:r>
      <w:r w:rsidR="00CA55A0" w:rsidRPr="00FB2B6D">
        <w:rPr>
          <w:i/>
          <w:iCs/>
        </w:rPr>
        <w:t>and</w:t>
      </w:r>
      <w:r w:rsidRPr="00FB2B6D">
        <w:rPr>
          <w:i/>
          <w:iCs/>
        </w:rPr>
        <w:t xml:space="preserve"> The First World War</w:t>
      </w:r>
      <w:r w:rsidRPr="00FB2B6D">
        <w:t> (Cambridge: Cambridge University Press, 2008).</w:t>
      </w:r>
      <w:bookmarkEnd w:id="5"/>
    </w:p>
  </w:footnote>
  <w:footnote w:id="9">
    <w:p w14:paraId="171DA1FE" w14:textId="199912BA" w:rsidR="00CE073B" w:rsidRDefault="00CE073B">
      <w:pPr>
        <w:pStyle w:val="FootnoteText"/>
      </w:pPr>
      <w:r>
        <w:rPr>
          <w:rStyle w:val="FootnoteReference"/>
        </w:rPr>
        <w:footnoteRef/>
      </w:r>
      <w:r>
        <w:t xml:space="preserve"> </w:t>
      </w:r>
      <w:r w:rsidRPr="00CE073B">
        <w:t>Adrian Gregory, </w:t>
      </w:r>
      <w:r w:rsidRPr="00CE073B">
        <w:rPr>
          <w:i/>
          <w:iCs/>
        </w:rPr>
        <w:t xml:space="preserve">British Society </w:t>
      </w:r>
      <w:r w:rsidR="006A59E5" w:rsidRPr="00CE073B">
        <w:rPr>
          <w:i/>
          <w:iCs/>
        </w:rPr>
        <w:t>and</w:t>
      </w:r>
      <w:r w:rsidRPr="00CE073B">
        <w:rPr>
          <w:i/>
          <w:iCs/>
        </w:rPr>
        <w:t xml:space="preserve"> The First World War</w:t>
      </w:r>
      <w:r w:rsidRPr="00CE073B">
        <w:t> (Cambridge: Cambridge University Press, 2008)</w:t>
      </w:r>
      <w:r>
        <w:t xml:space="preserve"> pg. iv.</w:t>
      </w:r>
    </w:p>
  </w:footnote>
  <w:footnote w:id="10">
    <w:p w14:paraId="7C1C9AC9" w14:textId="18D22BA7" w:rsidR="00DD1015" w:rsidRDefault="00DD1015">
      <w:pPr>
        <w:pStyle w:val="FootnoteText"/>
      </w:pPr>
      <w:r>
        <w:rPr>
          <w:rStyle w:val="FootnoteReference"/>
        </w:rPr>
        <w:footnoteRef/>
      </w:r>
      <w:r>
        <w:t xml:space="preserve"> </w:t>
      </w:r>
      <w:bookmarkStart w:id="6" w:name="_Hlk94993837"/>
      <w:r w:rsidRPr="00CE073B">
        <w:t>Adrian Gregory, </w:t>
      </w:r>
      <w:r w:rsidRPr="00CE073B">
        <w:rPr>
          <w:i/>
          <w:iCs/>
        </w:rPr>
        <w:t>British Society and The First World War</w:t>
      </w:r>
      <w:r w:rsidRPr="00CE073B">
        <w:t> (Cambridge: Cambridge University Press, 2008)</w:t>
      </w:r>
      <w:r>
        <w:t xml:space="preserve"> pg. 113</w:t>
      </w:r>
      <w:bookmarkEnd w:id="6"/>
    </w:p>
  </w:footnote>
  <w:footnote w:id="11">
    <w:p w14:paraId="2BF4A583" w14:textId="3B8FB56B" w:rsidR="00DF174E" w:rsidRDefault="00DF174E" w:rsidP="00DF174E">
      <w:pPr>
        <w:pStyle w:val="FootnoteText"/>
      </w:pPr>
      <w:r>
        <w:rPr>
          <w:rStyle w:val="FootnoteReference"/>
        </w:rPr>
        <w:footnoteRef/>
      </w:r>
      <w:r>
        <w:t xml:space="preserve"> </w:t>
      </w:r>
      <w:r w:rsidRPr="00347394">
        <w:t>Adrian Gregory, </w:t>
      </w:r>
      <w:r w:rsidRPr="00347394">
        <w:rPr>
          <w:i/>
          <w:iCs/>
        </w:rPr>
        <w:t>British Society and The First World War</w:t>
      </w:r>
      <w:r w:rsidRPr="00347394">
        <w:t xml:space="preserve"> (Cambridge: Cambridge University Press, 2008) pg. </w:t>
      </w:r>
      <w:r>
        <w:t>2</w:t>
      </w:r>
      <w:r>
        <w:t>70</w:t>
      </w:r>
    </w:p>
    <w:p w14:paraId="30A55D91" w14:textId="637E532D" w:rsidR="00DF174E" w:rsidRDefault="00DF174E">
      <w:pPr>
        <w:pStyle w:val="FootnoteText"/>
      </w:pPr>
    </w:p>
  </w:footnote>
  <w:footnote w:id="12">
    <w:p w14:paraId="478DE5CB" w14:textId="55D32D9D" w:rsidR="00347394" w:rsidRDefault="00347394">
      <w:pPr>
        <w:pStyle w:val="FootnoteText"/>
      </w:pPr>
      <w:r>
        <w:rPr>
          <w:rStyle w:val="FootnoteReference"/>
        </w:rPr>
        <w:footnoteRef/>
      </w:r>
      <w:r>
        <w:t xml:space="preserve"> </w:t>
      </w:r>
      <w:bookmarkStart w:id="7" w:name="_Hlk94997896"/>
      <w:bookmarkStart w:id="8" w:name="_Hlk94997897"/>
      <w:bookmarkStart w:id="9" w:name="_Hlk94997898"/>
      <w:bookmarkStart w:id="10" w:name="_Hlk94997899"/>
      <w:r w:rsidRPr="00347394">
        <w:t>Adrian Gregory, </w:t>
      </w:r>
      <w:r w:rsidRPr="00347394">
        <w:rPr>
          <w:i/>
          <w:iCs/>
        </w:rPr>
        <w:t>British Society and The First World War</w:t>
      </w:r>
      <w:r w:rsidRPr="00347394">
        <w:t xml:space="preserve"> (Cambridge: Cambridge University Press, 2008) pg. </w:t>
      </w:r>
      <w:r>
        <w:t>294</w:t>
      </w:r>
      <w:bookmarkEnd w:id="7"/>
      <w:bookmarkEnd w:id="8"/>
      <w:bookmarkEnd w:id="9"/>
      <w:bookmarkEnd w:id="10"/>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521446" w14:textId="155C5168" w:rsidR="008A338A" w:rsidRDefault="008A338A">
    <w:pPr>
      <w:pStyle w:val="Header"/>
    </w:pPr>
    <w:r>
      <w:t>Felix Whiteley-Bristow (1901619)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397484F"/>
    <w:multiLevelType w:val="hybridMultilevel"/>
    <w:tmpl w:val="9CC600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338A"/>
    <w:rsid w:val="00004C71"/>
    <w:rsid w:val="0001385C"/>
    <w:rsid w:val="000269E4"/>
    <w:rsid w:val="00035E27"/>
    <w:rsid w:val="0004093E"/>
    <w:rsid w:val="00046796"/>
    <w:rsid w:val="000476A8"/>
    <w:rsid w:val="000502F5"/>
    <w:rsid w:val="00050FE5"/>
    <w:rsid w:val="000943A2"/>
    <w:rsid w:val="000B0906"/>
    <w:rsid w:val="000B2113"/>
    <w:rsid w:val="000D670B"/>
    <w:rsid w:val="000F5B83"/>
    <w:rsid w:val="00101EF6"/>
    <w:rsid w:val="00113353"/>
    <w:rsid w:val="00136061"/>
    <w:rsid w:val="00152B35"/>
    <w:rsid w:val="00157CA4"/>
    <w:rsid w:val="00183C84"/>
    <w:rsid w:val="00184DA0"/>
    <w:rsid w:val="001B7DB7"/>
    <w:rsid w:val="001C7F20"/>
    <w:rsid w:val="001D1A5C"/>
    <w:rsid w:val="001D5ED3"/>
    <w:rsid w:val="00204496"/>
    <w:rsid w:val="00212459"/>
    <w:rsid w:val="002417B3"/>
    <w:rsid w:val="002706AD"/>
    <w:rsid w:val="0029670C"/>
    <w:rsid w:val="0029692A"/>
    <w:rsid w:val="002A3F2D"/>
    <w:rsid w:val="002B327A"/>
    <w:rsid w:val="002B5433"/>
    <w:rsid w:val="002B57F0"/>
    <w:rsid w:val="002B5A32"/>
    <w:rsid w:val="002E2FF6"/>
    <w:rsid w:val="002F336E"/>
    <w:rsid w:val="00340064"/>
    <w:rsid w:val="00342AB6"/>
    <w:rsid w:val="003465DD"/>
    <w:rsid w:val="00347394"/>
    <w:rsid w:val="00354D71"/>
    <w:rsid w:val="003766B9"/>
    <w:rsid w:val="003B6C86"/>
    <w:rsid w:val="003D16A7"/>
    <w:rsid w:val="003E49FE"/>
    <w:rsid w:val="00424C9B"/>
    <w:rsid w:val="004317B3"/>
    <w:rsid w:val="00440F59"/>
    <w:rsid w:val="00454902"/>
    <w:rsid w:val="00462FDF"/>
    <w:rsid w:val="0046558D"/>
    <w:rsid w:val="00481C1E"/>
    <w:rsid w:val="004844CB"/>
    <w:rsid w:val="005027B2"/>
    <w:rsid w:val="00503584"/>
    <w:rsid w:val="00505D49"/>
    <w:rsid w:val="00512CBC"/>
    <w:rsid w:val="00521008"/>
    <w:rsid w:val="0054301C"/>
    <w:rsid w:val="005608E8"/>
    <w:rsid w:val="00570F40"/>
    <w:rsid w:val="00577E17"/>
    <w:rsid w:val="005B4CE4"/>
    <w:rsid w:val="005C5FC2"/>
    <w:rsid w:val="005D3C24"/>
    <w:rsid w:val="005E0304"/>
    <w:rsid w:val="005E22BE"/>
    <w:rsid w:val="005E38E5"/>
    <w:rsid w:val="005E4640"/>
    <w:rsid w:val="005E4B51"/>
    <w:rsid w:val="0064360B"/>
    <w:rsid w:val="00651C61"/>
    <w:rsid w:val="00671A6B"/>
    <w:rsid w:val="006A3114"/>
    <w:rsid w:val="006A59E5"/>
    <w:rsid w:val="006B4133"/>
    <w:rsid w:val="007004A6"/>
    <w:rsid w:val="00733CEB"/>
    <w:rsid w:val="00757C68"/>
    <w:rsid w:val="00760B11"/>
    <w:rsid w:val="007659FD"/>
    <w:rsid w:val="00787065"/>
    <w:rsid w:val="00790629"/>
    <w:rsid w:val="007A28C5"/>
    <w:rsid w:val="007B706B"/>
    <w:rsid w:val="007D629A"/>
    <w:rsid w:val="007F5C98"/>
    <w:rsid w:val="0081542F"/>
    <w:rsid w:val="00870D00"/>
    <w:rsid w:val="008873CF"/>
    <w:rsid w:val="00893E1C"/>
    <w:rsid w:val="008A338A"/>
    <w:rsid w:val="008A4181"/>
    <w:rsid w:val="008B093C"/>
    <w:rsid w:val="008B2937"/>
    <w:rsid w:val="008C36E5"/>
    <w:rsid w:val="008F5845"/>
    <w:rsid w:val="008F6354"/>
    <w:rsid w:val="008F6BED"/>
    <w:rsid w:val="00901AAD"/>
    <w:rsid w:val="0090610B"/>
    <w:rsid w:val="0091024B"/>
    <w:rsid w:val="0094002C"/>
    <w:rsid w:val="00942AA1"/>
    <w:rsid w:val="0094334E"/>
    <w:rsid w:val="0096762F"/>
    <w:rsid w:val="00980705"/>
    <w:rsid w:val="0098452C"/>
    <w:rsid w:val="009B0EE4"/>
    <w:rsid w:val="009B49BB"/>
    <w:rsid w:val="009D695A"/>
    <w:rsid w:val="009E1EBA"/>
    <w:rsid w:val="00A03867"/>
    <w:rsid w:val="00A16108"/>
    <w:rsid w:val="00A57F4C"/>
    <w:rsid w:val="00A77BDF"/>
    <w:rsid w:val="00AA0C3B"/>
    <w:rsid w:val="00AA7EC8"/>
    <w:rsid w:val="00AB215D"/>
    <w:rsid w:val="00AF252B"/>
    <w:rsid w:val="00B04D25"/>
    <w:rsid w:val="00B13794"/>
    <w:rsid w:val="00B31FEC"/>
    <w:rsid w:val="00B61EE9"/>
    <w:rsid w:val="00B66395"/>
    <w:rsid w:val="00B67B64"/>
    <w:rsid w:val="00BD5B0F"/>
    <w:rsid w:val="00BF5DAC"/>
    <w:rsid w:val="00BF69AF"/>
    <w:rsid w:val="00C2122A"/>
    <w:rsid w:val="00C42A8F"/>
    <w:rsid w:val="00C47631"/>
    <w:rsid w:val="00C669D9"/>
    <w:rsid w:val="00C733B3"/>
    <w:rsid w:val="00C73D9A"/>
    <w:rsid w:val="00C977CE"/>
    <w:rsid w:val="00CA55A0"/>
    <w:rsid w:val="00CE073B"/>
    <w:rsid w:val="00CF59D8"/>
    <w:rsid w:val="00D0698E"/>
    <w:rsid w:val="00D35931"/>
    <w:rsid w:val="00D374F7"/>
    <w:rsid w:val="00D45C5E"/>
    <w:rsid w:val="00D604F6"/>
    <w:rsid w:val="00D64E71"/>
    <w:rsid w:val="00D65517"/>
    <w:rsid w:val="00DA237F"/>
    <w:rsid w:val="00DD1015"/>
    <w:rsid w:val="00DD7FAC"/>
    <w:rsid w:val="00DE3635"/>
    <w:rsid w:val="00DF174E"/>
    <w:rsid w:val="00E12CE0"/>
    <w:rsid w:val="00E25ADE"/>
    <w:rsid w:val="00E41DEE"/>
    <w:rsid w:val="00E50C89"/>
    <w:rsid w:val="00E56702"/>
    <w:rsid w:val="00E653A7"/>
    <w:rsid w:val="00E7161A"/>
    <w:rsid w:val="00E81EBB"/>
    <w:rsid w:val="00ED2023"/>
    <w:rsid w:val="00EE34F5"/>
    <w:rsid w:val="00EF2E39"/>
    <w:rsid w:val="00F2404D"/>
    <w:rsid w:val="00F26737"/>
    <w:rsid w:val="00F31DD8"/>
    <w:rsid w:val="00F34F35"/>
    <w:rsid w:val="00F41DF6"/>
    <w:rsid w:val="00F51E02"/>
    <w:rsid w:val="00F632E5"/>
    <w:rsid w:val="00F8109B"/>
    <w:rsid w:val="00F82D77"/>
    <w:rsid w:val="00FA59B4"/>
    <w:rsid w:val="00FB2B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280BA4"/>
  <w15:chartTrackingRefBased/>
  <w15:docId w15:val="{09732AD2-D60A-4F92-BED2-B0D8A58F1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338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A33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338A"/>
  </w:style>
  <w:style w:type="paragraph" w:styleId="Footer">
    <w:name w:val="footer"/>
    <w:basedOn w:val="Normal"/>
    <w:link w:val="FooterChar"/>
    <w:uiPriority w:val="99"/>
    <w:unhideWhenUsed/>
    <w:rsid w:val="008A33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338A"/>
  </w:style>
  <w:style w:type="character" w:customStyle="1" w:styleId="Heading1Char">
    <w:name w:val="Heading 1 Char"/>
    <w:basedOn w:val="DefaultParagraphFont"/>
    <w:link w:val="Heading1"/>
    <w:uiPriority w:val="9"/>
    <w:rsid w:val="008A338A"/>
    <w:rPr>
      <w:rFonts w:asciiTheme="majorHAnsi" w:eastAsiaTheme="majorEastAsia" w:hAnsiTheme="majorHAnsi" w:cstheme="majorBidi"/>
      <w:color w:val="2F5496" w:themeColor="accent1" w:themeShade="BF"/>
      <w:sz w:val="32"/>
      <w:szCs w:val="32"/>
    </w:rPr>
  </w:style>
  <w:style w:type="paragraph" w:styleId="FootnoteText">
    <w:name w:val="footnote text"/>
    <w:basedOn w:val="Normal"/>
    <w:link w:val="FootnoteTextChar"/>
    <w:uiPriority w:val="99"/>
    <w:semiHidden/>
    <w:unhideWhenUsed/>
    <w:rsid w:val="00152B3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52B35"/>
    <w:rPr>
      <w:sz w:val="20"/>
      <w:szCs w:val="20"/>
    </w:rPr>
  </w:style>
  <w:style w:type="character" w:styleId="FootnoteReference">
    <w:name w:val="footnote reference"/>
    <w:basedOn w:val="DefaultParagraphFont"/>
    <w:uiPriority w:val="99"/>
    <w:semiHidden/>
    <w:unhideWhenUsed/>
    <w:rsid w:val="00152B35"/>
    <w:rPr>
      <w:vertAlign w:val="superscript"/>
    </w:rPr>
  </w:style>
  <w:style w:type="paragraph" w:styleId="ListParagraph">
    <w:name w:val="List Paragraph"/>
    <w:basedOn w:val="Normal"/>
    <w:uiPriority w:val="34"/>
    <w:qFormat/>
    <w:rsid w:val="00FA59B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E3BC2756-85D3-43F4-806E-88DBEE9A52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2149</TotalTime>
  <Pages>6</Pages>
  <Words>2399</Words>
  <Characters>11927</Characters>
  <Application>Microsoft Office Word</Application>
  <DocSecurity>0</DocSecurity>
  <Lines>165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Felix Whiteley-Bristow</dc:creator>
  <cp:keywords/>
  <dc:description/>
  <cp:lastModifiedBy>Felix Whiteley-Bristow</cp:lastModifiedBy>
  <cp:revision>131</cp:revision>
  <dcterms:created xsi:type="dcterms:W3CDTF">2022-02-03T15:36:00Z</dcterms:created>
  <dcterms:modified xsi:type="dcterms:W3CDTF">2022-02-05T23:58:00Z</dcterms:modified>
</cp:coreProperties>
</file>