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84AD7"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84AD7" w:rsidP="00E51AAC">
            <w:pPr>
              <w:spacing w:before="120" w:after="120"/>
              <w:jc w:val="both"/>
              <w:rPr>
                <w:rFonts w:ascii="Arial" w:hAnsi="Arial" w:cs="Arial"/>
                <w:b/>
                <w:sz w:val="22"/>
                <w:szCs w:val="22"/>
              </w:rPr>
            </w:pPr>
            <w:r>
              <w:rPr>
                <w:rFonts w:ascii="Arial" w:hAnsi="Arial" w:cs="Arial"/>
                <w:b/>
                <w:sz w:val="22"/>
                <w:szCs w:val="22"/>
              </w:rPr>
              <w:t>Numbers Count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84AD7" w:rsidP="00152E9D">
            <w:pPr>
              <w:spacing w:before="120" w:after="120"/>
              <w:jc w:val="both"/>
              <w:rPr>
                <w:rFonts w:ascii="Arial" w:hAnsi="Arial" w:cs="Arial"/>
                <w:b/>
                <w:sz w:val="22"/>
                <w:szCs w:val="22"/>
              </w:rPr>
            </w:pPr>
            <w:r w:rsidRPr="00284AD7">
              <w:rPr>
                <w:rFonts w:ascii="Arial" w:hAnsi="Arial" w:cs="Arial"/>
                <w:b/>
                <w:sz w:val="22"/>
                <w:szCs w:val="22"/>
              </w:rPr>
              <w:t>SJIE5001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84AD7"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84AD7" w:rsidP="00E51AAC">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84AD7"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E5941" w:rsidP="005F0579">
            <w:pPr>
              <w:spacing w:before="120" w:after="120"/>
              <w:jc w:val="both"/>
              <w:rPr>
                <w:rFonts w:ascii="Arial" w:hAnsi="Arial" w:cs="Arial"/>
                <w:b/>
                <w:sz w:val="22"/>
                <w:szCs w:val="22"/>
              </w:rPr>
            </w:pPr>
            <w:r w:rsidRPr="002E5941">
              <w:rPr>
                <w:rFonts w:ascii="Arial" w:hAnsi="Arial" w:cs="Arial"/>
                <w:b/>
                <w:sz w:val="22"/>
                <w:szCs w:val="22"/>
              </w:rPr>
              <w:t>Choose a specific key stage and critically evaluate how current initiatives support the development of numeracy across the curriculum within your setting.  Compare practice to the academic literature and policy.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84AD7" w:rsidP="00E51AAC">
            <w:pPr>
              <w:spacing w:before="120" w:after="120"/>
              <w:jc w:val="both"/>
              <w:rPr>
                <w:rFonts w:ascii="Arial" w:hAnsi="Arial" w:cs="Arial"/>
                <w:b/>
                <w:sz w:val="22"/>
                <w:szCs w:val="22"/>
              </w:rPr>
            </w:pPr>
            <w:r>
              <w:rPr>
                <w:rFonts w:ascii="Arial" w:hAnsi="Arial" w:cs="Arial"/>
                <w:b/>
                <w:sz w:val="22"/>
                <w:szCs w:val="22"/>
              </w:rPr>
              <w:t>3000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84AD7" w:rsidP="005F0579">
            <w:pPr>
              <w:spacing w:before="120" w:after="120"/>
              <w:jc w:val="both"/>
              <w:rPr>
                <w:rFonts w:ascii="Arial" w:hAnsi="Arial" w:cs="Arial"/>
                <w:b/>
                <w:sz w:val="22"/>
                <w:szCs w:val="22"/>
              </w:rPr>
            </w:pPr>
            <w:r>
              <w:rPr>
                <w:rFonts w:ascii="Arial" w:hAnsi="Arial" w:cs="Arial"/>
                <w:b/>
                <w:sz w:val="22"/>
                <w:szCs w:val="22"/>
              </w:rPr>
              <w:t>5</w:t>
            </w:r>
            <w:r w:rsidRPr="00284AD7">
              <w:rPr>
                <w:rFonts w:ascii="Arial" w:hAnsi="Arial" w:cs="Arial"/>
                <w:b/>
                <w:sz w:val="22"/>
                <w:szCs w:val="22"/>
                <w:vertAlign w:val="superscript"/>
              </w:rPr>
              <w:t>th</w:t>
            </w:r>
            <w:r w:rsidR="006C37B8">
              <w:rPr>
                <w:rFonts w:ascii="Arial" w:hAnsi="Arial" w:cs="Arial"/>
                <w:b/>
                <w:sz w:val="22"/>
                <w:szCs w:val="22"/>
              </w:rPr>
              <w:t xml:space="preserve"> of Jan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84AD7" w:rsidP="005F0579">
            <w:pPr>
              <w:spacing w:before="120" w:after="120"/>
              <w:jc w:val="both"/>
              <w:rPr>
                <w:rFonts w:ascii="Arial" w:hAnsi="Arial" w:cs="Arial"/>
                <w:b/>
                <w:sz w:val="22"/>
                <w:szCs w:val="22"/>
              </w:rPr>
            </w:pPr>
            <w:r>
              <w:rPr>
                <w:rFonts w:ascii="Arial" w:hAnsi="Arial" w:cs="Arial"/>
                <w:b/>
                <w:sz w:val="22"/>
                <w:szCs w:val="22"/>
              </w:rPr>
              <w:t>1</w:t>
            </w:r>
            <w:r w:rsidRPr="00284AD7">
              <w:rPr>
                <w:rFonts w:ascii="Arial" w:hAnsi="Arial" w:cs="Arial"/>
                <w:b/>
                <w:sz w:val="22"/>
                <w:szCs w:val="22"/>
                <w:vertAlign w:val="superscript"/>
              </w:rPr>
              <w:t>st</w:t>
            </w:r>
            <w:r w:rsidR="006C37B8">
              <w:rPr>
                <w:rFonts w:ascii="Arial" w:hAnsi="Arial" w:cs="Arial"/>
                <w:b/>
                <w:sz w:val="22"/>
                <w:szCs w:val="22"/>
              </w:rPr>
              <w:t xml:space="preserve"> of Feb 2020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Critically analyse theoretical perspectives and key trends in the development of numeracy strategies across all phases of the education system</w:t>
            </w: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Critically evaluate the links between numeracy and other curriculum areas including thinking creatively</w:t>
            </w: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Critically examine the rationale behind monitoring and assessing numeracy including use of formative and summative assessment</w:t>
            </w: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Organise their knowledge and learning through the use of a range of information resources and present their work at an appropriate level.</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2E5941" w:rsidP="00A67FB1">
      <w:pPr>
        <w:ind w:left="720"/>
        <w:rPr>
          <w:rFonts w:ascii="Arial" w:hAnsi="Arial" w:cs="Arial"/>
          <w:sz w:val="24"/>
          <w:szCs w:val="24"/>
        </w:rPr>
      </w:pPr>
      <w:r w:rsidRPr="002E5941">
        <w:rPr>
          <w:rFonts w:ascii="Arial" w:hAnsi="Arial" w:cs="Arial"/>
          <w:sz w:val="24"/>
          <w:szCs w:val="24"/>
        </w:rPr>
        <w:t>Choose a specific key stage and critically evaluate how current initiatives support the development of numeracy across the curriculum within your setting.  Compare practice to the academic literature and policy</w:t>
      </w:r>
      <w:r w:rsidR="00284AD7">
        <w:rPr>
          <w:rFonts w:ascii="Arial" w:hAnsi="Arial" w:cs="Arial"/>
          <w:sz w:val="24"/>
          <w:szCs w:val="24"/>
        </w:rPr>
        <w:t xml:space="preserve"> (3000 words +/- 10%)</w:t>
      </w:r>
      <w:r w:rsidRPr="002E5941">
        <w:rPr>
          <w:rFonts w:ascii="Arial" w:hAnsi="Arial" w:cs="Arial"/>
          <w:sz w:val="24"/>
          <w:szCs w:val="24"/>
        </w:rPr>
        <w:t>.</w:t>
      </w:r>
    </w:p>
    <w:p w:rsidR="00284AD7" w:rsidRDefault="00284AD7" w:rsidP="00A67FB1">
      <w:pPr>
        <w:ind w:left="720"/>
        <w:rPr>
          <w:rFonts w:ascii="Arial" w:hAnsi="Arial" w:cs="Arial"/>
          <w:sz w:val="24"/>
          <w:szCs w:val="24"/>
        </w:rPr>
      </w:pPr>
    </w:p>
    <w:p w:rsidR="00284AD7" w:rsidRDefault="00284AD7" w:rsidP="00A67FB1">
      <w:pPr>
        <w:ind w:left="720"/>
        <w:rPr>
          <w:rFonts w:ascii="Arial" w:hAnsi="Arial" w:cs="Arial"/>
          <w:sz w:val="24"/>
          <w:szCs w:val="24"/>
        </w:rPr>
      </w:pPr>
    </w:p>
    <w:p w:rsidR="00284AD7" w:rsidRPr="00284AD7" w:rsidRDefault="00284AD7" w:rsidP="00284AD7">
      <w:pPr>
        <w:spacing w:after="160" w:line="259" w:lineRule="auto"/>
        <w:rPr>
          <w:rFonts w:ascii="Calibri" w:eastAsia="Calibri" w:hAnsi="Calibri"/>
          <w:b/>
          <w:color w:val="FF0000"/>
          <w:sz w:val="24"/>
          <w:szCs w:val="24"/>
          <w:lang w:eastAsia="en-US"/>
        </w:rPr>
      </w:pPr>
      <w:r w:rsidRPr="00284AD7">
        <w:rPr>
          <w:rFonts w:ascii="Calibri" w:eastAsia="Calibri" w:hAnsi="Calibri"/>
          <w:b/>
          <w:sz w:val="24"/>
          <w:szCs w:val="24"/>
          <w:lang w:eastAsia="en-US"/>
        </w:rPr>
        <w:t>Suggested essay structure</w:t>
      </w:r>
      <w:r w:rsidRPr="00284AD7">
        <w:rPr>
          <w:rFonts w:ascii="Calibri" w:eastAsia="Calibri" w:hAnsi="Calibri"/>
          <w:color w:val="FF0000"/>
          <w:sz w:val="24"/>
          <w:szCs w:val="24"/>
          <w:lang w:eastAsia="en-US"/>
        </w:rPr>
        <w:t xml:space="preserve"> </w:t>
      </w:r>
      <w:r w:rsidRPr="00284AD7">
        <w:rPr>
          <w:rFonts w:ascii="Calibri" w:eastAsia="Calibri" w:hAnsi="Calibri"/>
          <w:b/>
          <w:color w:val="FF0000"/>
          <w:sz w:val="24"/>
          <w:szCs w:val="24"/>
          <w:lang w:eastAsia="en-US"/>
        </w:rPr>
        <w:t>(please note, you do not have to adhere to this religiously)</w:t>
      </w:r>
    </w:p>
    <w:p w:rsidR="00284AD7" w:rsidRPr="00284AD7" w:rsidRDefault="00284AD7" w:rsidP="00284AD7">
      <w:pPr>
        <w:spacing w:after="160" w:line="259" w:lineRule="auto"/>
        <w:rPr>
          <w:rFonts w:ascii="Calibri" w:eastAsia="Calibri" w:hAnsi="Calibri"/>
          <w:i/>
          <w:sz w:val="24"/>
          <w:szCs w:val="24"/>
          <w:lang w:eastAsia="en-US"/>
        </w:rPr>
      </w:pPr>
      <w:r w:rsidRPr="00284AD7">
        <w:rPr>
          <w:rFonts w:ascii="Calibri" w:eastAsia="Calibri" w:hAnsi="Calibri"/>
          <w:b/>
          <w:sz w:val="24"/>
          <w:szCs w:val="24"/>
          <w:lang w:eastAsia="en-US"/>
        </w:rPr>
        <w:t>Introduction</w:t>
      </w:r>
      <w:r w:rsidRPr="00284AD7">
        <w:rPr>
          <w:rFonts w:ascii="Calibri" w:eastAsia="Calibri" w:hAnsi="Calibri"/>
          <w:sz w:val="24"/>
          <w:szCs w:val="24"/>
          <w:lang w:eastAsia="en-US"/>
        </w:rPr>
        <w:t xml:space="preserve"> – Why is good numeracy important? Refer to the question. State the specific age group/key stage, policies and frameworks plus any theoretical approaches you will be discussing. Provide a </w:t>
      </w:r>
      <w:r w:rsidRPr="00284AD7">
        <w:rPr>
          <w:rFonts w:ascii="Calibri" w:eastAsia="Calibri" w:hAnsi="Calibri"/>
          <w:b/>
          <w:sz w:val="24"/>
          <w:szCs w:val="24"/>
          <w:lang w:eastAsia="en-US"/>
        </w:rPr>
        <w:t>brief</w:t>
      </w:r>
      <w:r w:rsidRPr="00284AD7">
        <w:rPr>
          <w:rFonts w:ascii="Calibri" w:eastAsia="Calibri" w:hAnsi="Calibri"/>
          <w:sz w:val="24"/>
          <w:szCs w:val="24"/>
          <w:lang w:eastAsia="en-US"/>
        </w:rPr>
        <w:t xml:space="preserve"> description of your setting. </w:t>
      </w:r>
      <w:r w:rsidRPr="00284AD7">
        <w:rPr>
          <w:rFonts w:ascii="Calibri" w:eastAsia="Calibri" w:hAnsi="Calibri"/>
          <w:i/>
          <w:sz w:val="24"/>
          <w:szCs w:val="24"/>
          <w:lang w:eastAsia="en-US"/>
        </w:rPr>
        <w:t>(approx. 400 words)</w:t>
      </w:r>
    </w:p>
    <w:p w:rsidR="00284AD7" w:rsidRPr="00284AD7" w:rsidRDefault="00284AD7" w:rsidP="00284AD7">
      <w:pPr>
        <w:spacing w:after="160" w:line="259" w:lineRule="auto"/>
        <w:rPr>
          <w:rFonts w:ascii="Calibri" w:eastAsia="Calibri" w:hAnsi="Calibri"/>
          <w:b/>
          <w:sz w:val="24"/>
          <w:szCs w:val="24"/>
          <w:lang w:eastAsia="en-US"/>
        </w:rPr>
      </w:pPr>
      <w:r w:rsidRPr="00284AD7">
        <w:rPr>
          <w:rFonts w:ascii="Calibri" w:eastAsia="Calibri" w:hAnsi="Calibri"/>
          <w:b/>
          <w:sz w:val="24"/>
          <w:szCs w:val="24"/>
          <w:lang w:eastAsia="en-US"/>
        </w:rPr>
        <w:t xml:space="preserve">Main body of the essay – </w:t>
      </w:r>
    </w:p>
    <w:p w:rsidR="00284AD7" w:rsidRPr="00284AD7" w:rsidRDefault="00284AD7" w:rsidP="00284AD7">
      <w:pPr>
        <w:spacing w:after="160" w:line="259" w:lineRule="auto"/>
        <w:rPr>
          <w:rFonts w:ascii="Calibri" w:eastAsia="Calibri" w:hAnsi="Calibri"/>
          <w:i/>
          <w:sz w:val="24"/>
          <w:szCs w:val="24"/>
          <w:lang w:eastAsia="en-US"/>
        </w:rPr>
      </w:pPr>
      <w:r w:rsidRPr="00284AD7">
        <w:rPr>
          <w:rFonts w:ascii="Calibri" w:eastAsia="Calibri" w:hAnsi="Calibri"/>
          <w:sz w:val="24"/>
          <w:szCs w:val="24"/>
          <w:lang w:eastAsia="en-US"/>
        </w:rPr>
        <w:t xml:space="preserve">Identify the key ideas in the Numeracy Framework </w:t>
      </w:r>
      <w:r w:rsidRPr="00284AD7">
        <w:rPr>
          <w:rFonts w:ascii="Calibri" w:eastAsia="Calibri" w:hAnsi="Calibri"/>
          <w:i/>
          <w:sz w:val="24"/>
          <w:szCs w:val="24"/>
          <w:lang w:eastAsia="en-US"/>
        </w:rPr>
        <w:t>(approx. 500 words)</w:t>
      </w:r>
    </w:p>
    <w:p w:rsidR="00284AD7" w:rsidRPr="00284AD7" w:rsidRDefault="00284AD7" w:rsidP="00284AD7">
      <w:pPr>
        <w:spacing w:after="160" w:line="259" w:lineRule="auto"/>
        <w:rPr>
          <w:rFonts w:ascii="Calibri" w:eastAsia="Calibri" w:hAnsi="Calibri"/>
          <w:i/>
          <w:sz w:val="24"/>
          <w:szCs w:val="24"/>
          <w:lang w:eastAsia="en-US"/>
        </w:rPr>
      </w:pPr>
      <w:r w:rsidRPr="00284AD7">
        <w:rPr>
          <w:rFonts w:ascii="Calibri" w:eastAsia="Calibri" w:hAnsi="Calibri"/>
          <w:sz w:val="24"/>
          <w:szCs w:val="24"/>
          <w:lang w:eastAsia="en-US"/>
        </w:rPr>
        <w:t xml:space="preserve">Discuss a cross-curricular/holistic approach and why it is important when teaching numeracy skills (approx. </w:t>
      </w:r>
      <w:r w:rsidRPr="00284AD7">
        <w:rPr>
          <w:rFonts w:ascii="Calibri" w:eastAsia="Calibri" w:hAnsi="Calibri"/>
          <w:i/>
          <w:sz w:val="24"/>
          <w:szCs w:val="24"/>
          <w:lang w:eastAsia="en-US"/>
        </w:rPr>
        <w:t>500 words)</w:t>
      </w:r>
    </w:p>
    <w:p w:rsidR="00284AD7" w:rsidRPr="00284AD7" w:rsidRDefault="00284AD7" w:rsidP="00284AD7">
      <w:pPr>
        <w:spacing w:after="160" w:line="259" w:lineRule="auto"/>
        <w:rPr>
          <w:rFonts w:ascii="Calibri" w:eastAsia="Calibri" w:hAnsi="Calibri"/>
          <w:sz w:val="24"/>
          <w:szCs w:val="24"/>
          <w:lang w:eastAsia="en-US"/>
        </w:rPr>
      </w:pPr>
      <w:r w:rsidRPr="00284AD7">
        <w:rPr>
          <w:rFonts w:ascii="Calibri" w:eastAsia="Calibri" w:hAnsi="Calibri"/>
          <w:sz w:val="24"/>
          <w:szCs w:val="24"/>
          <w:lang w:eastAsia="en-US"/>
        </w:rPr>
        <w:t xml:space="preserve">Critically evaluate some of the current initiatives used to support the development of numeracy (Do not only describe them, refer to them in terms of which specific numeracy skills they are intended to develop and weigh up the advantages/benefits and disadvantages/barriers). </w:t>
      </w:r>
    </w:p>
    <w:p w:rsidR="00284AD7" w:rsidRPr="00284AD7" w:rsidRDefault="00284AD7" w:rsidP="00284AD7">
      <w:pPr>
        <w:spacing w:after="160" w:line="259" w:lineRule="auto"/>
        <w:rPr>
          <w:rFonts w:ascii="Calibri" w:eastAsia="Calibri" w:hAnsi="Calibri"/>
          <w:i/>
          <w:sz w:val="24"/>
          <w:szCs w:val="24"/>
          <w:lang w:eastAsia="en-US"/>
        </w:rPr>
      </w:pPr>
      <w:r w:rsidRPr="00284AD7">
        <w:rPr>
          <w:rFonts w:ascii="Calibri" w:eastAsia="Calibri" w:hAnsi="Calibri"/>
          <w:b/>
          <w:sz w:val="24"/>
          <w:szCs w:val="24"/>
          <w:lang w:eastAsia="en-US"/>
        </w:rPr>
        <w:t xml:space="preserve">Support your points with reference to examples from your school and your research to demonstrate how these initiatives can support the development of numeracy skills across the curriculum. </w:t>
      </w:r>
      <w:r w:rsidRPr="00284AD7">
        <w:rPr>
          <w:rFonts w:ascii="Calibri" w:eastAsia="Calibri" w:hAnsi="Calibri"/>
          <w:i/>
          <w:sz w:val="24"/>
          <w:szCs w:val="24"/>
          <w:lang w:eastAsia="en-US"/>
        </w:rPr>
        <w:t>(approx. 1200 words)</w:t>
      </w:r>
    </w:p>
    <w:p w:rsidR="00284AD7" w:rsidRPr="00284AD7" w:rsidRDefault="00284AD7" w:rsidP="00284AD7">
      <w:pPr>
        <w:spacing w:after="160" w:line="259" w:lineRule="auto"/>
        <w:rPr>
          <w:rFonts w:ascii="Calibri" w:eastAsia="Calibri" w:hAnsi="Calibri"/>
          <w:sz w:val="24"/>
          <w:szCs w:val="24"/>
          <w:lang w:eastAsia="en-US"/>
        </w:rPr>
      </w:pPr>
      <w:r w:rsidRPr="00284AD7">
        <w:rPr>
          <w:rFonts w:ascii="Calibri" w:eastAsia="Calibri" w:hAnsi="Calibri"/>
          <w:b/>
          <w:sz w:val="24"/>
          <w:szCs w:val="24"/>
          <w:lang w:eastAsia="en-US"/>
        </w:rPr>
        <w:t xml:space="preserve">Conclusion – </w:t>
      </w:r>
      <w:r w:rsidRPr="00284AD7">
        <w:rPr>
          <w:rFonts w:ascii="Calibri" w:eastAsia="Calibri" w:hAnsi="Calibri"/>
          <w:sz w:val="24"/>
          <w:szCs w:val="24"/>
          <w:lang w:eastAsia="en-US"/>
        </w:rPr>
        <w:t xml:space="preserve">Summarise your main points and consider possible ways forward in the future </w:t>
      </w:r>
      <w:r w:rsidRPr="00284AD7">
        <w:rPr>
          <w:rFonts w:ascii="Calibri" w:eastAsia="Calibri" w:hAnsi="Calibri"/>
          <w:i/>
          <w:sz w:val="24"/>
          <w:szCs w:val="24"/>
          <w:lang w:eastAsia="en-US"/>
        </w:rPr>
        <w:t>(approx. 400 words)</w:t>
      </w:r>
    </w:p>
    <w:p w:rsidR="00A3505D" w:rsidRPr="00284AD7" w:rsidRDefault="00284AD7" w:rsidP="00284AD7">
      <w:pPr>
        <w:spacing w:after="160" w:line="259" w:lineRule="auto"/>
        <w:rPr>
          <w:rFonts w:ascii="Calibri" w:eastAsia="Calibri" w:hAnsi="Calibri"/>
          <w:i/>
          <w:sz w:val="24"/>
          <w:szCs w:val="24"/>
          <w:lang w:eastAsia="en-US"/>
        </w:rPr>
      </w:pPr>
      <w:r w:rsidRPr="00284AD7">
        <w:rPr>
          <w:rFonts w:ascii="Calibri" w:eastAsia="Calibri" w:hAnsi="Calibri"/>
          <w:b/>
          <w:sz w:val="24"/>
          <w:szCs w:val="24"/>
          <w:lang w:eastAsia="en-US"/>
        </w:rPr>
        <w:t xml:space="preserve">Reference list – </w:t>
      </w:r>
      <w:r w:rsidRPr="00284AD7">
        <w:rPr>
          <w:rFonts w:ascii="Calibri" w:eastAsia="Calibri" w:hAnsi="Calibri"/>
          <w:sz w:val="24"/>
          <w:szCs w:val="24"/>
          <w:lang w:eastAsia="en-US"/>
        </w:rPr>
        <w:t xml:space="preserve">accurately written </w:t>
      </w:r>
      <w:r w:rsidRPr="00284AD7">
        <w:rPr>
          <w:rFonts w:ascii="Calibri" w:eastAsia="Calibri" w:hAnsi="Calibri"/>
          <w:i/>
          <w:sz w:val="24"/>
          <w:szCs w:val="24"/>
          <w:lang w:eastAsia="en-US"/>
        </w:rPr>
        <w:t>(not included in the word count)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2E5941" w:rsidRDefault="002E5941" w:rsidP="002E5941">
      <w:pPr>
        <w:jc w:val="both"/>
        <w:rPr>
          <w:rFonts w:ascii="Arial" w:hAnsi="Arial" w:cs="Arial"/>
          <w:i/>
          <w:sz w:val="22"/>
          <w:szCs w:val="22"/>
        </w:rPr>
      </w:pPr>
      <w:r w:rsidRPr="002E5941">
        <w:rPr>
          <w:rFonts w:ascii="Arial" w:hAnsi="Arial" w:cs="Arial"/>
          <w:i/>
          <w:sz w:val="22"/>
          <w:szCs w:val="22"/>
        </w:rPr>
        <w:t xml:space="preserve">Organise their knowledge and learning through the use of </w:t>
      </w:r>
      <w:r w:rsidRPr="00284AD7">
        <w:rPr>
          <w:rFonts w:ascii="Arial" w:hAnsi="Arial" w:cs="Arial"/>
          <w:b/>
          <w:i/>
          <w:sz w:val="22"/>
          <w:szCs w:val="22"/>
        </w:rPr>
        <w:t>a range of information resources</w:t>
      </w:r>
      <w:r w:rsidRPr="002E5941">
        <w:rPr>
          <w:rFonts w:ascii="Arial" w:hAnsi="Arial" w:cs="Arial"/>
          <w:i/>
          <w:sz w:val="22"/>
          <w:szCs w:val="22"/>
        </w:rPr>
        <w:t xml:space="preserve"> and present their work at an appropriate level.</w:t>
      </w:r>
    </w:p>
    <w:p w:rsidR="00284AD7" w:rsidRDefault="00284AD7" w:rsidP="002E5941">
      <w:pPr>
        <w:jc w:val="both"/>
        <w:rPr>
          <w:rFonts w:ascii="Arial" w:hAnsi="Arial" w:cs="Arial"/>
          <w:i/>
          <w:sz w:val="22"/>
          <w:szCs w:val="22"/>
        </w:rPr>
      </w:pPr>
    </w:p>
    <w:p w:rsidR="00284AD7" w:rsidRPr="00284AD7" w:rsidRDefault="00284AD7" w:rsidP="00284AD7">
      <w:pPr>
        <w:jc w:val="both"/>
        <w:rPr>
          <w:rFonts w:ascii="Arial" w:hAnsi="Arial" w:cs="Arial"/>
          <w:i/>
          <w:sz w:val="22"/>
          <w:szCs w:val="22"/>
        </w:rPr>
      </w:pPr>
      <w:r w:rsidRPr="00284AD7">
        <w:rPr>
          <w:rFonts w:ascii="Arial" w:hAnsi="Arial" w:cs="Arial"/>
          <w:i/>
          <w:sz w:val="22"/>
          <w:szCs w:val="22"/>
        </w:rPr>
        <w:t>You must provide evidence of your research/own reading throug</w:t>
      </w:r>
      <w:r>
        <w:rPr>
          <w:rFonts w:ascii="Arial" w:hAnsi="Arial" w:cs="Arial"/>
          <w:i/>
          <w:sz w:val="22"/>
          <w:szCs w:val="22"/>
        </w:rPr>
        <w:t>hout your work, using the Harvard</w:t>
      </w:r>
      <w:r w:rsidRPr="00284AD7">
        <w:rPr>
          <w:rFonts w:ascii="Arial" w:hAnsi="Arial" w:cs="Arial"/>
          <w:i/>
          <w:sz w:val="22"/>
          <w:szCs w:val="22"/>
        </w:rPr>
        <w:t xml:space="preserve"> referencing system, including in-text citations in the main body of your work and a reference list at the end of your work.</w:t>
      </w:r>
    </w:p>
    <w:p w:rsidR="002E5941" w:rsidRPr="002E5941" w:rsidRDefault="002E5941" w:rsidP="002E5941">
      <w:pPr>
        <w:jc w:val="both"/>
        <w:rPr>
          <w:rFonts w:ascii="Arial" w:hAnsi="Arial" w:cs="Arial"/>
          <w:i/>
          <w:sz w:val="22"/>
          <w:szCs w:val="22"/>
        </w:rPr>
      </w:pPr>
    </w:p>
    <w:p w:rsidR="002E5941" w:rsidRPr="00A406E5" w:rsidRDefault="002E5941"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2E5941" w:rsidRPr="002E5941" w:rsidRDefault="00284AD7" w:rsidP="002E5941">
      <w:pPr>
        <w:jc w:val="both"/>
        <w:rPr>
          <w:rFonts w:ascii="Arial" w:hAnsi="Arial" w:cs="Arial"/>
          <w:i/>
          <w:sz w:val="22"/>
          <w:szCs w:val="22"/>
        </w:rPr>
      </w:pPr>
      <w:r>
        <w:rPr>
          <w:rFonts w:ascii="Arial" w:hAnsi="Arial" w:cs="Arial"/>
          <w:i/>
          <w:sz w:val="22"/>
          <w:szCs w:val="22"/>
        </w:rPr>
        <w:t>T</w:t>
      </w:r>
      <w:r w:rsidR="002E5941" w:rsidRPr="002E5941">
        <w:rPr>
          <w:rFonts w:ascii="Arial" w:hAnsi="Arial" w:cs="Arial"/>
          <w:i/>
          <w:sz w:val="22"/>
          <w:szCs w:val="22"/>
        </w:rPr>
        <w:t>heoretical perspectives and key trends in the development of numeracy strategies across all phases of the education system</w:t>
      </w:r>
    </w:p>
    <w:p w:rsidR="002E5941" w:rsidRPr="002E5941" w:rsidRDefault="00284AD7" w:rsidP="002E5941">
      <w:pPr>
        <w:jc w:val="both"/>
        <w:rPr>
          <w:rFonts w:ascii="Arial" w:hAnsi="Arial" w:cs="Arial"/>
          <w:i/>
          <w:sz w:val="22"/>
          <w:szCs w:val="22"/>
        </w:rPr>
      </w:pPr>
      <w:r>
        <w:rPr>
          <w:rFonts w:ascii="Arial" w:hAnsi="Arial" w:cs="Arial"/>
          <w:i/>
          <w:sz w:val="22"/>
          <w:szCs w:val="22"/>
        </w:rPr>
        <w:t>L</w:t>
      </w:r>
      <w:r w:rsidR="002E5941" w:rsidRPr="002E5941">
        <w:rPr>
          <w:rFonts w:ascii="Arial" w:hAnsi="Arial" w:cs="Arial"/>
          <w:i/>
          <w:sz w:val="22"/>
          <w:szCs w:val="22"/>
        </w:rPr>
        <w:t>inks between numeracy and other curriculum areas including thinking creatively</w:t>
      </w:r>
    </w:p>
    <w:p w:rsidR="002E5941" w:rsidRPr="00A406E5" w:rsidRDefault="00284AD7" w:rsidP="002E5941">
      <w:pPr>
        <w:jc w:val="both"/>
        <w:rPr>
          <w:rFonts w:ascii="Arial" w:hAnsi="Arial" w:cs="Arial"/>
          <w:i/>
          <w:sz w:val="22"/>
          <w:szCs w:val="22"/>
        </w:rPr>
      </w:pPr>
      <w:r>
        <w:rPr>
          <w:rFonts w:ascii="Arial" w:hAnsi="Arial" w:cs="Arial"/>
          <w:i/>
          <w:sz w:val="22"/>
          <w:szCs w:val="22"/>
        </w:rPr>
        <w:t>T</w:t>
      </w:r>
      <w:r w:rsidR="002E5941" w:rsidRPr="002E5941">
        <w:rPr>
          <w:rFonts w:ascii="Arial" w:hAnsi="Arial" w:cs="Arial"/>
          <w:i/>
          <w:sz w:val="22"/>
          <w:szCs w:val="22"/>
        </w:rPr>
        <w:t>he rationale behind monitoring and assessing numeracy including use of formative and summative assessment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C01A3F" w:rsidRPr="00A406E5" w:rsidRDefault="00284AD7" w:rsidP="00D22D9C">
      <w:pPr>
        <w:jc w:val="both"/>
        <w:rPr>
          <w:rFonts w:ascii="Arial" w:hAnsi="Arial" w:cs="Arial"/>
          <w:sz w:val="22"/>
          <w:szCs w:val="22"/>
        </w:rPr>
      </w:pPr>
      <w:r>
        <w:rPr>
          <w:rFonts w:ascii="Arial" w:hAnsi="Arial" w:cs="Arial"/>
          <w:i/>
          <w:sz w:val="22"/>
          <w:szCs w:val="22"/>
        </w:rPr>
        <w:t>See previous paragraph</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2E5941" w:rsidRPr="002E5941" w:rsidRDefault="002E5941" w:rsidP="002E5941">
      <w:pPr>
        <w:jc w:val="both"/>
        <w:rPr>
          <w:rFonts w:ascii="Arial" w:hAnsi="Arial" w:cs="Arial"/>
          <w:i/>
          <w:sz w:val="22"/>
          <w:szCs w:val="22"/>
        </w:rPr>
      </w:pPr>
      <w:r w:rsidRPr="002E5941">
        <w:rPr>
          <w:rFonts w:ascii="Arial" w:hAnsi="Arial" w:cs="Arial"/>
          <w:i/>
          <w:sz w:val="22"/>
          <w:szCs w:val="22"/>
        </w:rPr>
        <w:t>Critically evaluate the links between numeracy and other curriculum areas including thinking creatively</w:t>
      </w:r>
    </w:p>
    <w:p w:rsidR="002E5941" w:rsidRPr="00A406E5" w:rsidRDefault="002E5941" w:rsidP="002E5941">
      <w:pPr>
        <w:jc w:val="both"/>
        <w:rPr>
          <w:rFonts w:ascii="Arial" w:hAnsi="Arial" w:cs="Arial"/>
          <w:i/>
          <w:sz w:val="22"/>
          <w:szCs w:val="22"/>
        </w:rPr>
      </w:pPr>
      <w:r w:rsidRPr="002E5941">
        <w:rPr>
          <w:rFonts w:ascii="Arial" w:hAnsi="Arial" w:cs="Arial"/>
          <w:i/>
          <w:sz w:val="22"/>
          <w:szCs w:val="22"/>
        </w:rPr>
        <w:t>Critically examine the rationale behind monitoring and assessing numeracy including use of formative and summative assessment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2E5941" w:rsidRPr="002E5941" w:rsidRDefault="002E5941" w:rsidP="002E5941">
      <w:pPr>
        <w:jc w:val="both"/>
        <w:rPr>
          <w:rFonts w:ascii="Arial" w:hAnsi="Arial" w:cs="Arial"/>
          <w:i/>
          <w:sz w:val="22"/>
          <w:szCs w:val="22"/>
        </w:rPr>
      </w:pPr>
      <w:r w:rsidRPr="002E5941">
        <w:rPr>
          <w:rFonts w:ascii="Arial" w:hAnsi="Arial" w:cs="Arial"/>
          <w:i/>
          <w:sz w:val="22"/>
          <w:szCs w:val="22"/>
        </w:rPr>
        <w:t>Critically analyse theoretical perspectives and key trends in the development of numeracy strategies across all phases of the education system</w:t>
      </w:r>
    </w:p>
    <w:p w:rsidR="002E5941" w:rsidRPr="002E5941" w:rsidRDefault="002E5941" w:rsidP="002E5941">
      <w:pPr>
        <w:jc w:val="both"/>
        <w:rPr>
          <w:rFonts w:ascii="Arial" w:hAnsi="Arial" w:cs="Arial"/>
          <w:i/>
          <w:sz w:val="22"/>
          <w:szCs w:val="22"/>
        </w:rPr>
      </w:pPr>
      <w:r w:rsidRPr="002E5941">
        <w:rPr>
          <w:rFonts w:ascii="Arial" w:hAnsi="Arial" w:cs="Arial"/>
          <w:i/>
          <w:sz w:val="22"/>
          <w:szCs w:val="22"/>
        </w:rPr>
        <w:t>Organise their knowledge and learning through the use of a range of information resources and present their work at an appropriate level.</w:t>
      </w:r>
    </w:p>
    <w:p w:rsidR="002E5941" w:rsidRPr="002E5941" w:rsidRDefault="002E5941" w:rsidP="002E5941">
      <w:pPr>
        <w:jc w:val="both"/>
        <w:rPr>
          <w:rFonts w:ascii="Arial" w:hAnsi="Arial" w:cs="Arial"/>
          <w:i/>
          <w:sz w:val="22"/>
          <w:szCs w:val="22"/>
        </w:rPr>
      </w:pPr>
    </w:p>
    <w:p w:rsidR="002E5941" w:rsidRPr="002E5941" w:rsidRDefault="002E5941" w:rsidP="002E5941">
      <w:pPr>
        <w:jc w:val="both"/>
        <w:rPr>
          <w:rFonts w:ascii="Arial" w:hAnsi="Arial" w:cs="Arial"/>
          <w:i/>
          <w:sz w:val="22"/>
          <w:szCs w:val="22"/>
        </w:rPr>
      </w:pPr>
    </w:p>
    <w:p w:rsidR="002E5941" w:rsidRPr="00A406E5" w:rsidRDefault="002E5941"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2E594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E594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E594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E594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E594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7E9" w:rsidRDefault="003E27E9">
      <w:r>
        <w:separator/>
      </w:r>
    </w:p>
  </w:endnote>
  <w:endnote w:type="continuationSeparator" w:id="0">
    <w:p w:rsidR="003E27E9" w:rsidRDefault="003E2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C37B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C37B8">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7E9" w:rsidRDefault="003E27E9">
      <w:r>
        <w:separator/>
      </w:r>
    </w:p>
  </w:footnote>
  <w:footnote w:type="continuationSeparator" w:id="0">
    <w:p w:rsidR="003E27E9" w:rsidRDefault="003E27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lvlOverride w:ilvl="0">
      <w:lvl w:ilvl="0">
        <w:start w:val="1"/>
        <w:numFmt w:val="bullet"/>
        <w:lvlText w:val=""/>
        <w:legacy w:legacy="1" w:legacySpace="0" w:legacyIndent="283"/>
        <w:lvlJc w:val="left"/>
        <w:pPr>
          <w:ind w:left="823" w:hanging="283"/>
        </w:pPr>
        <w:rPr>
          <w:rFonts w:ascii="Symbol" w:hAnsi="Symbol" w:cs="Symbol" w:hint="default"/>
          <w:sz w:val="20"/>
          <w:szCs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1EE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4AD7"/>
    <w:rsid w:val="0028591B"/>
    <w:rsid w:val="002878BF"/>
    <w:rsid w:val="00291841"/>
    <w:rsid w:val="002C449B"/>
    <w:rsid w:val="002C6040"/>
    <w:rsid w:val="002D5B3F"/>
    <w:rsid w:val="002E272E"/>
    <w:rsid w:val="002E5941"/>
    <w:rsid w:val="002F5778"/>
    <w:rsid w:val="003223E0"/>
    <w:rsid w:val="0034276D"/>
    <w:rsid w:val="00352C4A"/>
    <w:rsid w:val="00362560"/>
    <w:rsid w:val="003732FD"/>
    <w:rsid w:val="003753B2"/>
    <w:rsid w:val="00376559"/>
    <w:rsid w:val="00382BAA"/>
    <w:rsid w:val="00384D73"/>
    <w:rsid w:val="00393EB6"/>
    <w:rsid w:val="003A3CE5"/>
    <w:rsid w:val="003B366F"/>
    <w:rsid w:val="003B3F9D"/>
    <w:rsid w:val="003B6C95"/>
    <w:rsid w:val="003E27E9"/>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37B8"/>
    <w:rsid w:val="006D49ED"/>
    <w:rsid w:val="006D55CE"/>
    <w:rsid w:val="006D637A"/>
    <w:rsid w:val="006D6F24"/>
    <w:rsid w:val="006F0F95"/>
    <w:rsid w:val="006F45BF"/>
    <w:rsid w:val="006F60E0"/>
    <w:rsid w:val="00702F71"/>
    <w:rsid w:val="007366DF"/>
    <w:rsid w:val="007435F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53AE"/>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6B29"/>
    <w:rsid w:val="00D22D9C"/>
    <w:rsid w:val="00D241F1"/>
    <w:rsid w:val="00D275CB"/>
    <w:rsid w:val="00D30DFA"/>
    <w:rsid w:val="00D463A5"/>
    <w:rsid w:val="00D46727"/>
    <w:rsid w:val="00D4710D"/>
    <w:rsid w:val="00D47D25"/>
    <w:rsid w:val="00D5699F"/>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33FB5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3713</Words>
  <Characters>21166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Heike Griffiths</cp:lastModifiedBy>
  <cp:revision>3</cp:revision>
  <cp:lastPrinted>2014-10-10T07:42:00Z</cp:lastPrinted>
  <dcterms:created xsi:type="dcterms:W3CDTF">2018-10-31T15:31:00Z</dcterms:created>
  <dcterms:modified xsi:type="dcterms:W3CDTF">2019-11-07T11:41:00Z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