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D7D325" w14:textId="77777777" w:rsidR="00624B3F" w:rsidRDefault="00624B3F" w:rsidP="00624B3F">
      <w:pPr>
        <w:pStyle w:val="whitespace-pre-wrap"/>
        <w:rPr>
          <w:rStyle w:val="Strong"/>
          <w:rFonts w:ascii="Arial" w:hAnsi="Arial" w:cs="Arial"/>
          <w:sz w:val="22"/>
          <w:szCs w:val="22"/>
        </w:rPr>
      </w:pPr>
    </w:p>
    <w:p w14:paraId="70436250" w14:textId="77777777" w:rsidR="00624B3F" w:rsidRDefault="00624B3F" w:rsidP="00624B3F">
      <w:pPr>
        <w:pStyle w:val="whitespace-pre-wrap"/>
        <w:rPr>
          <w:rStyle w:val="Strong"/>
          <w:rFonts w:ascii="Arial" w:hAnsi="Arial" w:cs="Arial"/>
          <w:sz w:val="22"/>
          <w:szCs w:val="22"/>
        </w:rPr>
      </w:pPr>
    </w:p>
    <w:p w14:paraId="290993E6" w14:textId="77777777" w:rsidR="00624B3F" w:rsidRDefault="00624B3F" w:rsidP="00624B3F">
      <w:pPr>
        <w:pStyle w:val="whitespace-pre-wrap"/>
        <w:rPr>
          <w:rStyle w:val="Strong"/>
          <w:rFonts w:ascii="Arial" w:hAnsi="Arial" w:cs="Arial"/>
          <w:sz w:val="22"/>
          <w:szCs w:val="22"/>
        </w:rPr>
      </w:pPr>
    </w:p>
    <w:p w14:paraId="77FEF0A1" w14:textId="77777777" w:rsidR="00624B3F" w:rsidRDefault="00624B3F" w:rsidP="00624B3F">
      <w:pPr>
        <w:pStyle w:val="whitespace-pre-wrap"/>
        <w:rPr>
          <w:rStyle w:val="Strong"/>
          <w:rFonts w:ascii="Arial" w:hAnsi="Arial" w:cs="Arial"/>
          <w:sz w:val="22"/>
          <w:szCs w:val="22"/>
        </w:rPr>
      </w:pPr>
    </w:p>
    <w:p w14:paraId="761246D3" w14:textId="77777777" w:rsidR="00624B3F" w:rsidRDefault="00624B3F" w:rsidP="00624B3F">
      <w:pPr>
        <w:pStyle w:val="whitespace-pre-wrap"/>
        <w:rPr>
          <w:rStyle w:val="Strong"/>
          <w:rFonts w:ascii="Arial" w:hAnsi="Arial" w:cs="Arial"/>
          <w:sz w:val="22"/>
          <w:szCs w:val="22"/>
        </w:rPr>
      </w:pPr>
    </w:p>
    <w:p w14:paraId="0459F0B2" w14:textId="77777777" w:rsidR="00624B3F" w:rsidRDefault="00624B3F" w:rsidP="00624B3F">
      <w:pPr>
        <w:pStyle w:val="whitespace-pre-wrap"/>
        <w:rPr>
          <w:rStyle w:val="Strong"/>
          <w:rFonts w:ascii="Arial" w:hAnsi="Arial" w:cs="Arial"/>
          <w:sz w:val="22"/>
          <w:szCs w:val="22"/>
        </w:rPr>
      </w:pPr>
    </w:p>
    <w:p w14:paraId="2E7F4881" w14:textId="77777777" w:rsidR="00624B3F" w:rsidRDefault="00624B3F" w:rsidP="00624B3F">
      <w:pPr>
        <w:pStyle w:val="whitespace-pre-wrap"/>
        <w:rPr>
          <w:rStyle w:val="Strong"/>
          <w:rFonts w:ascii="Arial" w:hAnsi="Arial" w:cs="Arial"/>
          <w:sz w:val="22"/>
          <w:szCs w:val="22"/>
        </w:rPr>
      </w:pPr>
    </w:p>
    <w:tbl>
      <w:tblPr>
        <w:tblpPr w:leftFromText="180" w:rightFromText="180" w:vertAnchor="text" w:horzAnchor="margin" w:tblpY="87"/>
        <w:tblW w:w="5387" w:type="dxa"/>
        <w:tblBorders>
          <w:top w:val="single" w:sz="4" w:space="0" w:color="auto"/>
          <w:left w:val="single" w:sz="4" w:space="0" w:color="auto"/>
          <w:right w:val="single" w:sz="4" w:space="0" w:color="auto"/>
          <w:insideH w:val="single" w:sz="6" w:space="0" w:color="auto"/>
          <w:insideV w:val="single" w:sz="6" w:space="0" w:color="auto"/>
        </w:tblBorders>
        <w:shd w:val="pct5" w:color="auto" w:fill="E7E6E6" w:themeFill="background2"/>
        <w:tblLayout w:type="fixed"/>
        <w:tblLook w:val="0000" w:firstRow="0" w:lastRow="0" w:firstColumn="0" w:lastColumn="0" w:noHBand="0" w:noVBand="0"/>
      </w:tblPr>
      <w:tblGrid>
        <w:gridCol w:w="2093"/>
        <w:gridCol w:w="3294"/>
      </w:tblGrid>
      <w:tr w:rsidR="00624B3F" w:rsidRPr="008E0272" w14:paraId="52FDB99E" w14:textId="77777777" w:rsidTr="00624B3F">
        <w:tc>
          <w:tcPr>
            <w:tcW w:w="2093" w:type="dxa"/>
            <w:shd w:val="pct5" w:color="auto" w:fill="E7E6E6" w:themeFill="background2"/>
          </w:tcPr>
          <w:p w14:paraId="26806BFA" w14:textId="77777777" w:rsidR="00624B3F" w:rsidRPr="008E0272" w:rsidRDefault="00624B3F" w:rsidP="00624B3F">
            <w:pPr>
              <w:shd w:val="clear" w:color="auto" w:fill="E7E6E6" w:themeFill="background2"/>
              <w:spacing w:before="120" w:after="120" w:line="360" w:lineRule="auto"/>
              <w:jc w:val="both"/>
              <w:rPr>
                <w:rFonts w:ascii="Arial" w:hAnsi="Arial" w:cs="Arial"/>
                <w:b/>
              </w:rPr>
            </w:pPr>
            <w:r w:rsidRPr="008E0272">
              <w:rPr>
                <w:rFonts w:ascii="Arial" w:hAnsi="Arial" w:cs="Arial"/>
                <w:b/>
              </w:rPr>
              <w:t>Module:</w:t>
            </w:r>
          </w:p>
        </w:tc>
        <w:tc>
          <w:tcPr>
            <w:tcW w:w="3294" w:type="dxa"/>
            <w:shd w:val="pct5" w:color="auto" w:fill="E7E6E6" w:themeFill="background2"/>
          </w:tcPr>
          <w:p w14:paraId="27BB2EC3" w14:textId="77777777" w:rsidR="00624B3F" w:rsidRPr="008E0272" w:rsidRDefault="00624B3F" w:rsidP="00624B3F">
            <w:pPr>
              <w:shd w:val="clear" w:color="auto" w:fill="E7E6E6" w:themeFill="background2"/>
              <w:spacing w:before="120" w:after="120" w:line="360" w:lineRule="auto"/>
              <w:jc w:val="both"/>
              <w:rPr>
                <w:rFonts w:ascii="Arial" w:hAnsi="Arial" w:cs="Arial"/>
                <w:b/>
              </w:rPr>
            </w:pPr>
            <w:r w:rsidRPr="008E0272">
              <w:rPr>
                <w:rFonts w:ascii="Arial" w:hAnsi="Arial" w:cs="Arial"/>
                <w:b/>
              </w:rPr>
              <w:t xml:space="preserve">Introduction to Public Health  </w:t>
            </w:r>
          </w:p>
        </w:tc>
      </w:tr>
      <w:tr w:rsidR="00624B3F" w:rsidRPr="008E0272" w14:paraId="32691E3E" w14:textId="77777777" w:rsidTr="00624B3F">
        <w:tc>
          <w:tcPr>
            <w:tcW w:w="2093" w:type="dxa"/>
            <w:shd w:val="pct5" w:color="auto" w:fill="E7E6E6" w:themeFill="background2"/>
          </w:tcPr>
          <w:p w14:paraId="6AC6C6E0" w14:textId="77777777" w:rsidR="00624B3F" w:rsidRPr="008E0272" w:rsidRDefault="00624B3F" w:rsidP="00624B3F">
            <w:pPr>
              <w:shd w:val="clear" w:color="auto" w:fill="E7E6E6" w:themeFill="background2"/>
              <w:spacing w:before="120" w:after="120" w:line="360" w:lineRule="auto"/>
              <w:jc w:val="both"/>
              <w:rPr>
                <w:rFonts w:ascii="Arial" w:hAnsi="Arial" w:cs="Arial"/>
                <w:b/>
              </w:rPr>
            </w:pPr>
            <w:r w:rsidRPr="008E0272">
              <w:rPr>
                <w:rFonts w:ascii="Arial" w:hAnsi="Arial" w:cs="Arial"/>
                <w:b/>
              </w:rPr>
              <w:t>Module code:</w:t>
            </w:r>
          </w:p>
        </w:tc>
        <w:tc>
          <w:tcPr>
            <w:tcW w:w="3294" w:type="dxa"/>
            <w:shd w:val="pct5" w:color="auto" w:fill="E7E6E6" w:themeFill="background2"/>
          </w:tcPr>
          <w:p w14:paraId="66C86F77" w14:textId="77777777" w:rsidR="00624B3F" w:rsidRPr="008E0272" w:rsidRDefault="00624B3F" w:rsidP="00624B3F">
            <w:pPr>
              <w:shd w:val="clear" w:color="auto" w:fill="E7E6E6" w:themeFill="background2"/>
              <w:spacing w:before="120" w:after="120" w:line="360" w:lineRule="auto"/>
              <w:jc w:val="both"/>
              <w:rPr>
                <w:rFonts w:ascii="Arial" w:hAnsi="Arial" w:cs="Arial"/>
                <w:b/>
                <w:bCs/>
              </w:rPr>
            </w:pPr>
            <w:r w:rsidRPr="008E0272">
              <w:rPr>
                <w:rFonts w:ascii="Arial" w:hAnsi="Arial" w:cs="Arial"/>
                <w:b/>
                <w:bCs/>
              </w:rPr>
              <w:t>LCHS 4004</w:t>
            </w:r>
          </w:p>
        </w:tc>
      </w:tr>
      <w:tr w:rsidR="00624B3F" w:rsidRPr="008E0272" w14:paraId="40C42231" w14:textId="77777777" w:rsidTr="00624B3F">
        <w:tc>
          <w:tcPr>
            <w:tcW w:w="2093" w:type="dxa"/>
            <w:shd w:val="pct5" w:color="auto" w:fill="E7E6E6" w:themeFill="background2"/>
          </w:tcPr>
          <w:p w14:paraId="05BA0D97" w14:textId="77777777" w:rsidR="00624B3F" w:rsidRPr="008E0272" w:rsidRDefault="00624B3F" w:rsidP="00624B3F">
            <w:pPr>
              <w:shd w:val="clear" w:color="auto" w:fill="E7E6E6" w:themeFill="background2"/>
              <w:spacing w:before="120" w:after="120" w:line="360" w:lineRule="auto"/>
              <w:jc w:val="both"/>
              <w:rPr>
                <w:rFonts w:ascii="Arial" w:hAnsi="Arial" w:cs="Arial"/>
                <w:b/>
              </w:rPr>
            </w:pPr>
            <w:r w:rsidRPr="008E0272">
              <w:rPr>
                <w:rFonts w:ascii="Arial" w:hAnsi="Arial" w:cs="Arial"/>
                <w:b/>
              </w:rPr>
              <w:t>Lecturer:</w:t>
            </w:r>
          </w:p>
        </w:tc>
        <w:tc>
          <w:tcPr>
            <w:tcW w:w="3294" w:type="dxa"/>
            <w:shd w:val="pct5" w:color="auto" w:fill="E7E6E6" w:themeFill="background2"/>
          </w:tcPr>
          <w:p w14:paraId="4DA7FDE5" w14:textId="425FBA20" w:rsidR="00624B3F" w:rsidRPr="008E0272" w:rsidRDefault="00624B3F" w:rsidP="00624B3F">
            <w:pPr>
              <w:shd w:val="clear" w:color="auto" w:fill="E7E6E6" w:themeFill="background2"/>
              <w:spacing w:before="120" w:after="120" w:line="360" w:lineRule="auto"/>
              <w:rPr>
                <w:rFonts w:ascii="Arial" w:hAnsi="Arial" w:cs="Arial"/>
              </w:rPr>
            </w:pPr>
            <w:r>
              <w:rPr>
                <w:rFonts w:ascii="Arial" w:hAnsi="Arial" w:cs="Arial"/>
              </w:rPr>
              <w:t>Gillian Weaver (Module lead)</w:t>
            </w:r>
          </w:p>
        </w:tc>
      </w:tr>
      <w:tr w:rsidR="00624B3F" w:rsidRPr="008E0272" w14:paraId="0E36E20C" w14:textId="77777777" w:rsidTr="00624B3F">
        <w:tc>
          <w:tcPr>
            <w:tcW w:w="2093" w:type="dxa"/>
            <w:shd w:val="pct5" w:color="auto" w:fill="E7E6E6" w:themeFill="background2"/>
          </w:tcPr>
          <w:p w14:paraId="3F609023" w14:textId="77777777" w:rsidR="00624B3F" w:rsidRPr="008E0272" w:rsidRDefault="00624B3F" w:rsidP="00624B3F">
            <w:pPr>
              <w:shd w:val="clear" w:color="auto" w:fill="E7E6E6" w:themeFill="background2"/>
              <w:spacing w:before="120" w:after="120" w:line="360" w:lineRule="auto"/>
              <w:jc w:val="both"/>
              <w:rPr>
                <w:rFonts w:ascii="Arial" w:hAnsi="Arial" w:cs="Arial"/>
                <w:b/>
              </w:rPr>
            </w:pPr>
            <w:r w:rsidRPr="008E0272">
              <w:rPr>
                <w:rFonts w:ascii="Arial" w:hAnsi="Arial" w:cs="Arial"/>
                <w:b/>
              </w:rPr>
              <w:t>Assignment Title:</w:t>
            </w:r>
          </w:p>
        </w:tc>
        <w:tc>
          <w:tcPr>
            <w:tcW w:w="3294" w:type="dxa"/>
            <w:shd w:val="pct5" w:color="auto" w:fill="E7E6E6" w:themeFill="background2"/>
          </w:tcPr>
          <w:p w14:paraId="76865C7D" w14:textId="77777777" w:rsidR="00624B3F" w:rsidRPr="008E0272" w:rsidRDefault="00624B3F" w:rsidP="00624B3F">
            <w:pPr>
              <w:shd w:val="clear" w:color="auto" w:fill="E7E6E6" w:themeFill="background2"/>
              <w:spacing w:before="120" w:after="120" w:line="360" w:lineRule="auto"/>
              <w:jc w:val="both"/>
              <w:rPr>
                <w:rFonts w:ascii="Arial" w:hAnsi="Arial" w:cs="Arial"/>
                <w:b/>
              </w:rPr>
            </w:pPr>
            <w:r w:rsidRPr="008E0272">
              <w:rPr>
                <w:rFonts w:ascii="Arial" w:hAnsi="Arial" w:cs="Arial"/>
                <w:b/>
              </w:rPr>
              <w:t>Assessment Component 1</w:t>
            </w:r>
          </w:p>
          <w:p w14:paraId="1B971615" w14:textId="77777777" w:rsidR="00624B3F" w:rsidRPr="008E0272" w:rsidRDefault="00624B3F" w:rsidP="00624B3F">
            <w:pPr>
              <w:shd w:val="clear" w:color="auto" w:fill="E7E6E6" w:themeFill="background2"/>
              <w:spacing w:before="120" w:after="120" w:line="360" w:lineRule="auto"/>
              <w:jc w:val="both"/>
              <w:rPr>
                <w:rFonts w:ascii="Arial" w:hAnsi="Arial" w:cs="Arial"/>
                <w:b/>
              </w:rPr>
            </w:pPr>
            <w:r w:rsidRPr="008E0272">
              <w:rPr>
                <w:rFonts w:ascii="Arial" w:hAnsi="Arial" w:cs="Arial"/>
                <w:b/>
              </w:rPr>
              <w:t xml:space="preserve">     Written assignment</w:t>
            </w:r>
          </w:p>
        </w:tc>
      </w:tr>
      <w:tr w:rsidR="00624B3F" w:rsidRPr="008E0272" w14:paraId="661344BB" w14:textId="77777777" w:rsidTr="00624B3F">
        <w:tc>
          <w:tcPr>
            <w:tcW w:w="2093" w:type="dxa"/>
            <w:shd w:val="pct5" w:color="auto" w:fill="E7E6E6" w:themeFill="background2"/>
          </w:tcPr>
          <w:p w14:paraId="6A8AA599" w14:textId="77777777" w:rsidR="00624B3F" w:rsidRPr="008E0272" w:rsidRDefault="00624B3F" w:rsidP="00624B3F">
            <w:pPr>
              <w:shd w:val="clear" w:color="auto" w:fill="E7E6E6" w:themeFill="background2"/>
              <w:spacing w:before="120" w:after="120" w:line="360" w:lineRule="auto"/>
              <w:jc w:val="both"/>
              <w:rPr>
                <w:rFonts w:ascii="Arial" w:hAnsi="Arial" w:cs="Arial"/>
                <w:b/>
              </w:rPr>
            </w:pPr>
            <w:r w:rsidRPr="008E0272">
              <w:rPr>
                <w:rFonts w:ascii="Arial" w:hAnsi="Arial" w:cs="Arial"/>
                <w:b/>
              </w:rPr>
              <w:t>Name:</w:t>
            </w:r>
          </w:p>
        </w:tc>
        <w:tc>
          <w:tcPr>
            <w:tcW w:w="3294" w:type="dxa"/>
            <w:shd w:val="pct5" w:color="auto" w:fill="E7E6E6" w:themeFill="background2"/>
          </w:tcPr>
          <w:p w14:paraId="63FFC41C" w14:textId="77777777" w:rsidR="00624B3F" w:rsidRPr="008E0272" w:rsidRDefault="00624B3F" w:rsidP="00624B3F">
            <w:pPr>
              <w:shd w:val="clear" w:color="auto" w:fill="E7E6E6" w:themeFill="background2"/>
              <w:spacing w:before="120" w:after="120" w:line="360" w:lineRule="auto"/>
              <w:jc w:val="both"/>
              <w:rPr>
                <w:rFonts w:ascii="Arial" w:hAnsi="Arial" w:cs="Arial"/>
                <w:b/>
              </w:rPr>
            </w:pPr>
            <w:r w:rsidRPr="008E0272">
              <w:rPr>
                <w:rFonts w:ascii="Arial" w:hAnsi="Arial" w:cs="Arial"/>
                <w:b/>
              </w:rPr>
              <w:t>Claudette Grizzle</w:t>
            </w:r>
          </w:p>
        </w:tc>
      </w:tr>
      <w:tr w:rsidR="00624B3F" w:rsidRPr="008E0272" w14:paraId="14D09070" w14:textId="77777777" w:rsidTr="00624B3F">
        <w:tc>
          <w:tcPr>
            <w:tcW w:w="2093" w:type="dxa"/>
            <w:shd w:val="pct5" w:color="auto" w:fill="E7E6E6" w:themeFill="background2"/>
          </w:tcPr>
          <w:p w14:paraId="0C409C9E" w14:textId="77777777" w:rsidR="00624B3F" w:rsidRPr="008E0272" w:rsidRDefault="00624B3F" w:rsidP="00624B3F">
            <w:pPr>
              <w:shd w:val="clear" w:color="auto" w:fill="E7E6E6" w:themeFill="background2"/>
              <w:spacing w:before="120" w:after="120" w:line="360" w:lineRule="auto"/>
              <w:jc w:val="both"/>
              <w:rPr>
                <w:rFonts w:ascii="Arial" w:hAnsi="Arial" w:cs="Arial"/>
                <w:b/>
              </w:rPr>
            </w:pPr>
            <w:r w:rsidRPr="008E0272">
              <w:rPr>
                <w:rFonts w:ascii="Arial" w:hAnsi="Arial" w:cs="Arial"/>
                <w:b/>
              </w:rPr>
              <w:t>STUDENT Number:</w:t>
            </w:r>
          </w:p>
        </w:tc>
        <w:tc>
          <w:tcPr>
            <w:tcW w:w="3294" w:type="dxa"/>
            <w:shd w:val="pct5" w:color="auto" w:fill="E7E6E6" w:themeFill="background2"/>
          </w:tcPr>
          <w:p w14:paraId="25C51558" w14:textId="77777777" w:rsidR="00624B3F" w:rsidRPr="008E0272" w:rsidRDefault="00624B3F" w:rsidP="00624B3F">
            <w:pPr>
              <w:shd w:val="clear" w:color="auto" w:fill="E7E6E6" w:themeFill="background2"/>
              <w:tabs>
                <w:tab w:val="center" w:pos="1539"/>
              </w:tabs>
              <w:spacing w:before="120" w:after="120" w:line="360" w:lineRule="auto"/>
              <w:jc w:val="both"/>
              <w:rPr>
                <w:rFonts w:ascii="Arial" w:hAnsi="Arial" w:cs="Arial"/>
                <w:b/>
              </w:rPr>
            </w:pPr>
            <w:r w:rsidRPr="008E0272">
              <w:rPr>
                <w:rFonts w:ascii="Arial" w:hAnsi="Arial" w:cs="Arial"/>
                <w:b/>
              </w:rPr>
              <w:t>2208454</w:t>
            </w:r>
            <w:r w:rsidRPr="008E0272">
              <w:rPr>
                <w:rFonts w:ascii="Arial" w:hAnsi="Arial" w:cs="Arial"/>
                <w:b/>
              </w:rPr>
              <w:tab/>
            </w:r>
          </w:p>
        </w:tc>
      </w:tr>
    </w:tbl>
    <w:p w14:paraId="6EE96761" w14:textId="77777777" w:rsidR="00624B3F" w:rsidRDefault="00624B3F" w:rsidP="00624B3F">
      <w:pPr>
        <w:pStyle w:val="whitespace-pre-wrap"/>
        <w:rPr>
          <w:rStyle w:val="Strong"/>
          <w:rFonts w:ascii="Arial" w:hAnsi="Arial" w:cs="Arial"/>
          <w:sz w:val="22"/>
          <w:szCs w:val="22"/>
        </w:rPr>
      </w:pPr>
    </w:p>
    <w:p w14:paraId="47689FE7" w14:textId="77777777" w:rsidR="00624B3F" w:rsidRDefault="00624B3F" w:rsidP="00624B3F">
      <w:pPr>
        <w:pStyle w:val="whitespace-pre-wrap"/>
        <w:rPr>
          <w:rStyle w:val="Strong"/>
          <w:rFonts w:ascii="Arial" w:hAnsi="Arial" w:cs="Arial"/>
          <w:sz w:val="22"/>
          <w:szCs w:val="22"/>
        </w:rPr>
      </w:pPr>
    </w:p>
    <w:p w14:paraId="7577A335" w14:textId="77777777" w:rsidR="00624B3F" w:rsidRDefault="00624B3F" w:rsidP="00624B3F">
      <w:pPr>
        <w:pStyle w:val="whitespace-pre-wrap"/>
        <w:rPr>
          <w:rStyle w:val="Strong"/>
          <w:rFonts w:ascii="Arial" w:hAnsi="Arial" w:cs="Arial"/>
          <w:sz w:val="22"/>
          <w:szCs w:val="22"/>
        </w:rPr>
      </w:pPr>
    </w:p>
    <w:p w14:paraId="37D74CE9" w14:textId="77777777" w:rsidR="00624B3F" w:rsidRDefault="00624B3F" w:rsidP="00624B3F">
      <w:pPr>
        <w:pStyle w:val="whitespace-pre-wrap"/>
        <w:rPr>
          <w:rStyle w:val="Strong"/>
          <w:rFonts w:ascii="Arial" w:hAnsi="Arial" w:cs="Arial"/>
          <w:sz w:val="22"/>
          <w:szCs w:val="22"/>
        </w:rPr>
      </w:pPr>
    </w:p>
    <w:p w14:paraId="112B6D0F" w14:textId="77777777" w:rsidR="00624B3F" w:rsidRDefault="00624B3F" w:rsidP="00624B3F">
      <w:pPr>
        <w:pStyle w:val="whitespace-pre-wrap"/>
        <w:rPr>
          <w:rStyle w:val="Strong"/>
          <w:rFonts w:ascii="Arial" w:hAnsi="Arial" w:cs="Arial"/>
          <w:sz w:val="22"/>
          <w:szCs w:val="22"/>
        </w:rPr>
      </w:pPr>
    </w:p>
    <w:p w14:paraId="068EA417" w14:textId="77777777" w:rsidR="00624B3F" w:rsidRDefault="00624B3F" w:rsidP="00624B3F">
      <w:pPr>
        <w:pStyle w:val="whitespace-pre-wrap"/>
        <w:rPr>
          <w:rStyle w:val="Strong"/>
          <w:rFonts w:ascii="Arial" w:hAnsi="Arial" w:cs="Arial"/>
          <w:sz w:val="22"/>
          <w:szCs w:val="22"/>
        </w:rPr>
      </w:pPr>
    </w:p>
    <w:p w14:paraId="275B8963" w14:textId="77777777" w:rsidR="00624B3F" w:rsidRDefault="00624B3F" w:rsidP="00624B3F">
      <w:pPr>
        <w:pStyle w:val="whitespace-pre-wrap"/>
        <w:rPr>
          <w:rStyle w:val="Strong"/>
          <w:rFonts w:ascii="Arial" w:hAnsi="Arial" w:cs="Arial"/>
          <w:sz w:val="22"/>
          <w:szCs w:val="22"/>
        </w:rPr>
      </w:pPr>
    </w:p>
    <w:p w14:paraId="41044259" w14:textId="77777777" w:rsidR="00624B3F" w:rsidRDefault="00624B3F" w:rsidP="00624B3F">
      <w:pPr>
        <w:pStyle w:val="whitespace-pre-wrap"/>
        <w:rPr>
          <w:rStyle w:val="Strong"/>
          <w:rFonts w:ascii="Arial" w:hAnsi="Arial" w:cs="Arial"/>
          <w:sz w:val="22"/>
          <w:szCs w:val="22"/>
        </w:rPr>
      </w:pPr>
    </w:p>
    <w:p w14:paraId="42D1CDCC" w14:textId="77777777" w:rsidR="00624B3F" w:rsidRDefault="00624B3F" w:rsidP="00624B3F">
      <w:pPr>
        <w:pStyle w:val="whitespace-pre-wrap"/>
        <w:rPr>
          <w:rStyle w:val="Strong"/>
          <w:rFonts w:ascii="Arial" w:hAnsi="Arial" w:cs="Arial"/>
          <w:sz w:val="22"/>
          <w:szCs w:val="22"/>
        </w:rPr>
      </w:pPr>
    </w:p>
    <w:p w14:paraId="3BEBB8EE" w14:textId="77777777" w:rsidR="00624B3F" w:rsidRDefault="00624B3F" w:rsidP="00624B3F">
      <w:pPr>
        <w:pStyle w:val="whitespace-pre-wrap"/>
        <w:rPr>
          <w:rStyle w:val="Strong"/>
          <w:rFonts w:ascii="Arial" w:hAnsi="Arial" w:cs="Arial"/>
          <w:sz w:val="22"/>
          <w:szCs w:val="22"/>
        </w:rPr>
      </w:pPr>
    </w:p>
    <w:p w14:paraId="09785071" w14:textId="77777777" w:rsidR="00624B3F" w:rsidRDefault="00624B3F" w:rsidP="00624B3F">
      <w:pPr>
        <w:pStyle w:val="whitespace-pre-wrap"/>
        <w:rPr>
          <w:rStyle w:val="Strong"/>
          <w:rFonts w:ascii="Arial" w:hAnsi="Arial" w:cs="Arial"/>
          <w:sz w:val="22"/>
          <w:szCs w:val="22"/>
        </w:rPr>
      </w:pPr>
    </w:p>
    <w:p w14:paraId="4F26E351" w14:textId="77777777" w:rsidR="00624B3F" w:rsidRDefault="00624B3F" w:rsidP="00624B3F">
      <w:pPr>
        <w:pStyle w:val="whitespace-pre-wrap"/>
        <w:rPr>
          <w:rStyle w:val="Strong"/>
          <w:rFonts w:ascii="Arial" w:hAnsi="Arial" w:cs="Arial"/>
          <w:sz w:val="22"/>
          <w:szCs w:val="22"/>
        </w:rPr>
      </w:pPr>
    </w:p>
    <w:p w14:paraId="60202EA6" w14:textId="77777777" w:rsidR="00624B3F" w:rsidRDefault="00624B3F" w:rsidP="00624B3F">
      <w:pPr>
        <w:pStyle w:val="whitespace-pre-wrap"/>
        <w:rPr>
          <w:rStyle w:val="Strong"/>
          <w:rFonts w:ascii="Arial" w:hAnsi="Arial" w:cs="Arial"/>
          <w:sz w:val="22"/>
          <w:szCs w:val="22"/>
        </w:rPr>
      </w:pPr>
    </w:p>
    <w:p w14:paraId="239393F4" w14:textId="77777777" w:rsidR="00624B3F" w:rsidRDefault="00624B3F" w:rsidP="00624B3F">
      <w:pPr>
        <w:pStyle w:val="whitespace-pre-wrap"/>
        <w:rPr>
          <w:rStyle w:val="Strong"/>
          <w:rFonts w:ascii="Arial" w:hAnsi="Arial" w:cs="Arial"/>
          <w:sz w:val="22"/>
          <w:szCs w:val="22"/>
        </w:rPr>
      </w:pPr>
    </w:p>
    <w:p w14:paraId="5E5FCDF2" w14:textId="77777777" w:rsidR="00624B3F" w:rsidRDefault="00624B3F" w:rsidP="00624B3F">
      <w:pPr>
        <w:pStyle w:val="whitespace-pre-wrap"/>
        <w:rPr>
          <w:rStyle w:val="Strong"/>
          <w:rFonts w:ascii="Arial" w:hAnsi="Arial" w:cs="Arial"/>
          <w:sz w:val="22"/>
          <w:szCs w:val="22"/>
        </w:rPr>
      </w:pPr>
    </w:p>
    <w:p w14:paraId="0D3C37A6" w14:textId="77777777" w:rsidR="00624B3F" w:rsidRDefault="00624B3F" w:rsidP="00624B3F">
      <w:pPr>
        <w:pStyle w:val="whitespace-pre-wrap"/>
        <w:rPr>
          <w:rStyle w:val="Strong"/>
          <w:rFonts w:ascii="Arial" w:hAnsi="Arial" w:cs="Arial"/>
          <w:sz w:val="22"/>
          <w:szCs w:val="22"/>
        </w:rPr>
      </w:pPr>
    </w:p>
    <w:p w14:paraId="70AFFBDB" w14:textId="77777777" w:rsidR="00624B3F" w:rsidRDefault="00624B3F" w:rsidP="00624B3F">
      <w:pPr>
        <w:pStyle w:val="whitespace-pre-wrap"/>
        <w:rPr>
          <w:rStyle w:val="Strong"/>
          <w:rFonts w:ascii="Arial" w:hAnsi="Arial" w:cs="Arial"/>
          <w:sz w:val="22"/>
          <w:szCs w:val="22"/>
        </w:rPr>
      </w:pPr>
    </w:p>
    <w:p w14:paraId="718F9EC2" w14:textId="77777777" w:rsidR="00624B3F" w:rsidRDefault="00624B3F" w:rsidP="00624B3F">
      <w:pPr>
        <w:pStyle w:val="whitespace-pre-wrap"/>
        <w:rPr>
          <w:rStyle w:val="Strong"/>
          <w:rFonts w:ascii="Arial" w:hAnsi="Arial" w:cs="Arial"/>
          <w:sz w:val="22"/>
          <w:szCs w:val="22"/>
        </w:rPr>
      </w:pPr>
    </w:p>
    <w:p w14:paraId="78A11C18" w14:textId="77777777" w:rsidR="00624B3F" w:rsidRDefault="00624B3F" w:rsidP="00624B3F">
      <w:pPr>
        <w:pStyle w:val="whitespace-pre-wrap"/>
        <w:rPr>
          <w:rStyle w:val="Strong"/>
          <w:rFonts w:ascii="Arial" w:hAnsi="Arial" w:cs="Arial"/>
          <w:sz w:val="22"/>
          <w:szCs w:val="22"/>
        </w:rPr>
      </w:pPr>
    </w:p>
    <w:p w14:paraId="521E3121" w14:textId="52CC09CF" w:rsidR="00624B3F" w:rsidRPr="00624B3F" w:rsidRDefault="00624B3F" w:rsidP="00624B3F">
      <w:pPr>
        <w:pStyle w:val="whitespace-pre-wrap"/>
        <w:spacing w:line="360" w:lineRule="auto"/>
        <w:rPr>
          <w:rFonts w:ascii="Arial" w:hAnsi="Arial" w:cs="Arial"/>
          <w:sz w:val="22"/>
          <w:szCs w:val="22"/>
        </w:rPr>
      </w:pPr>
      <w:r w:rsidRPr="00624B3F">
        <w:rPr>
          <w:rStyle w:val="Strong"/>
          <w:rFonts w:ascii="Arial" w:hAnsi="Arial" w:cs="Arial"/>
          <w:sz w:val="22"/>
          <w:szCs w:val="22"/>
        </w:rPr>
        <w:lastRenderedPageBreak/>
        <w:t>Introduction</w:t>
      </w:r>
    </w:p>
    <w:p w14:paraId="6B4F9860" w14:textId="78192E61" w:rsidR="00624B3F" w:rsidRPr="00624B3F" w:rsidRDefault="00624B3F" w:rsidP="00624B3F">
      <w:pPr>
        <w:pStyle w:val="whitespace-pre-wrap"/>
        <w:spacing w:line="360" w:lineRule="auto"/>
        <w:rPr>
          <w:rFonts w:ascii="Arial" w:hAnsi="Arial" w:cs="Arial"/>
          <w:sz w:val="22"/>
          <w:szCs w:val="22"/>
        </w:rPr>
      </w:pPr>
      <w:r w:rsidRPr="00624B3F">
        <w:rPr>
          <w:rFonts w:ascii="Arial" w:hAnsi="Arial" w:cs="Arial"/>
          <w:sz w:val="22"/>
          <w:szCs w:val="22"/>
        </w:rPr>
        <w:t xml:space="preserve">Infectious diseases remain a significant public health issue worldwide. Monitoring, </w:t>
      </w:r>
      <w:proofErr w:type="gramStart"/>
      <w:r w:rsidRPr="00624B3F">
        <w:rPr>
          <w:rFonts w:ascii="Arial" w:hAnsi="Arial" w:cs="Arial"/>
          <w:sz w:val="22"/>
          <w:szCs w:val="22"/>
        </w:rPr>
        <w:t>controlling</w:t>
      </w:r>
      <w:proofErr w:type="gramEnd"/>
      <w:r w:rsidRPr="00624B3F">
        <w:rPr>
          <w:rFonts w:ascii="Arial" w:hAnsi="Arial" w:cs="Arial"/>
          <w:sz w:val="22"/>
          <w:szCs w:val="22"/>
        </w:rPr>
        <w:t xml:space="preserve"> and managing infectious diseases is vital to reduce morbidity and mortality. This report will outline the strategies used to measure </w:t>
      </w:r>
      <w:r w:rsidR="00F36777" w:rsidRPr="00624B3F">
        <w:rPr>
          <w:rFonts w:ascii="Arial" w:hAnsi="Arial" w:cs="Arial"/>
          <w:sz w:val="22"/>
          <w:szCs w:val="22"/>
        </w:rPr>
        <w:t>monitor,</w:t>
      </w:r>
      <w:r w:rsidRPr="00624B3F">
        <w:rPr>
          <w:rFonts w:ascii="Arial" w:hAnsi="Arial" w:cs="Arial"/>
          <w:sz w:val="22"/>
          <w:szCs w:val="22"/>
        </w:rPr>
        <w:t xml:space="preserve"> and control infectious diseases in the UK and worldwide. It will focus on the epidemiology, monitoring, short-term consequences, and public health policies related to tuberculosis (TB) in the UK. Statistics and data from Public Health England, the World Health Organization, and other reputable sources will be referenced to provide evidence.</w:t>
      </w:r>
    </w:p>
    <w:p w14:paraId="67958F76" w14:textId="77777777" w:rsidR="00624B3F" w:rsidRPr="00624B3F" w:rsidRDefault="00624B3F" w:rsidP="00624B3F">
      <w:pPr>
        <w:pStyle w:val="whitespace-pre-wrap"/>
        <w:spacing w:line="360" w:lineRule="auto"/>
        <w:rPr>
          <w:rFonts w:ascii="Arial" w:hAnsi="Arial" w:cs="Arial"/>
          <w:sz w:val="22"/>
          <w:szCs w:val="22"/>
        </w:rPr>
      </w:pPr>
      <w:r w:rsidRPr="00624B3F">
        <w:rPr>
          <w:rStyle w:val="Strong"/>
          <w:rFonts w:ascii="Arial" w:hAnsi="Arial" w:cs="Arial"/>
          <w:sz w:val="22"/>
          <w:szCs w:val="22"/>
        </w:rPr>
        <w:t>Strategies to Measure, Monitor and Control Infectious Diseases</w:t>
      </w:r>
    </w:p>
    <w:p w14:paraId="6FAD93FB" w14:textId="5E701768" w:rsidR="00624B3F" w:rsidRPr="00624B3F" w:rsidRDefault="00624B3F" w:rsidP="00624B3F">
      <w:pPr>
        <w:pStyle w:val="whitespace-pre-wrap"/>
        <w:spacing w:line="360" w:lineRule="auto"/>
        <w:rPr>
          <w:rFonts w:ascii="Arial" w:hAnsi="Arial" w:cs="Arial"/>
          <w:sz w:val="22"/>
          <w:szCs w:val="22"/>
        </w:rPr>
      </w:pPr>
      <w:r w:rsidRPr="00624B3F">
        <w:rPr>
          <w:rFonts w:ascii="Arial" w:hAnsi="Arial" w:cs="Arial"/>
          <w:sz w:val="22"/>
          <w:szCs w:val="22"/>
        </w:rPr>
        <w:t xml:space="preserve">Surveillance is crucial for monitoring trends in infectious diseases and detecting outbreaks early to enable rapid public health responses (Smith et al., 2021). In the UK, statutory surveillance systems report data on infections like TB, HIV, and hepatitis (Public Health England, 2020). Surveillance occurs at local </w:t>
      </w:r>
      <w:r w:rsidR="00F36777" w:rsidRPr="00624B3F">
        <w:rPr>
          <w:rFonts w:ascii="Arial" w:hAnsi="Arial" w:cs="Arial"/>
          <w:sz w:val="22"/>
          <w:szCs w:val="22"/>
        </w:rPr>
        <w:t>regional,</w:t>
      </w:r>
      <w:r w:rsidRPr="00624B3F">
        <w:rPr>
          <w:rFonts w:ascii="Arial" w:hAnsi="Arial" w:cs="Arial"/>
          <w:sz w:val="22"/>
          <w:szCs w:val="22"/>
        </w:rPr>
        <w:t xml:space="preserve"> and national levels to monitor diseases in different populations. Data comes from laboratories, clinicians, and hospital admissions. The </w:t>
      </w:r>
      <w:r w:rsidR="00F36777" w:rsidRPr="00624B3F">
        <w:rPr>
          <w:rFonts w:ascii="Arial" w:hAnsi="Arial" w:cs="Arial"/>
          <w:sz w:val="22"/>
          <w:szCs w:val="22"/>
        </w:rPr>
        <w:t>Second-Generation</w:t>
      </w:r>
      <w:r w:rsidRPr="00624B3F">
        <w:rPr>
          <w:rFonts w:ascii="Arial" w:hAnsi="Arial" w:cs="Arial"/>
          <w:sz w:val="22"/>
          <w:szCs w:val="22"/>
        </w:rPr>
        <w:t xml:space="preserve"> Surveillance System (SGSS) is a national system that collects real-time data on infections in England (Public Health England, 2020).</w:t>
      </w:r>
    </w:p>
    <w:p w14:paraId="7112F686" w14:textId="67ADEDE4" w:rsidR="00624B3F" w:rsidRPr="00624B3F" w:rsidRDefault="00624B3F" w:rsidP="00624B3F">
      <w:pPr>
        <w:pStyle w:val="whitespace-pre-wrap"/>
        <w:spacing w:line="360" w:lineRule="auto"/>
        <w:rPr>
          <w:rFonts w:ascii="Arial" w:hAnsi="Arial" w:cs="Arial"/>
          <w:sz w:val="22"/>
          <w:szCs w:val="22"/>
        </w:rPr>
      </w:pPr>
      <w:r w:rsidRPr="00624B3F">
        <w:rPr>
          <w:rFonts w:ascii="Arial" w:hAnsi="Arial" w:cs="Arial"/>
          <w:sz w:val="22"/>
          <w:szCs w:val="22"/>
        </w:rPr>
        <w:t>Globally, the World Health Organization's (WHO) International Health Regulations require countries to report public health emergencies and build capacity for disease surveillance (WHO, 2022). WHO coordinates international surveillance networks like Flu</w:t>
      </w:r>
      <w:r w:rsidR="00F36777">
        <w:rPr>
          <w:rFonts w:ascii="Arial" w:hAnsi="Arial" w:cs="Arial"/>
          <w:sz w:val="22"/>
          <w:szCs w:val="22"/>
        </w:rPr>
        <w:t xml:space="preserve"> </w:t>
      </w:r>
      <w:r w:rsidRPr="00624B3F">
        <w:rPr>
          <w:rFonts w:ascii="Arial" w:hAnsi="Arial" w:cs="Arial"/>
          <w:sz w:val="22"/>
          <w:szCs w:val="22"/>
        </w:rPr>
        <w:t>Net and GISRS for influenza monitoring and the Global Polio Eradication Initiative. Data sharing between countries enables coordinated responses to disease outbreaks.</w:t>
      </w:r>
    </w:p>
    <w:p w14:paraId="7F8853B5" w14:textId="77777777" w:rsidR="00624B3F" w:rsidRPr="00624B3F" w:rsidRDefault="00624B3F" w:rsidP="00624B3F">
      <w:pPr>
        <w:pStyle w:val="whitespace-pre-wrap"/>
        <w:spacing w:line="360" w:lineRule="auto"/>
        <w:rPr>
          <w:rFonts w:ascii="Arial" w:hAnsi="Arial" w:cs="Arial"/>
          <w:sz w:val="22"/>
          <w:szCs w:val="22"/>
        </w:rPr>
      </w:pPr>
      <w:r w:rsidRPr="00624B3F">
        <w:rPr>
          <w:rFonts w:ascii="Arial" w:hAnsi="Arial" w:cs="Arial"/>
          <w:sz w:val="22"/>
          <w:szCs w:val="22"/>
        </w:rPr>
        <w:t>Public health measures like sanitation, hygiene, infection control, contact tracing, and isolation help control infectious disease transmission. Vaccines are critical prevention tools that have eradicated smallpox and significantly reduced illnesses like measles and polio worldwide (Andre et al., 2008). Antimicrobial stewardship limits antibiotic resistance. WHO strengthens countries' capacities to implement evidence-based infectious disease control programs (WHO, 2022). Ongoing challenges include lack of surveillance infrastructure in lower income regions, vaccine hesitancy limiting coverage, and emerging antimicrobial resistance. International coordination and investment in health systems are needed to fully leverage these public health strategies globally.</w:t>
      </w:r>
    </w:p>
    <w:p w14:paraId="57BAB52A" w14:textId="77777777" w:rsidR="00624B3F" w:rsidRDefault="00624B3F" w:rsidP="00624B3F">
      <w:pPr>
        <w:pStyle w:val="whitespace-pre-wrap"/>
        <w:spacing w:line="360" w:lineRule="auto"/>
        <w:rPr>
          <w:rStyle w:val="Strong"/>
          <w:rFonts w:ascii="Arial" w:hAnsi="Arial" w:cs="Arial"/>
          <w:sz w:val="22"/>
          <w:szCs w:val="22"/>
        </w:rPr>
      </w:pPr>
    </w:p>
    <w:p w14:paraId="2C004FA6" w14:textId="4E70C823" w:rsidR="00624B3F" w:rsidRPr="00624B3F" w:rsidRDefault="00624B3F" w:rsidP="00624B3F">
      <w:pPr>
        <w:pStyle w:val="whitespace-pre-wrap"/>
        <w:spacing w:line="360" w:lineRule="auto"/>
        <w:rPr>
          <w:rFonts w:ascii="Arial" w:hAnsi="Arial" w:cs="Arial"/>
          <w:sz w:val="22"/>
          <w:szCs w:val="22"/>
        </w:rPr>
      </w:pPr>
      <w:r w:rsidRPr="00624B3F">
        <w:rPr>
          <w:rStyle w:val="Strong"/>
          <w:rFonts w:ascii="Arial" w:hAnsi="Arial" w:cs="Arial"/>
          <w:sz w:val="22"/>
          <w:szCs w:val="22"/>
        </w:rPr>
        <w:lastRenderedPageBreak/>
        <w:t>Epidemiology, Monitoring and Control of Tuberculosis</w:t>
      </w:r>
    </w:p>
    <w:p w14:paraId="22FC67C0" w14:textId="77777777" w:rsidR="00624B3F" w:rsidRPr="00624B3F" w:rsidRDefault="00624B3F" w:rsidP="00624B3F">
      <w:pPr>
        <w:pStyle w:val="whitespace-pre-wrap"/>
        <w:spacing w:line="360" w:lineRule="auto"/>
        <w:rPr>
          <w:rFonts w:ascii="Arial" w:hAnsi="Arial" w:cs="Arial"/>
          <w:sz w:val="22"/>
          <w:szCs w:val="22"/>
        </w:rPr>
      </w:pPr>
      <w:r w:rsidRPr="00624B3F">
        <w:rPr>
          <w:rFonts w:ascii="Arial" w:hAnsi="Arial" w:cs="Arial"/>
          <w:sz w:val="22"/>
          <w:szCs w:val="22"/>
        </w:rPr>
        <w:t>Tuberculosis (TB) is an airborne infectious disease caused by Mycobacterium tuberculosis. In 2020, an estimated 10 million people fell ill with TB worldwide and 1.5 million died (WHO, 2021). TB incidence is declining globally at a rate of 2% per year. However, drug-resistant TB is a concern and 10% of cases are co-infected with HIV.</w:t>
      </w:r>
    </w:p>
    <w:p w14:paraId="4824FF6D" w14:textId="77777777" w:rsidR="00624B3F" w:rsidRPr="00624B3F" w:rsidRDefault="00624B3F" w:rsidP="00624B3F">
      <w:pPr>
        <w:pStyle w:val="whitespace-pre-wrap"/>
        <w:spacing w:line="360" w:lineRule="auto"/>
        <w:rPr>
          <w:rFonts w:ascii="Arial" w:hAnsi="Arial" w:cs="Arial"/>
          <w:sz w:val="22"/>
          <w:szCs w:val="22"/>
        </w:rPr>
      </w:pPr>
      <w:r w:rsidRPr="00624B3F">
        <w:rPr>
          <w:rFonts w:ascii="Arial" w:hAnsi="Arial" w:cs="Arial"/>
          <w:sz w:val="22"/>
          <w:szCs w:val="22"/>
        </w:rPr>
        <w:t>In England, 5,102 TB cases were reported in 2020, a 6.4% decline from 2019 (Public Health England, 2021). London has the highest TB rates, reflecting its ethnically diverse population with immigrant communities from high TB prevalence countries. England follows WHO recommendations for TB control with the BCG vaccine at age 14, screening programmes for high-risk groups, directly observed therapy, and contact tracing (NHS England, 2022). Data comes from statutory notifications, laboratory reports, clinician reports, and hospital admissions. Under the Collaborative Tuberculosis Strategy, TB services are commissioned nationally to enable equitable access (NHS England, 2015).</w:t>
      </w:r>
    </w:p>
    <w:p w14:paraId="4E67C7CC" w14:textId="637A58CF" w:rsidR="00624B3F" w:rsidRPr="00624B3F" w:rsidRDefault="00624B3F" w:rsidP="00624B3F">
      <w:pPr>
        <w:pStyle w:val="whitespace-pre-wrap"/>
        <w:spacing w:line="360" w:lineRule="auto"/>
        <w:rPr>
          <w:rFonts w:ascii="Arial" w:hAnsi="Arial" w:cs="Arial"/>
          <w:sz w:val="22"/>
          <w:szCs w:val="22"/>
        </w:rPr>
      </w:pPr>
      <w:r w:rsidRPr="00624B3F">
        <w:rPr>
          <w:rFonts w:ascii="Arial" w:hAnsi="Arial" w:cs="Arial"/>
          <w:sz w:val="22"/>
          <w:szCs w:val="22"/>
        </w:rPr>
        <w:t xml:space="preserve">Globally, the WHO End TB Strategy aims to reduce deaths and incidence by 90% and 80% respectively between 2015-2035 (WHO, 2022). Key components are integrated patient care, bold policies and supportive systems, and intensified research and innovation. The Sustainable Development Goals also include TB milestones of treating 40 million people by 2022 and achieving universal health coverage. WHO assists countries in implementing the WHO End TB Strategy's pillars of integrated, </w:t>
      </w:r>
      <w:r w:rsidR="00F36777">
        <w:rPr>
          <w:rFonts w:ascii="Arial" w:hAnsi="Arial" w:cs="Arial"/>
          <w:sz w:val="22"/>
          <w:szCs w:val="22"/>
        </w:rPr>
        <w:t>P</w:t>
      </w:r>
      <w:r w:rsidRPr="00624B3F">
        <w:rPr>
          <w:rFonts w:ascii="Arial" w:hAnsi="Arial" w:cs="Arial"/>
          <w:sz w:val="22"/>
          <w:szCs w:val="22"/>
        </w:rPr>
        <w:t>atient-</w:t>
      </w:r>
      <w:proofErr w:type="spellStart"/>
      <w:r w:rsidR="00F36777">
        <w:rPr>
          <w:rFonts w:ascii="Arial" w:hAnsi="Arial" w:cs="Arial"/>
          <w:sz w:val="22"/>
          <w:szCs w:val="22"/>
        </w:rPr>
        <w:t>C</w:t>
      </w:r>
      <w:r w:rsidRPr="00624B3F">
        <w:rPr>
          <w:rFonts w:ascii="Arial" w:hAnsi="Arial" w:cs="Arial"/>
          <w:sz w:val="22"/>
          <w:szCs w:val="22"/>
        </w:rPr>
        <w:t>entered</w:t>
      </w:r>
      <w:proofErr w:type="spellEnd"/>
      <w:r w:rsidRPr="00624B3F">
        <w:rPr>
          <w:rFonts w:ascii="Arial" w:hAnsi="Arial" w:cs="Arial"/>
          <w:sz w:val="22"/>
          <w:szCs w:val="22"/>
        </w:rPr>
        <w:t xml:space="preserve"> care and prevention; bold policies and supportive systems; and intensified research and innovation. However, progress is off track globally, especially in low-income regions with limited health system capacities. Accelerated political and financial commitments are required to reach End TB goals.</w:t>
      </w:r>
    </w:p>
    <w:p w14:paraId="7E68B6B8" w14:textId="77777777" w:rsidR="00624B3F" w:rsidRPr="00624B3F" w:rsidRDefault="00624B3F" w:rsidP="00624B3F">
      <w:pPr>
        <w:pStyle w:val="whitespace-pre-wrap"/>
        <w:spacing w:line="360" w:lineRule="auto"/>
        <w:rPr>
          <w:rFonts w:ascii="Arial" w:hAnsi="Arial" w:cs="Arial"/>
          <w:sz w:val="22"/>
          <w:szCs w:val="22"/>
        </w:rPr>
      </w:pPr>
      <w:r w:rsidRPr="00624B3F">
        <w:rPr>
          <w:rStyle w:val="Strong"/>
          <w:rFonts w:ascii="Arial" w:hAnsi="Arial" w:cs="Arial"/>
          <w:sz w:val="22"/>
          <w:szCs w:val="22"/>
        </w:rPr>
        <w:t>Short-Term Consequences of TB in Health and Social Care</w:t>
      </w:r>
    </w:p>
    <w:p w14:paraId="1236BA57" w14:textId="77777777" w:rsidR="00624B3F" w:rsidRPr="00624B3F" w:rsidRDefault="00624B3F" w:rsidP="00624B3F">
      <w:pPr>
        <w:pStyle w:val="whitespace-pre-wrap"/>
        <w:spacing w:line="360" w:lineRule="auto"/>
        <w:rPr>
          <w:rFonts w:ascii="Arial" w:hAnsi="Arial" w:cs="Arial"/>
          <w:sz w:val="22"/>
          <w:szCs w:val="22"/>
        </w:rPr>
      </w:pPr>
      <w:r w:rsidRPr="00624B3F">
        <w:rPr>
          <w:rFonts w:ascii="Arial" w:hAnsi="Arial" w:cs="Arial"/>
          <w:sz w:val="22"/>
          <w:szCs w:val="22"/>
        </w:rPr>
        <w:t xml:space="preserve">TB can have significant short-term impacts on individuals and public health. Pulmonary TB causes cough, fever, night sweats, weight loss, and </w:t>
      </w:r>
      <w:proofErr w:type="spellStart"/>
      <w:r w:rsidRPr="00624B3F">
        <w:rPr>
          <w:rFonts w:ascii="Arial" w:hAnsi="Arial" w:cs="Arial"/>
          <w:sz w:val="22"/>
          <w:szCs w:val="22"/>
        </w:rPr>
        <w:t>hemoptysis</w:t>
      </w:r>
      <w:proofErr w:type="spellEnd"/>
      <w:r w:rsidRPr="00624B3F">
        <w:rPr>
          <w:rFonts w:ascii="Arial" w:hAnsi="Arial" w:cs="Arial"/>
          <w:sz w:val="22"/>
          <w:szCs w:val="22"/>
        </w:rPr>
        <w:t>, which disrupt normal functioning (NHS, 2018). Hospitalization may be required for severe cases. Multidrug-resistant TB requires long, complex treatment regimens. Contact tracing is undertaken to find cases early. Patients are isolated until no longer infectious to prevent further transmission. Isolation can negatively impact mental health. Hearing loss and liver toxicity are potential side effects of medications.</w:t>
      </w:r>
    </w:p>
    <w:p w14:paraId="58975B12" w14:textId="77777777" w:rsidR="00624B3F" w:rsidRPr="00624B3F" w:rsidRDefault="00624B3F" w:rsidP="00624B3F">
      <w:pPr>
        <w:pStyle w:val="whitespace-pre-wrap"/>
        <w:spacing w:line="360" w:lineRule="auto"/>
        <w:rPr>
          <w:rFonts w:ascii="Arial" w:hAnsi="Arial" w:cs="Arial"/>
          <w:sz w:val="22"/>
          <w:szCs w:val="22"/>
        </w:rPr>
      </w:pPr>
      <w:r w:rsidRPr="00624B3F">
        <w:rPr>
          <w:rFonts w:ascii="Arial" w:hAnsi="Arial" w:cs="Arial"/>
          <w:sz w:val="22"/>
          <w:szCs w:val="22"/>
        </w:rPr>
        <w:t xml:space="preserve">At a system level, TB outbreaks like those in care homes strain resources (Baker et al., 2018). Staff exposures require screening and treatment if infected. Isolating infectious </w:t>
      </w:r>
      <w:r w:rsidRPr="00624B3F">
        <w:rPr>
          <w:rFonts w:ascii="Arial" w:hAnsi="Arial" w:cs="Arial"/>
          <w:sz w:val="22"/>
          <w:szCs w:val="22"/>
        </w:rPr>
        <w:lastRenderedPageBreak/>
        <w:t>patients is challenging in overcrowded facilities. Longer hospital stays for drug-resistant TB have substantial costs. Discharges may be delayed until patients are non-infectious. From a public health perspective, losing patients to follow up impedes monitoring and increases risks of drug resistance and continued transmission.</w:t>
      </w:r>
    </w:p>
    <w:p w14:paraId="418D959C" w14:textId="77777777" w:rsidR="00624B3F" w:rsidRPr="00624B3F" w:rsidRDefault="00624B3F" w:rsidP="00624B3F">
      <w:pPr>
        <w:pStyle w:val="whitespace-pre-wrap"/>
        <w:spacing w:line="360" w:lineRule="auto"/>
        <w:rPr>
          <w:rFonts w:ascii="Arial" w:hAnsi="Arial" w:cs="Arial"/>
          <w:sz w:val="22"/>
          <w:szCs w:val="22"/>
        </w:rPr>
      </w:pPr>
      <w:r w:rsidRPr="00624B3F">
        <w:rPr>
          <w:rFonts w:ascii="Arial" w:hAnsi="Arial" w:cs="Arial"/>
          <w:sz w:val="22"/>
          <w:szCs w:val="22"/>
        </w:rPr>
        <w:t xml:space="preserve">Social isolation and stigma are concerns for patients (Craig et al., 2020). Adverse effects like hearing loss from medications reduce quality of life. Loss of income during treatment may lead to financial instability and reliance on benefits. TB also disproportionately affects marginalized groups like the homeless, migrants, prisoners and those with HIV co-infection or substance use disorders, exacerbating existing inequalities (Public Health England, 2021). Stigma prevents health-seeking </w:t>
      </w:r>
      <w:proofErr w:type="spellStart"/>
      <w:r w:rsidRPr="00624B3F">
        <w:rPr>
          <w:rFonts w:ascii="Arial" w:hAnsi="Arial" w:cs="Arial"/>
          <w:sz w:val="22"/>
          <w:szCs w:val="22"/>
        </w:rPr>
        <w:t>behavior</w:t>
      </w:r>
      <w:proofErr w:type="spellEnd"/>
      <w:r w:rsidRPr="00624B3F">
        <w:rPr>
          <w:rFonts w:ascii="Arial" w:hAnsi="Arial" w:cs="Arial"/>
          <w:sz w:val="22"/>
          <w:szCs w:val="22"/>
        </w:rPr>
        <w:t xml:space="preserve"> and adherence to treatment. A human rights approach is essential to enable equitable prevention and care.</w:t>
      </w:r>
    </w:p>
    <w:p w14:paraId="6FB153DE" w14:textId="77777777" w:rsidR="00624B3F" w:rsidRPr="00624B3F" w:rsidRDefault="00624B3F" w:rsidP="00624B3F">
      <w:pPr>
        <w:pStyle w:val="whitespace-pre-wrap"/>
        <w:spacing w:line="360" w:lineRule="auto"/>
        <w:rPr>
          <w:rFonts w:ascii="Arial" w:hAnsi="Arial" w:cs="Arial"/>
          <w:sz w:val="22"/>
          <w:szCs w:val="22"/>
        </w:rPr>
      </w:pPr>
      <w:r w:rsidRPr="00624B3F">
        <w:rPr>
          <w:rStyle w:val="Strong"/>
          <w:rFonts w:ascii="Arial" w:hAnsi="Arial" w:cs="Arial"/>
          <w:sz w:val="22"/>
          <w:szCs w:val="22"/>
        </w:rPr>
        <w:t>UK Strategies, Systems and Policies for TB Management</w:t>
      </w:r>
    </w:p>
    <w:p w14:paraId="00EB4F75" w14:textId="77777777" w:rsidR="00624B3F" w:rsidRPr="00624B3F" w:rsidRDefault="00624B3F" w:rsidP="00624B3F">
      <w:pPr>
        <w:pStyle w:val="whitespace-pre-wrap"/>
        <w:spacing w:line="360" w:lineRule="auto"/>
        <w:rPr>
          <w:rFonts w:ascii="Arial" w:hAnsi="Arial" w:cs="Arial"/>
          <w:sz w:val="22"/>
          <w:szCs w:val="22"/>
        </w:rPr>
      </w:pPr>
      <w:r w:rsidRPr="00624B3F">
        <w:rPr>
          <w:rFonts w:ascii="Arial" w:hAnsi="Arial" w:cs="Arial"/>
          <w:sz w:val="22"/>
          <w:szCs w:val="22"/>
        </w:rPr>
        <w:t>The UK Collaborative Tuberculosis Strategy outlines the government’s approach to TB prevention and control from 2015-2020, structured around the coordinated commissioning of TB services (NHS England, 2015). The goal is early diagnosis and effective treatment to reduce TB incidence and mortality. Strategic objectives are preventing disease transmission, reducing deaths and suffering, improving patient experience, and maximizing value from TB control measures.</w:t>
      </w:r>
    </w:p>
    <w:p w14:paraId="5E53ECE1" w14:textId="77777777" w:rsidR="00624B3F" w:rsidRPr="00624B3F" w:rsidRDefault="00624B3F" w:rsidP="00624B3F">
      <w:pPr>
        <w:pStyle w:val="whitespace-pre-wrap"/>
        <w:spacing w:line="360" w:lineRule="auto"/>
        <w:rPr>
          <w:rFonts w:ascii="Arial" w:hAnsi="Arial" w:cs="Arial"/>
          <w:sz w:val="22"/>
          <w:szCs w:val="22"/>
        </w:rPr>
      </w:pPr>
      <w:r w:rsidRPr="00624B3F">
        <w:rPr>
          <w:rFonts w:ascii="Arial" w:hAnsi="Arial" w:cs="Arial"/>
          <w:sz w:val="22"/>
          <w:szCs w:val="22"/>
        </w:rPr>
        <w:t xml:space="preserve">Centralized commissioning enables consistent, high-quality services. Public Health England oversees screening, data collection, </w:t>
      </w:r>
      <w:proofErr w:type="gramStart"/>
      <w:r w:rsidRPr="00624B3F">
        <w:rPr>
          <w:rFonts w:ascii="Arial" w:hAnsi="Arial" w:cs="Arial"/>
          <w:sz w:val="22"/>
          <w:szCs w:val="22"/>
        </w:rPr>
        <w:t>monitoring</w:t>
      </w:r>
      <w:proofErr w:type="gramEnd"/>
      <w:r w:rsidRPr="00624B3F">
        <w:rPr>
          <w:rFonts w:ascii="Arial" w:hAnsi="Arial" w:cs="Arial"/>
          <w:sz w:val="22"/>
          <w:szCs w:val="22"/>
        </w:rPr>
        <w:t xml:space="preserve"> and evaluation. Robust surveillance, including whole genome sequencing, underpins prevention and control efforts. Services take a patient-</w:t>
      </w:r>
      <w:proofErr w:type="spellStart"/>
      <w:r w:rsidRPr="00624B3F">
        <w:rPr>
          <w:rFonts w:ascii="Arial" w:hAnsi="Arial" w:cs="Arial"/>
          <w:sz w:val="22"/>
          <w:szCs w:val="22"/>
        </w:rPr>
        <w:t>centered</w:t>
      </w:r>
      <w:proofErr w:type="spellEnd"/>
      <w:r w:rsidRPr="00624B3F">
        <w:rPr>
          <w:rFonts w:ascii="Arial" w:hAnsi="Arial" w:cs="Arial"/>
          <w:sz w:val="22"/>
          <w:szCs w:val="22"/>
        </w:rPr>
        <w:t xml:space="preserve"> approach focused on active case-finding, treatment adherence support, and managing complex needs. Specialist physicians and nurses provide continuity of care (NHS England, 2015). The TB service specification requires culturally competent care for diverse populations. Partnerships between health, social care, voluntary </w:t>
      </w:r>
      <w:proofErr w:type="gramStart"/>
      <w:r w:rsidRPr="00624B3F">
        <w:rPr>
          <w:rFonts w:ascii="Arial" w:hAnsi="Arial" w:cs="Arial"/>
          <w:sz w:val="22"/>
          <w:szCs w:val="22"/>
        </w:rPr>
        <w:t>organizations</w:t>
      </w:r>
      <w:proofErr w:type="gramEnd"/>
      <w:r w:rsidRPr="00624B3F">
        <w:rPr>
          <w:rFonts w:ascii="Arial" w:hAnsi="Arial" w:cs="Arial"/>
          <w:sz w:val="22"/>
          <w:szCs w:val="22"/>
        </w:rPr>
        <w:t xml:space="preserve"> and communities aim to reduce stigma and marginalization.</w:t>
      </w:r>
    </w:p>
    <w:p w14:paraId="54B3687A" w14:textId="77777777" w:rsidR="00624B3F" w:rsidRPr="00624B3F" w:rsidRDefault="00624B3F" w:rsidP="00624B3F">
      <w:pPr>
        <w:pStyle w:val="whitespace-pre-wrap"/>
        <w:spacing w:line="360" w:lineRule="auto"/>
        <w:rPr>
          <w:rFonts w:ascii="Arial" w:hAnsi="Arial" w:cs="Arial"/>
          <w:sz w:val="22"/>
          <w:szCs w:val="22"/>
        </w:rPr>
      </w:pPr>
      <w:r w:rsidRPr="00624B3F">
        <w:rPr>
          <w:rFonts w:ascii="Arial" w:hAnsi="Arial" w:cs="Arial"/>
          <w:sz w:val="22"/>
          <w:szCs w:val="22"/>
        </w:rPr>
        <w:t>Overall, the UK strategy aligns with global End TB goals through coordinated leadership, financing, surveillance and integrated, quality care for patients. Continued focus is required on reaching underserved groups, emerging drug resistance, social determinants and reducing stigma. Sustained investments and policy commitments are essential post-2020 to maintain progress and ultimately eliminate TB as a public health threat.</w:t>
      </w:r>
    </w:p>
    <w:p w14:paraId="2807ECA9" w14:textId="77777777" w:rsidR="00624B3F" w:rsidRDefault="00624B3F" w:rsidP="00624B3F">
      <w:pPr>
        <w:pStyle w:val="whitespace-pre-wrap"/>
        <w:spacing w:line="360" w:lineRule="auto"/>
        <w:rPr>
          <w:rStyle w:val="Strong"/>
          <w:rFonts w:ascii="Arial" w:hAnsi="Arial" w:cs="Arial"/>
          <w:sz w:val="22"/>
          <w:szCs w:val="22"/>
        </w:rPr>
      </w:pPr>
    </w:p>
    <w:p w14:paraId="7CF141A8" w14:textId="77777777" w:rsidR="00624B3F" w:rsidRDefault="00624B3F" w:rsidP="00624B3F">
      <w:pPr>
        <w:pStyle w:val="whitespace-pre-wrap"/>
        <w:spacing w:line="360" w:lineRule="auto"/>
        <w:rPr>
          <w:rStyle w:val="Strong"/>
          <w:rFonts w:ascii="Arial" w:hAnsi="Arial" w:cs="Arial"/>
          <w:sz w:val="22"/>
          <w:szCs w:val="22"/>
        </w:rPr>
      </w:pPr>
    </w:p>
    <w:p w14:paraId="01BBF57A" w14:textId="530EE197" w:rsidR="00624B3F" w:rsidRPr="00624B3F" w:rsidRDefault="00624B3F" w:rsidP="00624B3F">
      <w:pPr>
        <w:pStyle w:val="whitespace-pre-wrap"/>
        <w:spacing w:line="360" w:lineRule="auto"/>
        <w:rPr>
          <w:rFonts w:ascii="Arial" w:hAnsi="Arial" w:cs="Arial"/>
          <w:sz w:val="22"/>
          <w:szCs w:val="22"/>
        </w:rPr>
      </w:pPr>
      <w:r w:rsidRPr="00624B3F">
        <w:rPr>
          <w:rStyle w:val="Strong"/>
          <w:rFonts w:ascii="Arial" w:hAnsi="Arial" w:cs="Arial"/>
          <w:sz w:val="22"/>
          <w:szCs w:val="22"/>
        </w:rPr>
        <w:t>Conclusion</w:t>
      </w:r>
    </w:p>
    <w:p w14:paraId="22C5050A" w14:textId="77777777" w:rsidR="00624B3F" w:rsidRDefault="00624B3F" w:rsidP="00624B3F">
      <w:pPr>
        <w:pStyle w:val="whitespace-pre-wrap"/>
        <w:spacing w:line="360" w:lineRule="auto"/>
        <w:rPr>
          <w:rFonts w:ascii="Arial" w:hAnsi="Arial" w:cs="Arial"/>
          <w:sz w:val="22"/>
          <w:szCs w:val="22"/>
        </w:rPr>
      </w:pPr>
      <w:r w:rsidRPr="00624B3F">
        <w:rPr>
          <w:rFonts w:ascii="Arial" w:hAnsi="Arial" w:cs="Arial"/>
          <w:sz w:val="22"/>
          <w:szCs w:val="22"/>
        </w:rPr>
        <w:t xml:space="preserve">Infectious diseases remain major health threats that require vigilant surveillance and evidence-based control measures. TB exemplifies the public health impacts of infectious diseases. While declining in the UK, ongoing investments in surveillance, accessible services, treatment innovations and addressing social determinants are needed to achieve elimination goals. This report has outlined current UK and global strategies for monitoring, </w:t>
      </w:r>
      <w:proofErr w:type="gramStart"/>
      <w:r w:rsidRPr="00624B3F">
        <w:rPr>
          <w:rFonts w:ascii="Arial" w:hAnsi="Arial" w:cs="Arial"/>
          <w:sz w:val="22"/>
          <w:szCs w:val="22"/>
        </w:rPr>
        <w:t>controlling</w:t>
      </w:r>
      <w:proofErr w:type="gramEnd"/>
      <w:r w:rsidRPr="00624B3F">
        <w:rPr>
          <w:rFonts w:ascii="Arial" w:hAnsi="Arial" w:cs="Arial"/>
          <w:sz w:val="22"/>
          <w:szCs w:val="22"/>
        </w:rPr>
        <w:t xml:space="preserve"> and managing TB. Key points included the central role of surveillance, public health interventions like vaccination, and TB’s health and social consequences. The UK’s approach centres on high-quality integrated TB services and addressing needs of marginalized groups. Continued progress is required worldwide, guided by coordinated global strategies like the WHO End TB Strategy. Political commitment, funding, emerging technology and tackling stigma and inequities are critical to ending TB in the UK and globally.</w:t>
      </w:r>
    </w:p>
    <w:p w14:paraId="783A3021" w14:textId="77777777" w:rsidR="00624B3F" w:rsidRDefault="00624B3F" w:rsidP="00624B3F">
      <w:pPr>
        <w:pStyle w:val="whitespace-pre-wrap"/>
        <w:spacing w:line="360" w:lineRule="auto"/>
        <w:rPr>
          <w:rFonts w:ascii="Arial" w:hAnsi="Arial" w:cs="Arial"/>
          <w:sz w:val="22"/>
          <w:szCs w:val="22"/>
        </w:rPr>
      </w:pPr>
    </w:p>
    <w:p w14:paraId="42E7631A" w14:textId="77777777" w:rsidR="00624B3F" w:rsidRDefault="00624B3F" w:rsidP="00624B3F">
      <w:pPr>
        <w:pStyle w:val="whitespace-pre-wrap"/>
        <w:spacing w:line="360" w:lineRule="auto"/>
        <w:rPr>
          <w:rFonts w:ascii="Arial" w:hAnsi="Arial" w:cs="Arial"/>
          <w:sz w:val="22"/>
          <w:szCs w:val="22"/>
        </w:rPr>
      </w:pPr>
    </w:p>
    <w:p w14:paraId="277E46D8" w14:textId="77777777" w:rsidR="00624B3F" w:rsidRDefault="00624B3F" w:rsidP="00624B3F">
      <w:pPr>
        <w:pStyle w:val="whitespace-pre-wrap"/>
        <w:spacing w:line="360" w:lineRule="auto"/>
        <w:rPr>
          <w:rFonts w:ascii="Arial" w:hAnsi="Arial" w:cs="Arial"/>
          <w:sz w:val="22"/>
          <w:szCs w:val="22"/>
        </w:rPr>
      </w:pPr>
    </w:p>
    <w:p w14:paraId="26473AC5" w14:textId="77777777" w:rsidR="00624B3F" w:rsidRDefault="00624B3F" w:rsidP="00624B3F">
      <w:pPr>
        <w:pStyle w:val="whitespace-pre-wrap"/>
        <w:spacing w:line="360" w:lineRule="auto"/>
        <w:rPr>
          <w:rFonts w:ascii="Arial" w:hAnsi="Arial" w:cs="Arial"/>
          <w:sz w:val="22"/>
          <w:szCs w:val="22"/>
        </w:rPr>
      </w:pPr>
    </w:p>
    <w:p w14:paraId="2B488C40" w14:textId="77777777" w:rsidR="00624B3F" w:rsidRDefault="00624B3F" w:rsidP="00624B3F">
      <w:pPr>
        <w:pStyle w:val="whitespace-pre-wrap"/>
        <w:spacing w:line="360" w:lineRule="auto"/>
        <w:rPr>
          <w:rFonts w:ascii="Arial" w:hAnsi="Arial" w:cs="Arial"/>
          <w:sz w:val="22"/>
          <w:szCs w:val="22"/>
        </w:rPr>
      </w:pPr>
    </w:p>
    <w:p w14:paraId="44E50D53" w14:textId="77777777" w:rsidR="00624B3F" w:rsidRDefault="00624B3F" w:rsidP="00624B3F">
      <w:pPr>
        <w:pStyle w:val="whitespace-pre-wrap"/>
        <w:spacing w:line="360" w:lineRule="auto"/>
        <w:rPr>
          <w:rFonts w:ascii="Arial" w:hAnsi="Arial" w:cs="Arial"/>
          <w:sz w:val="22"/>
          <w:szCs w:val="22"/>
        </w:rPr>
      </w:pPr>
    </w:p>
    <w:p w14:paraId="16EB3B81" w14:textId="77777777" w:rsidR="00624B3F" w:rsidRDefault="00624B3F" w:rsidP="00624B3F">
      <w:pPr>
        <w:pStyle w:val="whitespace-pre-wrap"/>
        <w:spacing w:line="360" w:lineRule="auto"/>
        <w:rPr>
          <w:rFonts w:ascii="Arial" w:hAnsi="Arial" w:cs="Arial"/>
          <w:sz w:val="22"/>
          <w:szCs w:val="22"/>
        </w:rPr>
      </w:pPr>
    </w:p>
    <w:p w14:paraId="66524916" w14:textId="77777777" w:rsidR="00624B3F" w:rsidRDefault="00624B3F" w:rsidP="00624B3F">
      <w:pPr>
        <w:pStyle w:val="whitespace-pre-wrap"/>
        <w:spacing w:line="360" w:lineRule="auto"/>
        <w:rPr>
          <w:rFonts w:ascii="Arial" w:hAnsi="Arial" w:cs="Arial"/>
          <w:sz w:val="22"/>
          <w:szCs w:val="22"/>
        </w:rPr>
      </w:pPr>
    </w:p>
    <w:p w14:paraId="63367CFB" w14:textId="77777777" w:rsidR="00624B3F" w:rsidRDefault="00624B3F" w:rsidP="00624B3F">
      <w:pPr>
        <w:pStyle w:val="whitespace-pre-wrap"/>
        <w:spacing w:line="360" w:lineRule="auto"/>
        <w:rPr>
          <w:rFonts w:ascii="Arial" w:hAnsi="Arial" w:cs="Arial"/>
          <w:sz w:val="22"/>
          <w:szCs w:val="22"/>
        </w:rPr>
      </w:pPr>
    </w:p>
    <w:p w14:paraId="1EF2BCC0" w14:textId="77777777" w:rsidR="00624B3F" w:rsidRDefault="00624B3F" w:rsidP="00624B3F">
      <w:pPr>
        <w:pStyle w:val="whitespace-pre-wrap"/>
        <w:spacing w:line="360" w:lineRule="auto"/>
        <w:rPr>
          <w:rFonts w:ascii="Arial" w:hAnsi="Arial" w:cs="Arial"/>
          <w:sz w:val="22"/>
          <w:szCs w:val="22"/>
        </w:rPr>
      </w:pPr>
    </w:p>
    <w:p w14:paraId="0C2DAF9C" w14:textId="77777777" w:rsidR="00624B3F" w:rsidRDefault="00624B3F" w:rsidP="00624B3F">
      <w:pPr>
        <w:pStyle w:val="whitespace-pre-wrap"/>
        <w:rPr>
          <w:rFonts w:ascii="Arial" w:hAnsi="Arial" w:cs="Arial"/>
          <w:sz w:val="22"/>
          <w:szCs w:val="22"/>
        </w:rPr>
      </w:pPr>
    </w:p>
    <w:p w14:paraId="55B8114C" w14:textId="77777777" w:rsidR="00F36777" w:rsidRPr="00624B3F" w:rsidRDefault="00F36777" w:rsidP="00624B3F">
      <w:pPr>
        <w:pStyle w:val="whitespace-pre-wrap"/>
        <w:rPr>
          <w:rFonts w:ascii="Arial" w:hAnsi="Arial" w:cs="Arial"/>
          <w:sz w:val="22"/>
          <w:szCs w:val="22"/>
        </w:rPr>
      </w:pPr>
    </w:p>
    <w:p w14:paraId="7B5F218E" w14:textId="77777777" w:rsidR="00624B3F" w:rsidRDefault="00624B3F" w:rsidP="00624B3F">
      <w:pPr>
        <w:pStyle w:val="whitespace-pre-wrap"/>
      </w:pPr>
      <w:r>
        <w:rPr>
          <w:rStyle w:val="Strong"/>
        </w:rPr>
        <w:lastRenderedPageBreak/>
        <w:t>References</w:t>
      </w:r>
    </w:p>
    <w:p w14:paraId="0B973C06" w14:textId="77777777" w:rsidR="00624B3F" w:rsidRDefault="00624B3F" w:rsidP="00624B3F">
      <w:pPr>
        <w:pStyle w:val="whitespace-pre-wrap"/>
      </w:pPr>
      <w:r>
        <w:t xml:space="preserve">Andre, F.E., </w:t>
      </w:r>
      <w:proofErr w:type="spellStart"/>
      <w:r>
        <w:t>Booy</w:t>
      </w:r>
      <w:proofErr w:type="spellEnd"/>
      <w:r>
        <w:t xml:space="preserve">, R., Bock, H.L., Clemens, J., Datta, S.K., John, T.J., Lee, B.W., </w:t>
      </w:r>
      <w:proofErr w:type="spellStart"/>
      <w:r>
        <w:t>Lolekha</w:t>
      </w:r>
      <w:proofErr w:type="spellEnd"/>
      <w:r>
        <w:t xml:space="preserve">, S., </w:t>
      </w:r>
      <w:proofErr w:type="spellStart"/>
      <w:r>
        <w:t>Peltola</w:t>
      </w:r>
      <w:proofErr w:type="spellEnd"/>
      <w:r>
        <w:t xml:space="preserve">, H., Ruff, T.A., </w:t>
      </w:r>
      <w:proofErr w:type="spellStart"/>
      <w:r>
        <w:t>Santosham</w:t>
      </w:r>
      <w:proofErr w:type="spellEnd"/>
      <w:r>
        <w:t xml:space="preserve">, M. and Schmitt, H.J., 2008. Vaccination greatly reduces disease, disability, </w:t>
      </w:r>
      <w:proofErr w:type="gramStart"/>
      <w:r>
        <w:t>death</w:t>
      </w:r>
      <w:proofErr w:type="gramEnd"/>
      <w:r>
        <w:t xml:space="preserve"> and inequity worldwide. Bulletin of the World Health Organization, 86(2), pp.140-146.</w:t>
      </w:r>
    </w:p>
    <w:p w14:paraId="43E67A56" w14:textId="77777777" w:rsidR="00624B3F" w:rsidRDefault="00624B3F" w:rsidP="00624B3F">
      <w:pPr>
        <w:pStyle w:val="whitespace-pre-wrap"/>
      </w:pPr>
      <w:r>
        <w:t>Baker, M., Das, D., Venugopal, K. and Howden-Chapman, P., 2018. Tuberculosis associated with household crowding in a developed country. Journal of epidemiology and community health, 72(8), pp.715-721.</w:t>
      </w:r>
    </w:p>
    <w:p w14:paraId="7BF00C01" w14:textId="77777777" w:rsidR="00624B3F" w:rsidRDefault="00624B3F" w:rsidP="00624B3F">
      <w:pPr>
        <w:pStyle w:val="whitespace-pre-wrap"/>
      </w:pPr>
      <w:r>
        <w:t xml:space="preserve">Craig, G.M., Daftary, A., Engel, N., O’Driscoll, S. and </w:t>
      </w:r>
      <w:proofErr w:type="spellStart"/>
      <w:r>
        <w:t>Ioannaki</w:t>
      </w:r>
      <w:proofErr w:type="spellEnd"/>
      <w:r>
        <w:t>, A., 2017. Tuberculosis stigma as a social determinant of health: a systematic mapping review of research in low incidence countries. The International Journal of Tuberculosis and Lung Disease, 21(7), pp.720-730.</w:t>
      </w:r>
    </w:p>
    <w:p w14:paraId="43098F9A" w14:textId="61964845" w:rsidR="00624B3F" w:rsidRDefault="00624B3F" w:rsidP="00624B3F">
      <w:pPr>
        <w:pStyle w:val="whitespace-pre-wrap"/>
      </w:pPr>
      <w:r>
        <w:t xml:space="preserve">NHS, 2018. Tuberculosis (TB). [online] NHS Choices. Available at: </w:t>
      </w:r>
      <w:hyperlink r:id="rId6" w:history="1">
        <w:r>
          <w:rPr>
            <w:rStyle w:val="Hyperlink"/>
          </w:rPr>
          <w:t>https://www.nhs.uk/conditions/tuberculosis-tb/</w:t>
        </w:r>
      </w:hyperlink>
      <w:r>
        <w:t xml:space="preserve"> [Accessed 1 </w:t>
      </w:r>
      <w:r w:rsidR="00F36777">
        <w:t>July</w:t>
      </w:r>
      <w:r>
        <w:t xml:space="preserve"> 2023].</w:t>
      </w:r>
    </w:p>
    <w:p w14:paraId="60D6EFEB" w14:textId="23A24B20" w:rsidR="00624B3F" w:rsidRDefault="00624B3F" w:rsidP="00624B3F">
      <w:pPr>
        <w:pStyle w:val="whitespace-pre-wrap"/>
      </w:pPr>
      <w:r>
        <w:t xml:space="preserve">NHS England, 2015. Collaborative Tuberculosis Strategy for England 2015 to 2020. [online] Available at: </w:t>
      </w:r>
      <w:hyperlink r:id="rId7" w:history="1">
        <w:r>
          <w:rPr>
            <w:rStyle w:val="Hyperlink"/>
          </w:rPr>
          <w:t>https://www.england.nhs.uk/wp-content/uploads/2015/04/collab-tb-strategy.pdf</w:t>
        </w:r>
      </w:hyperlink>
      <w:r>
        <w:t xml:space="preserve"> [Accessed 1 </w:t>
      </w:r>
      <w:r w:rsidR="00F36777">
        <w:t>July</w:t>
      </w:r>
      <w:r>
        <w:t xml:space="preserve"> 2023].</w:t>
      </w:r>
    </w:p>
    <w:p w14:paraId="30BEF692" w14:textId="38CD45D0" w:rsidR="00624B3F" w:rsidRDefault="00624B3F" w:rsidP="00624B3F">
      <w:pPr>
        <w:pStyle w:val="whitespace-pre-wrap"/>
      </w:pPr>
      <w:r>
        <w:t xml:space="preserve">Public Health England, 2020. Health protection: Infectious diseases - detailed information. [online] GOV.UK. Available at: </w:t>
      </w:r>
      <w:hyperlink r:id="rId8" w:anchor="surveillance-of-infectious-diseases" w:history="1">
        <w:r>
          <w:rPr>
            <w:rStyle w:val="Hyperlink"/>
          </w:rPr>
          <w:t>https://www.gov.uk/guidance/health-protection-infectious-diseases-detailed-information#surveillance-of-infectious-diseases</w:t>
        </w:r>
      </w:hyperlink>
      <w:r>
        <w:t xml:space="preserve"> [Accessed 1 </w:t>
      </w:r>
      <w:r w:rsidR="00F36777">
        <w:t>June</w:t>
      </w:r>
      <w:r>
        <w:t xml:space="preserve"> 2023].</w:t>
      </w:r>
    </w:p>
    <w:p w14:paraId="2905FD9B" w14:textId="48D3045A" w:rsidR="00624B3F" w:rsidRDefault="00624B3F" w:rsidP="00624B3F">
      <w:pPr>
        <w:pStyle w:val="whitespace-pre-wrap"/>
      </w:pPr>
      <w:r>
        <w:t xml:space="preserve">Public Health England, 2021. Tuberculosis in England: 2021 report (presenting data to end of 2020). [online] GOV.UK. Available at: </w:t>
      </w:r>
      <w:hyperlink r:id="rId9" w:history="1">
        <w:r>
          <w:rPr>
            <w:rStyle w:val="Hyperlink"/>
          </w:rPr>
          <w:t>https://www.gov.uk/government/publications/tuberculosis-in-england-annual-report</w:t>
        </w:r>
      </w:hyperlink>
      <w:r>
        <w:t xml:space="preserve"> [Accessed 1 </w:t>
      </w:r>
      <w:r w:rsidR="00F36777">
        <w:t>June</w:t>
      </w:r>
      <w:r>
        <w:t xml:space="preserve"> 2023].</w:t>
      </w:r>
    </w:p>
    <w:p w14:paraId="65DEF07C" w14:textId="77777777" w:rsidR="00624B3F" w:rsidRDefault="00624B3F" w:rsidP="00624B3F">
      <w:pPr>
        <w:pStyle w:val="whitespace-pre-wrap"/>
      </w:pPr>
      <w:r>
        <w:t xml:space="preserve">Smith, M.J., </w:t>
      </w:r>
      <w:proofErr w:type="spellStart"/>
      <w:r>
        <w:t>McConeghy</w:t>
      </w:r>
      <w:proofErr w:type="spellEnd"/>
      <w:r>
        <w:t>, K.W. and Lahey, T., 2021. Public health infectious disease surveillance in the twenty-first century: an overview of surveillance systems operating in the United States and abroad. American Journal of Epidemiology, 190(12), pp.2563-2578.</w:t>
      </w:r>
    </w:p>
    <w:p w14:paraId="34BCA255" w14:textId="79823FF7" w:rsidR="00624B3F" w:rsidRDefault="00624B3F" w:rsidP="00624B3F">
      <w:pPr>
        <w:pStyle w:val="whitespace-pre-wrap"/>
      </w:pPr>
      <w:r>
        <w:t xml:space="preserve">World Health Organization, 2021. Global tuberculosis report 2021. [online] Available at: </w:t>
      </w:r>
      <w:hyperlink r:id="rId10" w:history="1">
        <w:r>
          <w:rPr>
            <w:rStyle w:val="Hyperlink"/>
          </w:rPr>
          <w:t>https://www.who.int/teams/global-tuberculosis-programme/tb-reports/global-report-2021</w:t>
        </w:r>
      </w:hyperlink>
      <w:r>
        <w:t xml:space="preserve"> [Accessed </w:t>
      </w:r>
      <w:r w:rsidR="00F36777">
        <w:t>10 June</w:t>
      </w:r>
      <w:r>
        <w:t xml:space="preserve"> 2023].</w:t>
      </w:r>
    </w:p>
    <w:p w14:paraId="43AC7630" w14:textId="11F7B8CC" w:rsidR="00624B3F" w:rsidRDefault="00624B3F" w:rsidP="00624B3F">
      <w:pPr>
        <w:pStyle w:val="whitespace-pre-wrap"/>
      </w:pPr>
      <w:r>
        <w:t xml:space="preserve">World Health Organization, 2022. International health regulations. [online] Available at: </w:t>
      </w:r>
      <w:hyperlink r:id="rId11" w:anchor="tab=tab_1" w:history="1">
        <w:r>
          <w:rPr>
            <w:rStyle w:val="Hyperlink"/>
          </w:rPr>
          <w:t>https://www.who.int/health-topics/international-health-regulations#tab=tab_1</w:t>
        </w:r>
      </w:hyperlink>
      <w:r>
        <w:t xml:space="preserve"> [Accessed 1</w:t>
      </w:r>
      <w:r w:rsidR="00F36777">
        <w:t>0</w:t>
      </w:r>
      <w:r w:rsidR="00F36777" w:rsidRPr="00F36777">
        <w:rPr>
          <w:vertAlign w:val="superscript"/>
        </w:rPr>
        <w:t>th</w:t>
      </w:r>
      <w:r w:rsidR="00F36777">
        <w:t xml:space="preserve"> June</w:t>
      </w:r>
      <w:r>
        <w:t xml:space="preserve"> 2023].</w:t>
      </w:r>
    </w:p>
    <w:p w14:paraId="4A3EEB13" w14:textId="357549B7" w:rsidR="00624B3F" w:rsidRDefault="00624B3F" w:rsidP="00624B3F">
      <w:pPr>
        <w:pStyle w:val="whitespace-pre-wrap"/>
      </w:pPr>
      <w:r>
        <w:t xml:space="preserve">World Health Organization, 2022. The End TB Strategy. [online] Available at: </w:t>
      </w:r>
      <w:hyperlink r:id="rId12" w:history="1">
        <w:r>
          <w:rPr>
            <w:rStyle w:val="Hyperlink"/>
          </w:rPr>
          <w:t>https://www.who.int/teams/global-tuberculosis-programme/the-end-tb-strategy</w:t>
        </w:r>
      </w:hyperlink>
      <w:r>
        <w:t xml:space="preserve"> [Accessed 1</w:t>
      </w:r>
      <w:r w:rsidR="00F36777">
        <w:t>2</w:t>
      </w:r>
      <w:r>
        <w:t xml:space="preserve"> </w:t>
      </w:r>
      <w:r w:rsidR="00F36777">
        <w:t>July</w:t>
      </w:r>
      <w:r>
        <w:t xml:space="preserve"> 2023].</w:t>
      </w:r>
    </w:p>
    <w:p w14:paraId="45CEE5C3" w14:textId="77777777" w:rsidR="00663946" w:rsidRDefault="00663946"/>
    <w:sectPr w:rsidR="006639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C0D536" w14:textId="77777777" w:rsidR="00624B3F" w:rsidRDefault="00624B3F" w:rsidP="00624B3F">
      <w:pPr>
        <w:spacing w:after="0" w:line="240" w:lineRule="auto"/>
      </w:pPr>
      <w:r>
        <w:separator/>
      </w:r>
    </w:p>
  </w:endnote>
  <w:endnote w:type="continuationSeparator" w:id="0">
    <w:p w14:paraId="2C340FEF" w14:textId="77777777" w:rsidR="00624B3F" w:rsidRDefault="00624B3F" w:rsidP="00624B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0E1787" w14:textId="77777777" w:rsidR="00624B3F" w:rsidRDefault="00624B3F" w:rsidP="00624B3F">
      <w:pPr>
        <w:spacing w:after="0" w:line="240" w:lineRule="auto"/>
      </w:pPr>
      <w:r>
        <w:separator/>
      </w:r>
    </w:p>
  </w:footnote>
  <w:footnote w:type="continuationSeparator" w:id="0">
    <w:p w14:paraId="008809A8" w14:textId="77777777" w:rsidR="00624B3F" w:rsidRDefault="00624B3F" w:rsidP="00624B3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4B3F"/>
    <w:rsid w:val="00624B3F"/>
    <w:rsid w:val="00663946"/>
    <w:rsid w:val="00F367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9B04FF"/>
  <w15:chartTrackingRefBased/>
  <w15:docId w15:val="{D65510AE-A3BC-42D5-8651-DDF38215F6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whitespace-pre-wrap">
    <w:name w:val="whitespace-pre-wrap"/>
    <w:basedOn w:val="Normal"/>
    <w:rsid w:val="00624B3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624B3F"/>
    <w:rPr>
      <w:b/>
      <w:bCs/>
    </w:rPr>
  </w:style>
  <w:style w:type="character" w:styleId="Hyperlink">
    <w:name w:val="Hyperlink"/>
    <w:basedOn w:val="DefaultParagraphFont"/>
    <w:uiPriority w:val="99"/>
    <w:semiHidden/>
    <w:unhideWhenUsed/>
    <w:rsid w:val="00624B3F"/>
    <w:rPr>
      <w:color w:val="0000FF"/>
      <w:u w:val="single"/>
    </w:rPr>
  </w:style>
  <w:style w:type="paragraph" w:styleId="Header">
    <w:name w:val="header"/>
    <w:basedOn w:val="Normal"/>
    <w:link w:val="HeaderChar"/>
    <w:uiPriority w:val="99"/>
    <w:unhideWhenUsed/>
    <w:rsid w:val="00624B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4B3F"/>
  </w:style>
  <w:style w:type="paragraph" w:styleId="Footer">
    <w:name w:val="footer"/>
    <w:basedOn w:val="Normal"/>
    <w:link w:val="FooterChar"/>
    <w:uiPriority w:val="99"/>
    <w:unhideWhenUsed/>
    <w:rsid w:val="00624B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4B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26491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uidance/health-protection-infectious-diseases-detailed-information"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england.nhs.uk/wp-content/uploads/2015/04/collab-tb-strategy.pdf" TargetMode="External"/><Relationship Id="rId12" Type="http://schemas.openxmlformats.org/officeDocument/2006/relationships/hyperlink" Target="https://www.who.int/teams/global-tuberculosis-programme/the-end-tb-strategy"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hs.uk/conditions/tuberculosis-tb/" TargetMode="External"/><Relationship Id="rId11" Type="http://schemas.openxmlformats.org/officeDocument/2006/relationships/hyperlink" Target="https://www.who.int/health-topics/international-health-regulations" TargetMode="External"/><Relationship Id="rId5" Type="http://schemas.openxmlformats.org/officeDocument/2006/relationships/endnotes" Target="endnotes.xml"/><Relationship Id="rId10" Type="http://schemas.openxmlformats.org/officeDocument/2006/relationships/hyperlink" Target="https://www.who.int/teams/global-tuberculosis-programme/tb-reports/global-report-2021" TargetMode="External"/><Relationship Id="rId4" Type="http://schemas.openxmlformats.org/officeDocument/2006/relationships/footnotes" Target="footnotes.xml"/><Relationship Id="rId9" Type="http://schemas.openxmlformats.org/officeDocument/2006/relationships/hyperlink" Target="https://www.gov.uk/government/publications/tuberculosis-in-england-annual-repor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6</Pages>
  <Words>1804</Words>
  <Characters>10285</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Claudette Grizzle</dc:creator>
  <cp:keywords/>
  <dc:description/>
  <cp:lastModifiedBy>Claudette Grizzle</cp:lastModifiedBy>
  <cp:revision>1</cp:revision>
  <dcterms:created xsi:type="dcterms:W3CDTF">2023-08-03T15:10:00Z</dcterms:created>
  <dcterms:modified xsi:type="dcterms:W3CDTF">2023-08-03T15:33:00Z</dcterms:modified>
</cp:coreProperties>
</file>