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F3095" w14:textId="77777777" w:rsidR="00143F6B" w:rsidRDefault="001D6560">
      <w:r>
        <w:rPr>
          <w:noProof/>
        </w:rPr>
        <w:drawing>
          <wp:inline distT="0" distB="0" distL="0" distR="0" wp14:anchorId="4778E1D7" wp14:editId="037CC2E3">
            <wp:extent cx="5583637" cy="1450878"/>
            <wp:effectExtent l="0" t="0" r="0" b="0"/>
            <wp:docPr id="6519418" name="Picture 1"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583637" cy="1450878"/>
                    </a:xfrm>
                    <a:prstGeom prst="rect">
                      <a:avLst/>
                    </a:prstGeom>
                    <a:noFill/>
                    <a:ln>
                      <a:noFill/>
                      <a:prstDash/>
                    </a:ln>
                  </pic:spPr>
                </pic:pic>
              </a:graphicData>
            </a:graphic>
          </wp:inline>
        </w:drawing>
      </w:r>
    </w:p>
    <w:p w14:paraId="3507A2C4" w14:textId="77777777" w:rsidR="00143F6B" w:rsidRDefault="001D6560">
      <w:pPr>
        <w:tabs>
          <w:tab w:val="left" w:pos="1277"/>
        </w:tabs>
      </w:pPr>
      <w:r>
        <w:tab/>
      </w:r>
    </w:p>
    <w:p w14:paraId="00FBFC91" w14:textId="77777777" w:rsidR="00143F6B" w:rsidRDefault="001D6560">
      <w:pPr>
        <w:tabs>
          <w:tab w:val="left" w:pos="1277"/>
        </w:tabs>
      </w:pPr>
      <w:r>
        <w:tab/>
      </w:r>
      <w:r>
        <w:tab/>
      </w:r>
      <w:r>
        <w:tab/>
      </w:r>
      <w:r>
        <w:tab/>
      </w:r>
      <w:r>
        <w:tab/>
      </w:r>
      <w:r>
        <w:rPr>
          <w:b/>
          <w:bCs/>
          <w:sz w:val="32"/>
          <w:szCs w:val="32"/>
        </w:rPr>
        <w:t xml:space="preserve">        Proposal </w:t>
      </w:r>
    </w:p>
    <w:p w14:paraId="5E150577" w14:textId="77777777" w:rsidR="00143F6B" w:rsidRDefault="001D6560">
      <w:pPr>
        <w:tabs>
          <w:tab w:val="left" w:pos="1277"/>
        </w:tabs>
        <w:rPr>
          <w:b/>
          <w:bCs/>
          <w:sz w:val="32"/>
          <w:szCs w:val="32"/>
        </w:rPr>
      </w:pPr>
      <w:r>
        <w:rPr>
          <w:b/>
          <w:bCs/>
          <w:sz w:val="32"/>
          <w:szCs w:val="32"/>
        </w:rPr>
        <w:tab/>
      </w:r>
      <w:r>
        <w:rPr>
          <w:b/>
          <w:bCs/>
          <w:sz w:val="32"/>
          <w:szCs w:val="32"/>
        </w:rPr>
        <w:tab/>
      </w:r>
      <w:r>
        <w:rPr>
          <w:b/>
          <w:bCs/>
          <w:sz w:val="32"/>
          <w:szCs w:val="32"/>
        </w:rPr>
        <w:tab/>
      </w:r>
      <w:r>
        <w:rPr>
          <w:b/>
          <w:bCs/>
          <w:sz w:val="32"/>
          <w:szCs w:val="32"/>
        </w:rPr>
        <w:tab/>
      </w:r>
      <w:r>
        <w:rPr>
          <w:b/>
          <w:bCs/>
          <w:sz w:val="32"/>
          <w:szCs w:val="32"/>
        </w:rPr>
        <w:tab/>
        <w:t xml:space="preserve">             on</w:t>
      </w:r>
    </w:p>
    <w:p w14:paraId="677F8850" w14:textId="77777777" w:rsidR="00143F6B" w:rsidRDefault="001D6560">
      <w:pPr>
        <w:tabs>
          <w:tab w:val="left" w:pos="1277"/>
        </w:tabs>
        <w:jc w:val="both"/>
        <w:rPr>
          <w:b/>
          <w:bCs/>
          <w:sz w:val="28"/>
          <w:szCs w:val="28"/>
        </w:rPr>
      </w:pPr>
      <w:r>
        <w:rPr>
          <w:b/>
          <w:bCs/>
          <w:sz w:val="28"/>
          <w:szCs w:val="28"/>
        </w:rPr>
        <w:t xml:space="preserve">Business and Management in the Indian Footwear Industry: A Comparative Study of Offline and Online Channels. </w:t>
      </w:r>
    </w:p>
    <w:p w14:paraId="229D4174" w14:textId="77777777" w:rsidR="00143F6B" w:rsidRDefault="00143F6B">
      <w:pPr>
        <w:tabs>
          <w:tab w:val="left" w:pos="1277"/>
        </w:tabs>
        <w:jc w:val="both"/>
        <w:rPr>
          <w:b/>
          <w:bCs/>
          <w:sz w:val="28"/>
          <w:szCs w:val="28"/>
        </w:rPr>
      </w:pPr>
    </w:p>
    <w:p w14:paraId="05E4B132" w14:textId="77777777" w:rsidR="00143F6B" w:rsidRDefault="001D6560">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Program: Master of Business Administration</w:t>
      </w:r>
    </w:p>
    <w:p w14:paraId="316E8B87" w14:textId="77777777" w:rsidR="00143F6B" w:rsidRDefault="001D6560">
      <w:pPr>
        <w:jc w:val="both"/>
      </w:pPr>
      <w:r>
        <w:rPr>
          <w:rFonts w:ascii="Arial" w:eastAsia="Times New Roman" w:hAnsi="Arial" w:cs="Arial"/>
          <w:bCs/>
          <w:color w:val="000000"/>
          <w:kern w:val="0"/>
          <w:sz w:val="24"/>
          <w:szCs w:val="24"/>
        </w:rPr>
        <w:t xml:space="preserve">Module: </w:t>
      </w:r>
      <w:r>
        <w:rPr>
          <w:sz w:val="24"/>
          <w:szCs w:val="24"/>
        </w:rPr>
        <w:t>Dissertation proposal</w:t>
      </w:r>
    </w:p>
    <w:p w14:paraId="78EB9501" w14:textId="77777777" w:rsidR="00143F6B" w:rsidRDefault="001D6560">
      <w:pPr>
        <w:jc w:val="both"/>
      </w:pPr>
      <w:r>
        <w:rPr>
          <w:rFonts w:ascii="Arial" w:eastAsia="Times New Roman" w:hAnsi="Arial" w:cs="Arial"/>
          <w:bCs/>
          <w:color w:val="000000"/>
          <w:kern w:val="0"/>
          <w:sz w:val="24"/>
          <w:szCs w:val="24"/>
        </w:rPr>
        <w:t xml:space="preserve">Module Code: </w:t>
      </w:r>
      <w:r>
        <w:rPr>
          <w:sz w:val="24"/>
          <w:szCs w:val="24"/>
        </w:rPr>
        <w:t>LCMB7035</w:t>
      </w:r>
    </w:p>
    <w:p w14:paraId="00C034D6" w14:textId="77777777" w:rsidR="00143F6B" w:rsidRDefault="00143F6B">
      <w:pPr>
        <w:jc w:val="both"/>
        <w:rPr>
          <w:rFonts w:ascii="Arial" w:eastAsia="Times New Roman" w:hAnsi="Arial" w:cs="Arial"/>
          <w:b/>
          <w:bCs/>
          <w:color w:val="000000"/>
          <w:kern w:val="0"/>
          <w:sz w:val="24"/>
          <w:szCs w:val="24"/>
          <w:u w:val="single"/>
        </w:rPr>
      </w:pPr>
    </w:p>
    <w:p w14:paraId="68B7B7C0" w14:textId="77777777" w:rsidR="00143F6B" w:rsidRDefault="00143F6B">
      <w:pPr>
        <w:jc w:val="both"/>
        <w:rPr>
          <w:rFonts w:ascii="Arial" w:eastAsia="Times New Roman" w:hAnsi="Arial" w:cs="Arial"/>
          <w:b/>
          <w:bCs/>
          <w:color w:val="000000"/>
          <w:kern w:val="0"/>
          <w:sz w:val="24"/>
          <w:szCs w:val="24"/>
          <w:u w:val="single"/>
        </w:rPr>
      </w:pPr>
    </w:p>
    <w:p w14:paraId="6B1141ED" w14:textId="77777777" w:rsidR="00143F6B" w:rsidRDefault="001D6560">
      <w:pPr>
        <w:jc w:val="both"/>
      </w:pPr>
      <w:r>
        <w:rPr>
          <w:rFonts w:ascii="Arial" w:eastAsia="Times New Roman" w:hAnsi="Arial" w:cs="Arial"/>
          <w:b/>
          <w:bCs/>
          <w:color w:val="000000"/>
          <w:kern w:val="0"/>
          <w:sz w:val="24"/>
          <w:szCs w:val="24"/>
          <w:u w:val="single"/>
        </w:rPr>
        <w:t>Submitted To:</w:t>
      </w:r>
      <w:r>
        <w:rPr>
          <w:rFonts w:ascii="Arial" w:eastAsia="Times New Roman" w:hAnsi="Arial" w:cs="Arial"/>
          <w:b/>
          <w:bCs/>
          <w:color w:val="000000"/>
          <w:kern w:val="0"/>
          <w:sz w:val="24"/>
          <w:szCs w:val="24"/>
        </w:rPr>
        <w:t xml:space="preserve"> </w:t>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t xml:space="preserve">                   </w:t>
      </w:r>
    </w:p>
    <w:p w14:paraId="101B0C19" w14:textId="77777777" w:rsidR="00143F6B" w:rsidRDefault="001D6560">
      <w:pPr>
        <w:jc w:val="both"/>
      </w:pPr>
      <w:r>
        <w:rPr>
          <w:rFonts w:cs="Calibri"/>
          <w:sz w:val="24"/>
          <w:szCs w:val="24"/>
        </w:rPr>
        <w:t xml:space="preserve">Supervisor: Dr. </w:t>
      </w:r>
      <w:proofErr w:type="spellStart"/>
      <w:r>
        <w:rPr>
          <w:rFonts w:cs="Calibri"/>
          <w:sz w:val="24"/>
          <w:szCs w:val="24"/>
        </w:rPr>
        <w:t>Ebad</w:t>
      </w:r>
      <w:proofErr w:type="spellEnd"/>
      <w:r>
        <w:rPr>
          <w:rFonts w:cs="Calibri"/>
          <w:sz w:val="24"/>
          <w:szCs w:val="24"/>
        </w:rPr>
        <w:t xml:space="preserve"> </w:t>
      </w:r>
      <w:proofErr w:type="spellStart"/>
      <w:r>
        <w:rPr>
          <w:rFonts w:cs="Calibri"/>
          <w:sz w:val="24"/>
          <w:szCs w:val="24"/>
        </w:rPr>
        <w:t>Banissi</w:t>
      </w:r>
      <w:proofErr w:type="spellEnd"/>
      <w:r>
        <w:rPr>
          <w:rFonts w:cs="Calibri"/>
          <w:sz w:val="24"/>
          <w:szCs w:val="24"/>
        </w:rPr>
        <w:t xml:space="preserve">                              </w:t>
      </w:r>
      <w:r>
        <w:rPr>
          <w:rFonts w:eastAsia="Times New Roman" w:cs="Calibri"/>
          <w:bCs/>
          <w:color w:val="000000"/>
          <w:kern w:val="0"/>
          <w:sz w:val="24"/>
          <w:szCs w:val="24"/>
        </w:rPr>
        <w:tab/>
      </w:r>
      <w:r>
        <w:rPr>
          <w:rFonts w:eastAsia="Times New Roman" w:cs="Calibri"/>
          <w:bCs/>
          <w:color w:val="000000"/>
          <w:kern w:val="0"/>
          <w:sz w:val="24"/>
          <w:szCs w:val="24"/>
        </w:rPr>
        <w:tab/>
      </w:r>
      <w:r>
        <w:rPr>
          <w:rFonts w:eastAsia="Times New Roman" w:cs="Calibri"/>
          <w:bCs/>
          <w:color w:val="000000"/>
          <w:kern w:val="0"/>
          <w:sz w:val="24"/>
          <w:szCs w:val="24"/>
        </w:rPr>
        <w:tab/>
      </w:r>
      <w:r>
        <w:rPr>
          <w:rFonts w:eastAsia="Times New Roman" w:cs="Calibri"/>
          <w:bCs/>
          <w:color w:val="000000"/>
          <w:kern w:val="0"/>
          <w:sz w:val="24"/>
          <w:szCs w:val="24"/>
        </w:rPr>
        <w:tab/>
      </w:r>
      <w:r>
        <w:rPr>
          <w:rFonts w:eastAsia="Times New Roman" w:cs="Calibri"/>
          <w:bCs/>
          <w:color w:val="000000"/>
          <w:kern w:val="0"/>
          <w:sz w:val="24"/>
          <w:szCs w:val="24"/>
        </w:rPr>
        <w:tab/>
        <w:t xml:space="preserve">                    , University of Wales Trinity Saint David</w:t>
      </w:r>
    </w:p>
    <w:p w14:paraId="78ABDD3E" w14:textId="77777777" w:rsidR="00143F6B" w:rsidRDefault="00143F6B">
      <w:pPr>
        <w:jc w:val="both"/>
        <w:rPr>
          <w:rFonts w:ascii="Arial" w:eastAsia="Times New Roman" w:hAnsi="Arial" w:cs="Arial"/>
          <w:bCs/>
          <w:color w:val="000000"/>
          <w:kern w:val="0"/>
          <w:sz w:val="24"/>
          <w:szCs w:val="24"/>
        </w:rPr>
      </w:pPr>
    </w:p>
    <w:p w14:paraId="74537C45" w14:textId="77777777" w:rsidR="00143F6B" w:rsidRDefault="001D6560">
      <w:pPr>
        <w:jc w:val="both"/>
        <w:rPr>
          <w:rFonts w:ascii="Arial" w:eastAsia="Times New Roman" w:hAnsi="Arial" w:cs="Arial"/>
          <w:b/>
          <w:bCs/>
          <w:color w:val="000000"/>
          <w:kern w:val="0"/>
          <w:sz w:val="24"/>
          <w:szCs w:val="24"/>
          <w:u w:val="single"/>
        </w:rPr>
      </w:pPr>
      <w:r>
        <w:rPr>
          <w:rFonts w:ascii="Arial" w:eastAsia="Times New Roman" w:hAnsi="Arial" w:cs="Arial"/>
          <w:b/>
          <w:bCs/>
          <w:color w:val="000000"/>
          <w:kern w:val="0"/>
          <w:sz w:val="24"/>
          <w:szCs w:val="24"/>
          <w:u w:val="single"/>
        </w:rPr>
        <w:t>Submitted By:</w:t>
      </w:r>
    </w:p>
    <w:p w14:paraId="41D360B9" w14:textId="77777777" w:rsidR="00143F6B" w:rsidRDefault="001D6560">
      <w:pPr>
        <w:jc w:val="both"/>
        <w:rPr>
          <w:rFonts w:ascii="Arial" w:eastAsia="Times New Roman" w:hAnsi="Arial" w:cs="Arial"/>
          <w:bCs/>
          <w:color w:val="000000"/>
          <w:kern w:val="0"/>
          <w:sz w:val="24"/>
          <w:szCs w:val="24"/>
        </w:rPr>
      </w:pPr>
      <w:proofErr w:type="spellStart"/>
      <w:r>
        <w:rPr>
          <w:rFonts w:ascii="Arial" w:eastAsia="Times New Roman" w:hAnsi="Arial" w:cs="Arial"/>
          <w:bCs/>
          <w:color w:val="000000"/>
          <w:kern w:val="0"/>
          <w:sz w:val="24"/>
          <w:szCs w:val="24"/>
        </w:rPr>
        <w:t>Farzana</w:t>
      </w:r>
      <w:proofErr w:type="spellEnd"/>
      <w:r>
        <w:rPr>
          <w:rFonts w:ascii="Arial" w:eastAsia="Times New Roman" w:hAnsi="Arial" w:cs="Arial"/>
          <w:bCs/>
          <w:color w:val="000000"/>
          <w:kern w:val="0"/>
          <w:sz w:val="24"/>
          <w:szCs w:val="24"/>
        </w:rPr>
        <w:t xml:space="preserve"> Akhter Choudhury</w:t>
      </w:r>
    </w:p>
    <w:p w14:paraId="65326435" w14:textId="77777777" w:rsidR="00143F6B" w:rsidRDefault="001D6560">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Id: 2421690</w:t>
      </w:r>
    </w:p>
    <w:p w14:paraId="593B3EA3" w14:textId="77777777" w:rsidR="00143F6B" w:rsidRDefault="001D6560">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University of Wales Trinity Saint David</w:t>
      </w:r>
    </w:p>
    <w:p w14:paraId="50DED6F2" w14:textId="77777777" w:rsidR="00143F6B" w:rsidRDefault="00143F6B">
      <w:pPr>
        <w:jc w:val="both"/>
        <w:rPr>
          <w:b/>
          <w:bCs/>
          <w:sz w:val="24"/>
          <w:szCs w:val="24"/>
        </w:rPr>
      </w:pPr>
    </w:p>
    <w:p w14:paraId="0FE8D2B1" w14:textId="77777777" w:rsidR="00143F6B" w:rsidRDefault="001D6560">
      <w:pPr>
        <w:tabs>
          <w:tab w:val="left" w:pos="1277"/>
        </w:tabs>
        <w:spacing w:line="360" w:lineRule="auto"/>
        <w:jc w:val="both"/>
        <w:rPr>
          <w:b/>
          <w:bCs/>
          <w:sz w:val="24"/>
          <w:szCs w:val="24"/>
        </w:rPr>
      </w:pPr>
      <w:r>
        <w:rPr>
          <w:b/>
          <w:bCs/>
          <w:sz w:val="24"/>
          <w:szCs w:val="24"/>
        </w:rPr>
        <w:t>Introduction:</w:t>
      </w:r>
    </w:p>
    <w:p w14:paraId="71E77C6E" w14:textId="77777777" w:rsidR="00143F6B" w:rsidRDefault="001D6560">
      <w:pPr>
        <w:tabs>
          <w:tab w:val="left" w:pos="1277"/>
        </w:tabs>
        <w:spacing w:line="360" w:lineRule="auto"/>
        <w:jc w:val="both"/>
        <w:rPr>
          <w:sz w:val="24"/>
          <w:szCs w:val="24"/>
        </w:rPr>
      </w:pPr>
      <w:r>
        <w:rPr>
          <w:sz w:val="24"/>
          <w:szCs w:val="24"/>
        </w:rPr>
        <w:t xml:space="preserve">The Indian footwear industry represents one of the fastest-growing consumer markets in the world and a significant segment of the country’s manufacturing and retail sector. Thanks to strong domestic demand, cheap production costs, and a quickly digitalizing retail environment, India is the world's second-largest footwear producer (IMARC Group, 2025). The industry, which has historically been dominated by offline brick-and-mortar retail, is currently undergoing a significant transition due to the growth of e-commerce and digital marketplaces. For managers who must balance supply chain, price, and customer experience decisions across both modes, integrating offline and online retail channels has emerged as a major problem. While online platforms offer convenience, variety, and competitive pricing, offline locations offer the benefits of fit testing and personalized attention. In order to stay competitive and adapt to shifting customer tastes, businesses were forced to implement </w:t>
      </w:r>
      <w:proofErr w:type="spellStart"/>
      <w:r>
        <w:rPr>
          <w:sz w:val="24"/>
          <w:szCs w:val="24"/>
        </w:rPr>
        <w:t>omnichannel</w:t>
      </w:r>
      <w:proofErr w:type="spellEnd"/>
      <w:r>
        <w:rPr>
          <w:sz w:val="24"/>
          <w:szCs w:val="24"/>
        </w:rPr>
        <w:t xml:space="preserve"> strategies that combined physical stores with online platforms as a result of the COVID-19 pandemic, which expedited this digital transformation (</w:t>
      </w:r>
      <w:proofErr w:type="spellStart"/>
      <w:r>
        <w:rPr>
          <w:sz w:val="24"/>
          <w:szCs w:val="24"/>
        </w:rPr>
        <w:t>ImagesBoF</w:t>
      </w:r>
      <w:proofErr w:type="spellEnd"/>
      <w:r>
        <w:rPr>
          <w:sz w:val="24"/>
          <w:szCs w:val="24"/>
        </w:rPr>
        <w:t xml:space="preserve">, 2024). Understanding this dual-channel dynamic is essential for analyzing managerial strategies and consumer </w:t>
      </w:r>
      <w:proofErr w:type="spellStart"/>
      <w:r>
        <w:rPr>
          <w:sz w:val="24"/>
          <w:szCs w:val="24"/>
        </w:rPr>
        <w:t>behaviour</w:t>
      </w:r>
      <w:proofErr w:type="spellEnd"/>
      <w:r>
        <w:rPr>
          <w:sz w:val="24"/>
          <w:szCs w:val="24"/>
        </w:rPr>
        <w:t xml:space="preserve"> in India’s evolving footwear market.</w:t>
      </w:r>
    </w:p>
    <w:p w14:paraId="589D87A3" w14:textId="77777777" w:rsidR="00143F6B" w:rsidRDefault="001D6560">
      <w:pPr>
        <w:tabs>
          <w:tab w:val="left" w:pos="1277"/>
        </w:tabs>
        <w:spacing w:line="360" w:lineRule="auto"/>
        <w:jc w:val="both"/>
        <w:rPr>
          <w:sz w:val="24"/>
          <w:szCs w:val="24"/>
        </w:rPr>
      </w:pPr>
      <w:r>
        <w:rPr>
          <w:sz w:val="24"/>
          <w:szCs w:val="24"/>
        </w:rPr>
        <w:t xml:space="preserve">This dissertation aims to examine how footwear companies in India manage business strategies and operations across offline and online channels. It explores the evolution of consumer </w:t>
      </w:r>
      <w:proofErr w:type="spellStart"/>
      <w:r>
        <w:rPr>
          <w:sz w:val="24"/>
          <w:szCs w:val="24"/>
        </w:rPr>
        <w:t>behaviour</w:t>
      </w:r>
      <w:proofErr w:type="spellEnd"/>
      <w:r>
        <w:rPr>
          <w:sz w:val="24"/>
          <w:szCs w:val="24"/>
        </w:rPr>
        <w:t>, market structure, and managerial practices using a qualitative approach based entirely on secondary data. The findings are expected to provide insights into how businesses can integrate digital and physical channels to enhance profitability and customer satisfaction within an emerging-market context.</w:t>
      </w:r>
    </w:p>
    <w:p w14:paraId="2E6965D6" w14:textId="77777777" w:rsidR="00143F6B" w:rsidRDefault="001D6560">
      <w:pPr>
        <w:tabs>
          <w:tab w:val="left" w:pos="1277"/>
        </w:tabs>
        <w:spacing w:line="360" w:lineRule="auto"/>
        <w:jc w:val="both"/>
        <w:rPr>
          <w:sz w:val="24"/>
          <w:szCs w:val="24"/>
        </w:rPr>
      </w:pPr>
      <w:r>
        <w:rPr>
          <w:sz w:val="24"/>
          <w:szCs w:val="24"/>
        </w:rPr>
        <w:t>Research Aim and Objectives</w:t>
      </w:r>
    </w:p>
    <w:p w14:paraId="1C74929E" w14:textId="77777777" w:rsidR="00143F6B" w:rsidRDefault="001D6560">
      <w:pPr>
        <w:tabs>
          <w:tab w:val="left" w:pos="1277"/>
        </w:tabs>
        <w:spacing w:line="360" w:lineRule="auto"/>
        <w:jc w:val="both"/>
        <w:rPr>
          <w:sz w:val="24"/>
          <w:szCs w:val="24"/>
        </w:rPr>
      </w:pPr>
      <w:r>
        <w:rPr>
          <w:sz w:val="24"/>
          <w:szCs w:val="24"/>
        </w:rPr>
        <w:t>To explore how business and management strategies differ between offline and online channels in the Indian footwear industry, using secondary qualitative data.</w:t>
      </w:r>
    </w:p>
    <w:p w14:paraId="3F298300" w14:textId="77777777" w:rsidR="00143F6B" w:rsidRDefault="00143F6B">
      <w:pPr>
        <w:tabs>
          <w:tab w:val="left" w:pos="1277"/>
        </w:tabs>
        <w:spacing w:line="360" w:lineRule="auto"/>
        <w:jc w:val="both"/>
        <w:rPr>
          <w:sz w:val="24"/>
          <w:szCs w:val="24"/>
        </w:rPr>
      </w:pPr>
    </w:p>
    <w:p w14:paraId="36937B68" w14:textId="77777777" w:rsidR="00143F6B" w:rsidRDefault="00143F6B">
      <w:pPr>
        <w:tabs>
          <w:tab w:val="left" w:pos="1277"/>
        </w:tabs>
        <w:spacing w:line="360" w:lineRule="auto"/>
        <w:jc w:val="both"/>
        <w:rPr>
          <w:sz w:val="24"/>
          <w:szCs w:val="24"/>
        </w:rPr>
      </w:pPr>
    </w:p>
    <w:p w14:paraId="52F2078B" w14:textId="77777777" w:rsidR="00143F6B" w:rsidRDefault="001D6560">
      <w:pPr>
        <w:tabs>
          <w:tab w:val="left" w:pos="1277"/>
        </w:tabs>
        <w:spacing w:line="360" w:lineRule="auto"/>
        <w:jc w:val="both"/>
        <w:rPr>
          <w:b/>
          <w:bCs/>
          <w:sz w:val="24"/>
          <w:szCs w:val="24"/>
        </w:rPr>
      </w:pPr>
      <w:r>
        <w:rPr>
          <w:b/>
          <w:bCs/>
          <w:sz w:val="24"/>
          <w:szCs w:val="24"/>
        </w:rPr>
        <w:t>Objectives</w:t>
      </w:r>
    </w:p>
    <w:p w14:paraId="2A183345" w14:textId="77777777" w:rsidR="00143F6B" w:rsidRDefault="001D6560">
      <w:pPr>
        <w:pStyle w:val="ListParagraph"/>
        <w:numPr>
          <w:ilvl w:val="0"/>
          <w:numId w:val="1"/>
        </w:numPr>
        <w:tabs>
          <w:tab w:val="left" w:pos="1277"/>
        </w:tabs>
        <w:spacing w:line="360" w:lineRule="auto"/>
        <w:jc w:val="both"/>
        <w:rPr>
          <w:sz w:val="24"/>
          <w:szCs w:val="24"/>
        </w:rPr>
      </w:pPr>
      <w:r>
        <w:rPr>
          <w:sz w:val="24"/>
          <w:szCs w:val="24"/>
        </w:rPr>
        <w:t>To analyze the structural and competitive dynamics of India’s footwear sector.</w:t>
      </w:r>
    </w:p>
    <w:p w14:paraId="7D739463" w14:textId="77777777" w:rsidR="00143F6B" w:rsidRDefault="001D6560">
      <w:pPr>
        <w:pStyle w:val="ListParagraph"/>
        <w:numPr>
          <w:ilvl w:val="0"/>
          <w:numId w:val="1"/>
        </w:numPr>
        <w:tabs>
          <w:tab w:val="left" w:pos="1277"/>
        </w:tabs>
        <w:spacing w:line="360" w:lineRule="auto"/>
        <w:jc w:val="both"/>
        <w:rPr>
          <w:sz w:val="24"/>
          <w:szCs w:val="24"/>
        </w:rPr>
      </w:pPr>
      <w:r>
        <w:rPr>
          <w:sz w:val="24"/>
          <w:szCs w:val="24"/>
        </w:rPr>
        <w:t>To identify key consumer behavior patterns influencing offline and online footwear sales.</w:t>
      </w:r>
    </w:p>
    <w:p w14:paraId="56108E41" w14:textId="77777777" w:rsidR="00143F6B" w:rsidRDefault="001D6560">
      <w:pPr>
        <w:pStyle w:val="ListParagraph"/>
        <w:numPr>
          <w:ilvl w:val="0"/>
          <w:numId w:val="1"/>
        </w:numPr>
        <w:tabs>
          <w:tab w:val="left" w:pos="1277"/>
        </w:tabs>
        <w:spacing w:line="360" w:lineRule="auto"/>
        <w:jc w:val="both"/>
        <w:rPr>
          <w:sz w:val="24"/>
          <w:szCs w:val="24"/>
        </w:rPr>
      </w:pPr>
      <w:r>
        <w:rPr>
          <w:sz w:val="24"/>
          <w:szCs w:val="24"/>
        </w:rPr>
        <w:t>To examine how businesses adapt strategic management practices across both channels.</w:t>
      </w:r>
    </w:p>
    <w:p w14:paraId="542E29DB" w14:textId="77777777" w:rsidR="00143F6B" w:rsidRDefault="001D6560">
      <w:pPr>
        <w:pStyle w:val="ListParagraph"/>
        <w:numPr>
          <w:ilvl w:val="0"/>
          <w:numId w:val="1"/>
        </w:numPr>
        <w:tabs>
          <w:tab w:val="left" w:pos="1277"/>
        </w:tabs>
        <w:spacing w:line="360" w:lineRule="auto"/>
        <w:jc w:val="both"/>
        <w:rPr>
          <w:sz w:val="24"/>
          <w:szCs w:val="24"/>
        </w:rPr>
      </w:pPr>
      <w:r>
        <w:rPr>
          <w:sz w:val="24"/>
          <w:szCs w:val="24"/>
        </w:rPr>
        <w:t xml:space="preserve">To provide recommendations for developing integrated </w:t>
      </w:r>
      <w:proofErr w:type="spellStart"/>
      <w:r>
        <w:rPr>
          <w:sz w:val="24"/>
          <w:szCs w:val="24"/>
        </w:rPr>
        <w:t>omnichannel</w:t>
      </w:r>
      <w:proofErr w:type="spellEnd"/>
      <w:r>
        <w:rPr>
          <w:sz w:val="24"/>
          <w:szCs w:val="24"/>
        </w:rPr>
        <w:t xml:space="preserve"> strategies in the footwear market.</w:t>
      </w:r>
    </w:p>
    <w:p w14:paraId="0A089306" w14:textId="77777777" w:rsidR="00143F6B" w:rsidRDefault="001D6560">
      <w:pPr>
        <w:tabs>
          <w:tab w:val="left" w:pos="1277"/>
        </w:tabs>
        <w:spacing w:line="360" w:lineRule="auto"/>
        <w:jc w:val="both"/>
        <w:rPr>
          <w:b/>
          <w:bCs/>
          <w:sz w:val="24"/>
          <w:szCs w:val="24"/>
        </w:rPr>
      </w:pPr>
      <w:r>
        <w:rPr>
          <w:b/>
          <w:bCs/>
          <w:sz w:val="24"/>
          <w:szCs w:val="24"/>
        </w:rPr>
        <w:t>Research Questions</w:t>
      </w:r>
    </w:p>
    <w:p w14:paraId="05FD0634" w14:textId="77777777" w:rsidR="00143F6B" w:rsidRDefault="001D6560">
      <w:pPr>
        <w:pStyle w:val="ListParagraph"/>
        <w:numPr>
          <w:ilvl w:val="0"/>
          <w:numId w:val="2"/>
        </w:numPr>
        <w:tabs>
          <w:tab w:val="left" w:pos="1277"/>
        </w:tabs>
        <w:spacing w:line="360" w:lineRule="auto"/>
        <w:rPr>
          <w:sz w:val="24"/>
          <w:szCs w:val="24"/>
        </w:rPr>
      </w:pPr>
      <w:r>
        <w:rPr>
          <w:sz w:val="24"/>
          <w:szCs w:val="24"/>
        </w:rPr>
        <w:t>How do offline and online channels differ in structure and consumer engagement within India’s footwear industry?</w:t>
      </w:r>
    </w:p>
    <w:p w14:paraId="56E3B522" w14:textId="77777777" w:rsidR="00143F6B" w:rsidRDefault="001D6560">
      <w:pPr>
        <w:pStyle w:val="ListParagraph"/>
        <w:numPr>
          <w:ilvl w:val="0"/>
          <w:numId w:val="2"/>
        </w:numPr>
        <w:tabs>
          <w:tab w:val="left" w:pos="1277"/>
        </w:tabs>
        <w:spacing w:line="360" w:lineRule="auto"/>
        <w:rPr>
          <w:sz w:val="24"/>
          <w:szCs w:val="24"/>
        </w:rPr>
      </w:pPr>
      <w:r>
        <w:rPr>
          <w:sz w:val="24"/>
          <w:szCs w:val="24"/>
        </w:rPr>
        <w:t>What factors influence consumer decisions across both channels?</w:t>
      </w:r>
    </w:p>
    <w:p w14:paraId="78A8B4B0" w14:textId="77777777" w:rsidR="00143F6B" w:rsidRDefault="001D6560">
      <w:pPr>
        <w:pStyle w:val="ListParagraph"/>
        <w:numPr>
          <w:ilvl w:val="0"/>
          <w:numId w:val="2"/>
        </w:numPr>
        <w:tabs>
          <w:tab w:val="left" w:pos="1277"/>
        </w:tabs>
        <w:spacing w:line="360" w:lineRule="auto"/>
        <w:rPr>
          <w:sz w:val="24"/>
          <w:szCs w:val="24"/>
        </w:rPr>
      </w:pPr>
      <w:r>
        <w:rPr>
          <w:sz w:val="24"/>
          <w:szCs w:val="24"/>
        </w:rPr>
        <w:t>How do footwear firms manage their dual-channel operations strategically?</w:t>
      </w:r>
    </w:p>
    <w:p w14:paraId="7B28ADE2" w14:textId="77777777" w:rsidR="00143F6B" w:rsidRDefault="001D6560">
      <w:pPr>
        <w:pStyle w:val="ListParagraph"/>
        <w:numPr>
          <w:ilvl w:val="0"/>
          <w:numId w:val="2"/>
        </w:numPr>
        <w:tabs>
          <w:tab w:val="left" w:pos="1277"/>
        </w:tabs>
        <w:spacing w:line="360" w:lineRule="auto"/>
        <w:rPr>
          <w:sz w:val="24"/>
          <w:szCs w:val="24"/>
        </w:rPr>
      </w:pPr>
      <w:r>
        <w:rPr>
          <w:sz w:val="24"/>
          <w:szCs w:val="24"/>
        </w:rPr>
        <w:t>What lessons can be drawn from secondary evidence to guide managerial practice?</w:t>
      </w:r>
    </w:p>
    <w:p w14:paraId="62A3B128" w14:textId="77777777" w:rsidR="00143F6B" w:rsidRDefault="001D6560">
      <w:pPr>
        <w:tabs>
          <w:tab w:val="left" w:pos="1277"/>
        </w:tabs>
        <w:spacing w:line="360" w:lineRule="auto"/>
        <w:jc w:val="both"/>
        <w:rPr>
          <w:b/>
          <w:bCs/>
          <w:sz w:val="24"/>
          <w:szCs w:val="24"/>
        </w:rPr>
      </w:pPr>
      <w:r>
        <w:rPr>
          <w:b/>
          <w:bCs/>
          <w:sz w:val="24"/>
          <w:szCs w:val="24"/>
        </w:rPr>
        <w:t>2. Literature Review</w:t>
      </w:r>
    </w:p>
    <w:p w14:paraId="3CD047B0" w14:textId="77777777" w:rsidR="00143F6B" w:rsidRDefault="001D6560">
      <w:pPr>
        <w:tabs>
          <w:tab w:val="left" w:pos="1277"/>
        </w:tabs>
        <w:spacing w:line="360" w:lineRule="auto"/>
        <w:jc w:val="both"/>
        <w:rPr>
          <w:b/>
          <w:bCs/>
          <w:sz w:val="24"/>
          <w:szCs w:val="24"/>
        </w:rPr>
      </w:pPr>
      <w:r>
        <w:rPr>
          <w:b/>
          <w:bCs/>
          <w:sz w:val="24"/>
          <w:szCs w:val="24"/>
        </w:rPr>
        <w:t>2.1 Overview of the Indian Footwear Industry</w:t>
      </w:r>
    </w:p>
    <w:p w14:paraId="1D5B03F4" w14:textId="77777777" w:rsidR="00143F6B" w:rsidRDefault="001D6560">
      <w:pPr>
        <w:tabs>
          <w:tab w:val="left" w:pos="1277"/>
        </w:tabs>
        <w:spacing w:line="360" w:lineRule="auto"/>
        <w:jc w:val="both"/>
        <w:rPr>
          <w:sz w:val="24"/>
          <w:szCs w:val="24"/>
        </w:rPr>
      </w:pPr>
      <w:r>
        <w:rPr>
          <w:sz w:val="24"/>
          <w:szCs w:val="24"/>
        </w:rPr>
        <w:t>The footwear market in India was estimated to be worth USD 15 billion in 2024 and is projected to increase at a rate of more than 10% per year for the next ten years (</w:t>
      </w:r>
      <w:proofErr w:type="spellStart"/>
      <w:r>
        <w:rPr>
          <w:sz w:val="24"/>
          <w:szCs w:val="24"/>
        </w:rPr>
        <w:t>Citius</w:t>
      </w:r>
      <w:proofErr w:type="spellEnd"/>
      <w:r>
        <w:rPr>
          <w:sz w:val="24"/>
          <w:szCs w:val="24"/>
        </w:rPr>
        <w:t xml:space="preserve"> Research, 2024). Formal, casual, athletic, and ethnic footwear are just a few of the many goods in this industry that serve a variety of price points. While international brands like Nike, Puma, and Adidas continue to grow in the premium market, domestic brands like Bata, </w:t>
      </w:r>
      <w:proofErr w:type="spellStart"/>
      <w:r>
        <w:rPr>
          <w:sz w:val="24"/>
          <w:szCs w:val="24"/>
        </w:rPr>
        <w:t>Relaxo</w:t>
      </w:r>
      <w:proofErr w:type="spellEnd"/>
      <w:r>
        <w:rPr>
          <w:sz w:val="24"/>
          <w:szCs w:val="24"/>
        </w:rPr>
        <w:t>, and Campus control the mid-range category. Nearly 70% of all sales still come from offline retail establishments, despite the quick development of internet platforms. Customers who appreciate being able to evaluate fit, comfort, and style before making a purchase frequently favor these establishments (</w:t>
      </w:r>
      <w:proofErr w:type="spellStart"/>
      <w:r>
        <w:rPr>
          <w:sz w:val="24"/>
          <w:szCs w:val="24"/>
        </w:rPr>
        <w:t>Infomerics</w:t>
      </w:r>
      <w:proofErr w:type="spellEnd"/>
      <w:r>
        <w:rPr>
          <w:sz w:val="24"/>
          <w:szCs w:val="24"/>
        </w:rPr>
        <w:t xml:space="preserve"> Economic Research, 2023). This highlights the continued importance of offline retail in India, even as digital channels expand rapidly.</w:t>
      </w:r>
    </w:p>
    <w:p w14:paraId="47B37963" w14:textId="77777777" w:rsidR="00143F6B" w:rsidRDefault="001D6560">
      <w:pPr>
        <w:tabs>
          <w:tab w:val="left" w:pos="1277"/>
        </w:tabs>
        <w:spacing w:line="360" w:lineRule="auto"/>
        <w:jc w:val="both"/>
        <w:rPr>
          <w:sz w:val="24"/>
          <w:szCs w:val="24"/>
        </w:rPr>
      </w:pPr>
      <w:r>
        <w:rPr>
          <w:sz w:val="24"/>
          <w:szCs w:val="24"/>
        </w:rPr>
        <w:t xml:space="preserve">However, because to websites like Amazon, Flipkart, and </w:t>
      </w:r>
      <w:proofErr w:type="spellStart"/>
      <w:r>
        <w:rPr>
          <w:sz w:val="24"/>
          <w:szCs w:val="24"/>
        </w:rPr>
        <w:t>Myntra</w:t>
      </w:r>
      <w:proofErr w:type="spellEnd"/>
      <w:r>
        <w:rPr>
          <w:sz w:val="24"/>
          <w:szCs w:val="24"/>
        </w:rPr>
        <w:t>, internet sales have increased dramatically. Online shopping has grown thanks to better transportation infrastructure, digital payment methods, and a younger, tech-savvy populace. Customers can now browse online and pick up things offline, or vice versa, thanks to hybrid or "</w:t>
      </w:r>
      <w:proofErr w:type="spellStart"/>
      <w:r>
        <w:rPr>
          <w:sz w:val="24"/>
          <w:szCs w:val="24"/>
        </w:rPr>
        <w:t>phygital</w:t>
      </w:r>
      <w:proofErr w:type="spellEnd"/>
      <w:r>
        <w:rPr>
          <w:sz w:val="24"/>
          <w:szCs w:val="24"/>
        </w:rPr>
        <w:t>" retail models that combine digital and physical interactions (</w:t>
      </w:r>
      <w:proofErr w:type="spellStart"/>
      <w:r>
        <w:rPr>
          <w:sz w:val="24"/>
          <w:szCs w:val="24"/>
        </w:rPr>
        <w:t>ImagesBoF</w:t>
      </w:r>
      <w:proofErr w:type="spellEnd"/>
      <w:r>
        <w:rPr>
          <w:sz w:val="24"/>
          <w:szCs w:val="24"/>
        </w:rPr>
        <w:t>, 2024). The competitive dynamics of the Indian footwear industry are being redefined by these advances.</w:t>
      </w:r>
    </w:p>
    <w:p w14:paraId="4B44AB52" w14:textId="77777777" w:rsidR="00143F6B" w:rsidRDefault="001D6560">
      <w:pPr>
        <w:tabs>
          <w:tab w:val="left" w:pos="1277"/>
        </w:tabs>
        <w:spacing w:line="360" w:lineRule="auto"/>
        <w:jc w:val="both"/>
        <w:rPr>
          <w:b/>
          <w:bCs/>
          <w:sz w:val="24"/>
          <w:szCs w:val="24"/>
        </w:rPr>
      </w:pPr>
      <w:r>
        <w:rPr>
          <w:b/>
          <w:bCs/>
          <w:sz w:val="24"/>
          <w:szCs w:val="24"/>
        </w:rPr>
        <w:t>2.2 Consumer Behavior and Channel Preferences</w:t>
      </w:r>
    </w:p>
    <w:p w14:paraId="246D5942" w14:textId="77777777" w:rsidR="00143F6B" w:rsidRDefault="001D6560">
      <w:pPr>
        <w:tabs>
          <w:tab w:val="left" w:pos="1277"/>
        </w:tabs>
        <w:spacing w:line="360" w:lineRule="auto"/>
        <w:jc w:val="both"/>
        <w:rPr>
          <w:sz w:val="24"/>
          <w:szCs w:val="24"/>
        </w:rPr>
      </w:pPr>
      <w:r>
        <w:rPr>
          <w:sz w:val="24"/>
          <w:szCs w:val="24"/>
        </w:rPr>
        <w:t>In the digital age, consumer behavior when buying shoes has grown more complicated. According to studies, Indian consumers exhibit strong dual preferences based on price point and product category. Online platforms are preferred for casual and athletic footwear because of their ease of comparison, accessibility, and regular discounts, while offline stores continue to be the primary source for footwear that needs to be physically tested, such as formal shoes or custom designs (</w:t>
      </w:r>
      <w:proofErr w:type="spellStart"/>
      <w:r>
        <w:rPr>
          <w:sz w:val="24"/>
          <w:szCs w:val="24"/>
        </w:rPr>
        <w:t>ResearchGate</w:t>
      </w:r>
      <w:proofErr w:type="spellEnd"/>
      <w:r>
        <w:rPr>
          <w:sz w:val="24"/>
          <w:szCs w:val="24"/>
        </w:rPr>
        <w:t>, 2021). Urban customers are more likely to engage in "</w:t>
      </w:r>
      <w:proofErr w:type="spellStart"/>
      <w:r>
        <w:rPr>
          <w:sz w:val="24"/>
          <w:szCs w:val="24"/>
        </w:rPr>
        <w:t>webrooming</w:t>
      </w:r>
      <w:proofErr w:type="spellEnd"/>
      <w:r>
        <w:rPr>
          <w:sz w:val="24"/>
          <w:szCs w:val="24"/>
        </w:rPr>
        <w:t>," where they conduct online research but make in-store purchases, and "showrooming," where they conduct offline testing but make online purchases (</w:t>
      </w:r>
      <w:proofErr w:type="spellStart"/>
      <w:r>
        <w:rPr>
          <w:sz w:val="24"/>
          <w:szCs w:val="24"/>
        </w:rPr>
        <w:t>Rajshila</w:t>
      </w:r>
      <w:proofErr w:type="spellEnd"/>
      <w:r>
        <w:rPr>
          <w:sz w:val="24"/>
          <w:szCs w:val="24"/>
        </w:rPr>
        <w:t>, 2024). These evolving behaviors underscore the need for footwear firms to develop strategies that effectively integrate both offline and online channels.</w:t>
      </w:r>
    </w:p>
    <w:p w14:paraId="1206051B" w14:textId="77777777" w:rsidR="00143F6B" w:rsidRDefault="001D6560">
      <w:pPr>
        <w:tabs>
          <w:tab w:val="left" w:pos="1277"/>
        </w:tabs>
        <w:spacing w:line="360" w:lineRule="auto"/>
        <w:jc w:val="both"/>
        <w:rPr>
          <w:sz w:val="24"/>
          <w:szCs w:val="24"/>
        </w:rPr>
      </w:pPr>
      <w:r>
        <w:rPr>
          <w:sz w:val="24"/>
          <w:szCs w:val="24"/>
        </w:rPr>
        <w:t>These choices are also influenced by generational differences. While older consumers are still loyal to traditional retail establishments that offer in-person help and chances for in-person trials, younger consumers between the ages of eighteen and thirty-five are more likely to use internet channels, especially for fashion-oriented footwear (Grand View Research, 2022). In order to preserve consumer trust and engagement across both channels, these behavioral patterns have forced businesses to reconsider marketing communication, pricing transparency, and post-purchase service delivery.</w:t>
      </w:r>
    </w:p>
    <w:p w14:paraId="0BFEA545" w14:textId="77777777" w:rsidR="00143F6B" w:rsidRDefault="001D6560">
      <w:pPr>
        <w:tabs>
          <w:tab w:val="left" w:pos="1277"/>
        </w:tabs>
        <w:spacing w:line="360" w:lineRule="auto"/>
        <w:jc w:val="both"/>
        <w:rPr>
          <w:b/>
          <w:bCs/>
          <w:sz w:val="24"/>
          <w:szCs w:val="24"/>
        </w:rPr>
      </w:pPr>
      <w:r>
        <w:rPr>
          <w:b/>
          <w:bCs/>
          <w:sz w:val="24"/>
          <w:szCs w:val="24"/>
        </w:rPr>
        <w:t>2.3 Business and Management Strategies</w:t>
      </w:r>
    </w:p>
    <w:p w14:paraId="4316EDFB" w14:textId="77777777" w:rsidR="00143F6B" w:rsidRDefault="001D6560">
      <w:pPr>
        <w:tabs>
          <w:tab w:val="left" w:pos="1277"/>
        </w:tabs>
        <w:spacing w:line="360" w:lineRule="auto"/>
        <w:jc w:val="both"/>
        <w:rPr>
          <w:sz w:val="24"/>
          <w:szCs w:val="24"/>
        </w:rPr>
      </w:pPr>
      <w:r>
        <w:rPr>
          <w:sz w:val="24"/>
          <w:szCs w:val="24"/>
        </w:rPr>
        <w:t>Indian shoe manufacturers have used a variety of tactics to run their dual-channel businesses. Whereas online tactics rely on digital marketing, user interface design, logistics management, and effective return policies, offline business models are mostly based on location, customer experience, and after-sales support (</w:t>
      </w:r>
      <w:proofErr w:type="spellStart"/>
      <w:r>
        <w:rPr>
          <w:sz w:val="24"/>
          <w:szCs w:val="24"/>
        </w:rPr>
        <w:t>ImagesBoF</w:t>
      </w:r>
      <w:proofErr w:type="spellEnd"/>
      <w:r>
        <w:rPr>
          <w:sz w:val="24"/>
          <w:szCs w:val="24"/>
        </w:rPr>
        <w:t xml:space="preserve">, 2024). To provide a cohesive purchasing experience, several businesses are making significant investments in </w:t>
      </w:r>
      <w:proofErr w:type="spellStart"/>
      <w:r>
        <w:rPr>
          <w:sz w:val="24"/>
          <w:szCs w:val="24"/>
        </w:rPr>
        <w:t>omnichannel</w:t>
      </w:r>
      <w:proofErr w:type="spellEnd"/>
      <w:r>
        <w:rPr>
          <w:sz w:val="24"/>
          <w:szCs w:val="24"/>
        </w:rPr>
        <w:t xml:space="preserve"> integration. For example, Bata India launched "click-and-collect" services that let consumers place online orders and pick them up at local stores, lowering delivery costs and boosting in-store visits. In a similar vein, Campus </w:t>
      </w:r>
      <w:proofErr w:type="spellStart"/>
      <w:r>
        <w:rPr>
          <w:sz w:val="24"/>
          <w:szCs w:val="24"/>
        </w:rPr>
        <w:t>Activewear</w:t>
      </w:r>
      <w:proofErr w:type="spellEnd"/>
      <w:r>
        <w:rPr>
          <w:sz w:val="24"/>
          <w:szCs w:val="24"/>
        </w:rPr>
        <w:t xml:space="preserve"> has coordinated its price and inventory across channels to prevent internal rivalry (</w:t>
      </w:r>
      <w:proofErr w:type="spellStart"/>
      <w:r>
        <w:rPr>
          <w:sz w:val="24"/>
          <w:szCs w:val="24"/>
        </w:rPr>
        <w:t>Citius</w:t>
      </w:r>
      <w:proofErr w:type="spellEnd"/>
      <w:r>
        <w:rPr>
          <w:sz w:val="24"/>
          <w:szCs w:val="24"/>
        </w:rPr>
        <w:t xml:space="preserve"> Research, 2024). These strategies illustrate how Indian footwear firms are adapting to the challenges of managing both offline and online channels effectively.</w:t>
      </w:r>
    </w:p>
    <w:p w14:paraId="61B48C93" w14:textId="77777777" w:rsidR="00143F6B" w:rsidRDefault="001D6560">
      <w:pPr>
        <w:tabs>
          <w:tab w:val="left" w:pos="1277"/>
        </w:tabs>
        <w:spacing w:line="360" w:lineRule="auto"/>
        <w:jc w:val="both"/>
        <w:rPr>
          <w:sz w:val="24"/>
          <w:szCs w:val="24"/>
        </w:rPr>
      </w:pPr>
      <w:r>
        <w:rPr>
          <w:sz w:val="24"/>
          <w:szCs w:val="24"/>
        </w:rPr>
        <w:t>However, managerial issues continue to exist. Channel conflict, when advertising variations between online and offline venues cause confusion and undermine brand consistency, is one of the biggest problems. Operational challenges also include managing reverse logistics, synchronizing inventories across several sales locations, and keeping consistent consumer data (</w:t>
      </w:r>
      <w:proofErr w:type="spellStart"/>
      <w:r>
        <w:rPr>
          <w:sz w:val="24"/>
          <w:szCs w:val="24"/>
        </w:rPr>
        <w:t>Infomerics</w:t>
      </w:r>
      <w:proofErr w:type="spellEnd"/>
      <w:r>
        <w:rPr>
          <w:sz w:val="24"/>
          <w:szCs w:val="24"/>
        </w:rPr>
        <w:t xml:space="preserve"> Economic Research, 2023). Businesses are utilizing digital supply chain tools and data analytics to better integrate operations in order to address these issues.</w:t>
      </w:r>
    </w:p>
    <w:p w14:paraId="6681CDCC" w14:textId="77777777" w:rsidR="00143F6B" w:rsidRDefault="001D6560">
      <w:pPr>
        <w:tabs>
          <w:tab w:val="left" w:pos="1277"/>
        </w:tabs>
        <w:spacing w:line="360" w:lineRule="auto"/>
        <w:jc w:val="both"/>
        <w:rPr>
          <w:b/>
          <w:bCs/>
          <w:sz w:val="24"/>
          <w:szCs w:val="24"/>
        </w:rPr>
      </w:pPr>
      <w:r>
        <w:rPr>
          <w:b/>
          <w:bCs/>
          <w:sz w:val="24"/>
          <w:szCs w:val="24"/>
        </w:rPr>
        <w:t>2.4 Gaps in the Existing Literature</w:t>
      </w:r>
    </w:p>
    <w:p w14:paraId="1CC1089E" w14:textId="77777777" w:rsidR="00143F6B" w:rsidRDefault="001D6560">
      <w:pPr>
        <w:tabs>
          <w:tab w:val="left" w:pos="1277"/>
        </w:tabs>
        <w:spacing w:line="360" w:lineRule="auto"/>
        <w:jc w:val="both"/>
        <w:rPr>
          <w:sz w:val="24"/>
          <w:szCs w:val="24"/>
        </w:rPr>
      </w:pPr>
      <w:r>
        <w:rPr>
          <w:sz w:val="24"/>
          <w:szCs w:val="24"/>
        </w:rPr>
        <w:t>Although there are many market and consumer studies, the majority are quantitative and concentrate on customer demographics, sales numbers, or market size. Qualitative studies examining the managerial techniques and decision-making procedures underlying dual-channel strategies in the footwear sector are conspicuously lacking (Hansen, 2020). Additionally, very few studies explicitly examine the Indian setting, which blends one of the fastest-growing e-commerce environments in the world with traditional retail systems. By combining qualitative data from secondary sources, such as academic studies, market reports, and industry evaluations, this study aims to close that gap by interpreting how Indian footwear companies handle this difficult transition.</w:t>
      </w:r>
    </w:p>
    <w:p w14:paraId="34745264" w14:textId="77777777" w:rsidR="00143F6B" w:rsidRDefault="001D6560">
      <w:pPr>
        <w:tabs>
          <w:tab w:val="left" w:pos="1277"/>
        </w:tabs>
        <w:spacing w:line="360" w:lineRule="auto"/>
        <w:jc w:val="both"/>
        <w:rPr>
          <w:b/>
          <w:bCs/>
          <w:sz w:val="24"/>
          <w:szCs w:val="24"/>
        </w:rPr>
      </w:pPr>
      <w:r>
        <w:rPr>
          <w:b/>
          <w:bCs/>
          <w:sz w:val="24"/>
          <w:szCs w:val="24"/>
        </w:rPr>
        <w:t>3. Methodology</w:t>
      </w:r>
    </w:p>
    <w:p w14:paraId="6D899A9F" w14:textId="77777777" w:rsidR="00143F6B" w:rsidRDefault="001D6560">
      <w:pPr>
        <w:tabs>
          <w:tab w:val="left" w:pos="1277"/>
        </w:tabs>
        <w:spacing w:line="360" w:lineRule="auto"/>
        <w:jc w:val="both"/>
        <w:rPr>
          <w:sz w:val="24"/>
          <w:szCs w:val="24"/>
        </w:rPr>
      </w:pPr>
      <w:r>
        <w:rPr>
          <w:sz w:val="24"/>
          <w:szCs w:val="24"/>
        </w:rPr>
        <w:t>The study uses solely secondary data sources and adheres to a qualitative methodological paradigm. The framework of research philosophy, approach, strategy, and data analysis is guided by the Research Onion model created by Saunders et al. (UK Dissertation Writers, 2023). This approach allows for an in-depth understanding of managerial practices and consumer trends without the need for primary data collection.</w:t>
      </w:r>
    </w:p>
    <w:p w14:paraId="52FDACDD" w14:textId="77777777" w:rsidR="00143F6B" w:rsidRDefault="001D6560">
      <w:pPr>
        <w:tabs>
          <w:tab w:val="left" w:pos="1277"/>
        </w:tabs>
        <w:spacing w:line="360" w:lineRule="auto"/>
        <w:jc w:val="both"/>
      </w:pPr>
      <w:r>
        <w:rPr>
          <w:b/>
          <w:bCs/>
          <w:sz w:val="24"/>
          <w:szCs w:val="24"/>
        </w:rPr>
        <w:t xml:space="preserve">Research Philosophy – </w:t>
      </w:r>
      <w:proofErr w:type="spellStart"/>
      <w:r>
        <w:rPr>
          <w:b/>
          <w:bCs/>
          <w:sz w:val="24"/>
          <w:szCs w:val="24"/>
        </w:rPr>
        <w:t>Interpretivism</w:t>
      </w:r>
      <w:proofErr w:type="spellEnd"/>
      <w:r>
        <w:rPr>
          <w:b/>
          <w:bCs/>
          <w:sz w:val="24"/>
          <w:szCs w:val="24"/>
        </w:rPr>
        <w:t>:</w:t>
      </w:r>
      <w:r>
        <w:rPr>
          <w:sz w:val="24"/>
          <w:szCs w:val="24"/>
        </w:rPr>
        <w:t xml:space="preserve"> The philosophical foundation of this research is </w:t>
      </w:r>
      <w:proofErr w:type="spellStart"/>
      <w:r>
        <w:rPr>
          <w:sz w:val="24"/>
          <w:szCs w:val="24"/>
        </w:rPr>
        <w:t>Interpretivism</w:t>
      </w:r>
      <w:proofErr w:type="spellEnd"/>
      <w:r>
        <w:rPr>
          <w:sz w:val="24"/>
          <w:szCs w:val="24"/>
        </w:rPr>
        <w:t xml:space="preserve">, which holds that business and management phenomena must be understood within their social and contextual realities, forms the philosophical basis of this study. Instead than concentrating only on numerical trends, </w:t>
      </w:r>
      <w:proofErr w:type="spellStart"/>
      <w:r>
        <w:rPr>
          <w:sz w:val="24"/>
          <w:szCs w:val="24"/>
        </w:rPr>
        <w:t>interpretivism</w:t>
      </w:r>
      <w:proofErr w:type="spellEnd"/>
      <w:r>
        <w:rPr>
          <w:sz w:val="24"/>
          <w:szCs w:val="24"/>
        </w:rPr>
        <w:t xml:space="preserve"> allows the researcher to decipher meanings and managerial viewpoints included in qualitative materials like reports and case studies.</w:t>
      </w:r>
    </w:p>
    <w:p w14:paraId="68DD71B9" w14:textId="77777777" w:rsidR="00143F6B" w:rsidRDefault="001D6560">
      <w:pPr>
        <w:tabs>
          <w:tab w:val="left" w:pos="1277"/>
        </w:tabs>
        <w:spacing w:line="360" w:lineRule="auto"/>
        <w:jc w:val="both"/>
      </w:pPr>
      <w:r>
        <w:rPr>
          <w:b/>
          <w:bCs/>
          <w:sz w:val="24"/>
          <w:szCs w:val="24"/>
        </w:rPr>
        <w:t>Research Approach – Inductive:</w:t>
      </w:r>
      <w:r>
        <w:rPr>
          <w:sz w:val="24"/>
          <w:szCs w:val="24"/>
        </w:rPr>
        <w:t xml:space="preserve"> The research strategy as The study takes an inductive approach, starting with the gathering and analysis of secondary qualitative data before moving on to the creation of a hypothesis. Instead of testing preconceived notions, this enables the creation of new insights into how footwear companies handle their offline and online channels.</w:t>
      </w:r>
      <w:r>
        <w:rPr>
          <w:sz w:val="24"/>
          <w:szCs w:val="24"/>
        </w:rPr>
        <w:br/>
      </w:r>
      <w:r>
        <w:rPr>
          <w:sz w:val="24"/>
          <w:szCs w:val="24"/>
        </w:rPr>
        <w:br/>
      </w:r>
      <w:r>
        <w:rPr>
          <w:b/>
          <w:bCs/>
          <w:sz w:val="24"/>
          <w:szCs w:val="24"/>
        </w:rPr>
        <w:t>Research Strategy – Secondary Qualitative Analysis:</w:t>
      </w:r>
      <w:r>
        <w:rPr>
          <w:sz w:val="24"/>
          <w:szCs w:val="24"/>
        </w:rPr>
        <w:t xml:space="preserve"> Using reliable secondary sources such business annual reports, industry reviews, trade journals, and academic articles, the research approach is documentary analysis. This method allows for a thorough examination of the qualitative evidence already in existence without requiring original data. The study's cross-sectional time horizon, which includes data from the last five years (2020–2025), represents the time frame during which the industry underwent the biggest change.</w:t>
      </w:r>
    </w:p>
    <w:p w14:paraId="1260C570" w14:textId="77777777" w:rsidR="00143F6B" w:rsidRDefault="001D6560">
      <w:pPr>
        <w:tabs>
          <w:tab w:val="left" w:pos="1277"/>
        </w:tabs>
        <w:spacing w:line="360" w:lineRule="auto"/>
        <w:jc w:val="both"/>
      </w:pPr>
      <w:r>
        <w:rPr>
          <w:b/>
          <w:bCs/>
          <w:sz w:val="24"/>
          <w:szCs w:val="24"/>
        </w:rPr>
        <w:t>Data collection:</w:t>
      </w:r>
      <w:r>
        <w:rPr>
          <w:sz w:val="24"/>
          <w:szCs w:val="24"/>
        </w:rPr>
        <w:t xml:space="preserve"> Data collection will focus: High-quality, publicly accessible resources from reputable organizations like IMARC Group, </w:t>
      </w:r>
      <w:proofErr w:type="spellStart"/>
      <w:r>
        <w:rPr>
          <w:sz w:val="24"/>
          <w:szCs w:val="24"/>
        </w:rPr>
        <w:t>SkyQuest</w:t>
      </w:r>
      <w:proofErr w:type="spellEnd"/>
      <w:r>
        <w:rPr>
          <w:sz w:val="24"/>
          <w:szCs w:val="24"/>
        </w:rPr>
        <w:t xml:space="preserve"> Analytics, and </w:t>
      </w:r>
      <w:proofErr w:type="spellStart"/>
      <w:r>
        <w:rPr>
          <w:sz w:val="24"/>
          <w:szCs w:val="24"/>
        </w:rPr>
        <w:t>Infomerics</w:t>
      </w:r>
      <w:proofErr w:type="spellEnd"/>
      <w:r>
        <w:rPr>
          <w:sz w:val="24"/>
          <w:szCs w:val="24"/>
        </w:rPr>
        <w:t xml:space="preserve"> Economic Research will be the main emphasis of data collecting- which offer in-depth insights into market trends, consumer behavior, and industry forecasts—will be the main focus of data collecting. Annual reports, press announcements, and case studies from companies like Campus, </w:t>
      </w:r>
      <w:proofErr w:type="spellStart"/>
      <w:r>
        <w:rPr>
          <w:sz w:val="24"/>
          <w:szCs w:val="24"/>
        </w:rPr>
        <w:t>Relaxo</w:t>
      </w:r>
      <w:proofErr w:type="spellEnd"/>
      <w:r>
        <w:rPr>
          <w:sz w:val="24"/>
          <w:szCs w:val="24"/>
        </w:rPr>
        <w:t>, and Bata will also be analyzed in order to better comprehend management practices. To enhance knowledge of operational procedures and channel integration, trade periodicals and industry publications will also be consulted. This methodology guarantees that the research utilizes a variety of reliable secondary sources to generate solid qualitative insights (Hansen, 2020). This ensures that the study is grounded in reliable and relevant secondary data sources.</w:t>
      </w:r>
    </w:p>
    <w:p w14:paraId="25831D80" w14:textId="77777777" w:rsidR="00143F6B" w:rsidRDefault="001D6560">
      <w:pPr>
        <w:tabs>
          <w:tab w:val="left" w:pos="1277"/>
        </w:tabs>
        <w:spacing w:line="360" w:lineRule="auto"/>
        <w:jc w:val="both"/>
      </w:pPr>
      <w:r>
        <w:rPr>
          <w:b/>
          <w:bCs/>
          <w:sz w:val="24"/>
          <w:szCs w:val="24"/>
        </w:rPr>
        <w:t>Data analysis:</w:t>
      </w:r>
      <w:r>
        <w:rPr>
          <w:sz w:val="24"/>
          <w:szCs w:val="24"/>
        </w:rPr>
        <w:t xml:space="preserve"> Data analysis, which looks for recurrent themes and patterns in various sources, will be used in data analysis. Important topics like channel integration, customer happiness, logistics management, pricing, and </w:t>
      </w:r>
      <w:proofErr w:type="spellStart"/>
      <w:r>
        <w:rPr>
          <w:sz w:val="24"/>
          <w:szCs w:val="24"/>
        </w:rPr>
        <w:t>omnichannel</w:t>
      </w:r>
      <w:proofErr w:type="spellEnd"/>
      <w:r>
        <w:rPr>
          <w:sz w:val="24"/>
          <w:szCs w:val="24"/>
        </w:rPr>
        <w:t xml:space="preserve"> marketing will be the main focus of the analysis. The understanding of strategic approaches across markets and enterprises is made possible by this qualitative synthesis.</w:t>
      </w:r>
    </w:p>
    <w:p w14:paraId="320F79BD" w14:textId="77777777" w:rsidR="00143F6B" w:rsidRDefault="001D6560">
      <w:pPr>
        <w:tabs>
          <w:tab w:val="left" w:pos="1277"/>
        </w:tabs>
        <w:spacing w:line="360" w:lineRule="auto"/>
        <w:jc w:val="both"/>
        <w:rPr>
          <w:b/>
          <w:bCs/>
          <w:sz w:val="24"/>
          <w:szCs w:val="24"/>
        </w:rPr>
      </w:pPr>
      <w:r>
        <w:rPr>
          <w:b/>
          <w:bCs/>
          <w:sz w:val="24"/>
          <w:szCs w:val="24"/>
        </w:rPr>
        <w:t>4. Expected Outcomes and Contributions</w:t>
      </w:r>
    </w:p>
    <w:p w14:paraId="16BE1105" w14:textId="77777777" w:rsidR="00143F6B" w:rsidRDefault="001D6560">
      <w:pPr>
        <w:tabs>
          <w:tab w:val="left" w:pos="1277"/>
        </w:tabs>
        <w:spacing w:line="360" w:lineRule="auto"/>
        <w:jc w:val="both"/>
        <w:rPr>
          <w:sz w:val="24"/>
          <w:szCs w:val="24"/>
        </w:rPr>
      </w:pPr>
      <w:r>
        <w:rPr>
          <w:sz w:val="24"/>
          <w:szCs w:val="24"/>
        </w:rPr>
        <w:t xml:space="preserve">A better knowledge of how Indian footwear companies handle the shift from offline to online retailing is the anticipated result of this study. The investigation will probably show how businesses create </w:t>
      </w:r>
      <w:proofErr w:type="spellStart"/>
      <w:r>
        <w:rPr>
          <w:sz w:val="24"/>
          <w:szCs w:val="24"/>
        </w:rPr>
        <w:t>omnichannel</w:t>
      </w:r>
      <w:proofErr w:type="spellEnd"/>
      <w:r>
        <w:rPr>
          <w:sz w:val="24"/>
          <w:szCs w:val="24"/>
        </w:rPr>
        <w:t xml:space="preserve"> strategies that combine the benefits of both formats. Additionally, it will emphasize how crucial it is for managers to uphold linked supply chains, clear pricing, and a consistent corporate identity. From an academic standpoint, by using the Research Onion framework for secondary data analysis, the study will advance qualitative research on business and management in emerging economies (Saunders et al., 2019). Practically speaking, the results will help shoe managers create strategies that match customer expectations with operational effectiveness, which will ultimately result in a long-term competitive advantage in the digital era.</w:t>
      </w:r>
    </w:p>
    <w:p w14:paraId="149F99A0" w14:textId="77777777" w:rsidR="00143F6B" w:rsidRDefault="001D6560">
      <w:pPr>
        <w:tabs>
          <w:tab w:val="left" w:pos="1277"/>
        </w:tabs>
        <w:spacing w:line="360" w:lineRule="auto"/>
        <w:jc w:val="both"/>
        <w:rPr>
          <w:b/>
          <w:bCs/>
          <w:sz w:val="24"/>
          <w:szCs w:val="24"/>
        </w:rPr>
      </w:pPr>
      <w:r>
        <w:rPr>
          <w:b/>
          <w:bCs/>
          <w:sz w:val="24"/>
          <w:szCs w:val="24"/>
        </w:rPr>
        <w:t>5. Gantt Chart – 4-Month Dissertation Timeline</w:t>
      </w:r>
    </w:p>
    <w:tbl>
      <w:tblPr>
        <w:tblW w:w="9264" w:type="dxa"/>
        <w:tblInd w:w="30" w:type="dxa"/>
        <w:tblCellMar>
          <w:left w:w="10" w:type="dxa"/>
          <w:right w:w="10" w:type="dxa"/>
        </w:tblCellMar>
        <w:tblLook w:val="0000" w:firstRow="0" w:lastRow="0" w:firstColumn="0" w:lastColumn="0" w:noHBand="0" w:noVBand="0"/>
      </w:tblPr>
      <w:tblGrid>
        <w:gridCol w:w="5153"/>
        <w:gridCol w:w="1024"/>
        <w:gridCol w:w="1024"/>
        <w:gridCol w:w="1024"/>
        <w:gridCol w:w="1039"/>
      </w:tblGrid>
      <w:tr w:rsidR="00143F6B" w14:paraId="2266D1D3" w14:textId="77777777">
        <w:trPr>
          <w:trHeight w:val="554"/>
          <w:tblHeader/>
        </w:trPr>
        <w:tc>
          <w:tcPr>
            <w:tcW w:w="5153" w:type="dxa"/>
            <w:tcMar>
              <w:top w:w="15" w:type="dxa"/>
              <w:left w:w="15" w:type="dxa"/>
              <w:bottom w:w="15" w:type="dxa"/>
              <w:right w:w="15" w:type="dxa"/>
            </w:tcMar>
            <w:vAlign w:val="center"/>
          </w:tcPr>
          <w:p w14:paraId="49D55A6D" w14:textId="77777777" w:rsidR="00143F6B" w:rsidRDefault="001D6560">
            <w:pPr>
              <w:tabs>
                <w:tab w:val="left" w:pos="1277"/>
              </w:tabs>
              <w:spacing w:line="360" w:lineRule="auto"/>
              <w:jc w:val="both"/>
              <w:rPr>
                <w:b/>
                <w:bCs/>
                <w:sz w:val="24"/>
                <w:szCs w:val="24"/>
              </w:rPr>
            </w:pPr>
            <w:r>
              <w:rPr>
                <w:b/>
                <w:bCs/>
                <w:sz w:val="24"/>
                <w:szCs w:val="24"/>
              </w:rPr>
              <w:t>Activities / Timeline</w:t>
            </w:r>
          </w:p>
        </w:tc>
        <w:tc>
          <w:tcPr>
            <w:tcW w:w="1024" w:type="dxa"/>
            <w:tcMar>
              <w:top w:w="15" w:type="dxa"/>
              <w:left w:w="15" w:type="dxa"/>
              <w:bottom w:w="15" w:type="dxa"/>
              <w:right w:w="15" w:type="dxa"/>
            </w:tcMar>
            <w:vAlign w:val="center"/>
          </w:tcPr>
          <w:p w14:paraId="18FAF67F" w14:textId="77777777" w:rsidR="00143F6B" w:rsidRDefault="001D6560">
            <w:pPr>
              <w:tabs>
                <w:tab w:val="left" w:pos="1277"/>
              </w:tabs>
              <w:spacing w:line="360" w:lineRule="auto"/>
              <w:jc w:val="both"/>
              <w:rPr>
                <w:b/>
                <w:bCs/>
                <w:sz w:val="24"/>
                <w:szCs w:val="24"/>
              </w:rPr>
            </w:pPr>
            <w:r>
              <w:rPr>
                <w:b/>
                <w:bCs/>
                <w:sz w:val="24"/>
                <w:szCs w:val="24"/>
              </w:rPr>
              <w:t>Month 1</w:t>
            </w:r>
          </w:p>
        </w:tc>
        <w:tc>
          <w:tcPr>
            <w:tcW w:w="1024" w:type="dxa"/>
            <w:tcMar>
              <w:top w:w="15" w:type="dxa"/>
              <w:left w:w="15" w:type="dxa"/>
              <w:bottom w:w="15" w:type="dxa"/>
              <w:right w:w="15" w:type="dxa"/>
            </w:tcMar>
            <w:vAlign w:val="center"/>
          </w:tcPr>
          <w:p w14:paraId="6ECF1304" w14:textId="77777777" w:rsidR="00143F6B" w:rsidRDefault="001D6560">
            <w:pPr>
              <w:tabs>
                <w:tab w:val="left" w:pos="1277"/>
              </w:tabs>
              <w:spacing w:line="360" w:lineRule="auto"/>
              <w:jc w:val="both"/>
              <w:rPr>
                <w:b/>
                <w:bCs/>
                <w:sz w:val="24"/>
                <w:szCs w:val="24"/>
              </w:rPr>
            </w:pPr>
            <w:r>
              <w:rPr>
                <w:b/>
                <w:bCs/>
                <w:sz w:val="24"/>
                <w:szCs w:val="24"/>
              </w:rPr>
              <w:t>Month 2</w:t>
            </w:r>
          </w:p>
        </w:tc>
        <w:tc>
          <w:tcPr>
            <w:tcW w:w="1024" w:type="dxa"/>
            <w:tcMar>
              <w:top w:w="15" w:type="dxa"/>
              <w:left w:w="15" w:type="dxa"/>
              <w:bottom w:w="15" w:type="dxa"/>
              <w:right w:w="15" w:type="dxa"/>
            </w:tcMar>
            <w:vAlign w:val="center"/>
          </w:tcPr>
          <w:p w14:paraId="19197917" w14:textId="77777777" w:rsidR="00143F6B" w:rsidRDefault="001D6560">
            <w:pPr>
              <w:tabs>
                <w:tab w:val="left" w:pos="1277"/>
              </w:tabs>
              <w:spacing w:line="360" w:lineRule="auto"/>
              <w:jc w:val="both"/>
              <w:rPr>
                <w:b/>
                <w:bCs/>
                <w:sz w:val="24"/>
                <w:szCs w:val="24"/>
              </w:rPr>
            </w:pPr>
            <w:r>
              <w:rPr>
                <w:b/>
                <w:bCs/>
                <w:sz w:val="24"/>
                <w:szCs w:val="24"/>
              </w:rPr>
              <w:t>Month 3</w:t>
            </w:r>
          </w:p>
        </w:tc>
        <w:tc>
          <w:tcPr>
            <w:tcW w:w="1039" w:type="dxa"/>
            <w:tcMar>
              <w:top w:w="15" w:type="dxa"/>
              <w:left w:w="15" w:type="dxa"/>
              <w:bottom w:w="15" w:type="dxa"/>
              <w:right w:w="15" w:type="dxa"/>
            </w:tcMar>
            <w:vAlign w:val="center"/>
          </w:tcPr>
          <w:p w14:paraId="01472BC5" w14:textId="77777777" w:rsidR="00143F6B" w:rsidRDefault="001D6560">
            <w:pPr>
              <w:tabs>
                <w:tab w:val="left" w:pos="1277"/>
              </w:tabs>
              <w:spacing w:line="360" w:lineRule="auto"/>
              <w:jc w:val="both"/>
              <w:rPr>
                <w:b/>
                <w:bCs/>
                <w:sz w:val="24"/>
                <w:szCs w:val="24"/>
              </w:rPr>
            </w:pPr>
            <w:r>
              <w:rPr>
                <w:b/>
                <w:bCs/>
                <w:sz w:val="24"/>
                <w:szCs w:val="24"/>
              </w:rPr>
              <w:t>Month 4</w:t>
            </w:r>
          </w:p>
        </w:tc>
      </w:tr>
      <w:tr w:rsidR="00143F6B" w14:paraId="5AC179A2" w14:textId="77777777">
        <w:trPr>
          <w:trHeight w:val="554"/>
        </w:trPr>
        <w:tc>
          <w:tcPr>
            <w:tcW w:w="5153" w:type="dxa"/>
            <w:tcMar>
              <w:top w:w="15" w:type="dxa"/>
              <w:left w:w="15" w:type="dxa"/>
              <w:bottom w:w="15" w:type="dxa"/>
              <w:right w:w="15" w:type="dxa"/>
            </w:tcMar>
            <w:vAlign w:val="center"/>
          </w:tcPr>
          <w:p w14:paraId="5D8C5A67" w14:textId="77777777" w:rsidR="00143F6B" w:rsidRDefault="001D6560">
            <w:pPr>
              <w:tabs>
                <w:tab w:val="left" w:pos="1277"/>
              </w:tabs>
              <w:spacing w:line="360" w:lineRule="auto"/>
              <w:jc w:val="both"/>
              <w:rPr>
                <w:sz w:val="24"/>
                <w:szCs w:val="24"/>
              </w:rPr>
            </w:pPr>
            <w:r>
              <w:rPr>
                <w:sz w:val="24"/>
                <w:szCs w:val="24"/>
              </w:rPr>
              <w:t>Literature Review and Conceptual Framework</w:t>
            </w:r>
          </w:p>
        </w:tc>
        <w:tc>
          <w:tcPr>
            <w:tcW w:w="1024" w:type="dxa"/>
            <w:tcMar>
              <w:top w:w="15" w:type="dxa"/>
              <w:left w:w="15" w:type="dxa"/>
              <w:bottom w:w="15" w:type="dxa"/>
              <w:right w:w="15" w:type="dxa"/>
            </w:tcMar>
            <w:vAlign w:val="center"/>
          </w:tcPr>
          <w:p w14:paraId="6C750316" w14:textId="77777777" w:rsidR="00143F6B" w:rsidRDefault="001D6560">
            <w:pPr>
              <w:tabs>
                <w:tab w:val="left" w:pos="1277"/>
              </w:tabs>
              <w:spacing w:line="360" w:lineRule="auto"/>
              <w:jc w:val="both"/>
              <w:rPr>
                <w:sz w:val="24"/>
                <w:szCs w:val="24"/>
              </w:rPr>
            </w:pPr>
            <w:r>
              <w:rPr>
                <w:sz w:val="24"/>
                <w:szCs w:val="24"/>
              </w:rPr>
              <w:t>●●</w:t>
            </w:r>
          </w:p>
        </w:tc>
        <w:tc>
          <w:tcPr>
            <w:tcW w:w="1024" w:type="dxa"/>
            <w:tcMar>
              <w:top w:w="15" w:type="dxa"/>
              <w:left w:w="15" w:type="dxa"/>
              <w:bottom w:w="15" w:type="dxa"/>
              <w:right w:w="15" w:type="dxa"/>
            </w:tcMar>
            <w:vAlign w:val="center"/>
          </w:tcPr>
          <w:p w14:paraId="6004472B" w14:textId="77777777" w:rsidR="00143F6B" w:rsidRDefault="00143F6B">
            <w:pPr>
              <w:tabs>
                <w:tab w:val="left" w:pos="1277"/>
              </w:tabs>
              <w:spacing w:line="360" w:lineRule="auto"/>
              <w:jc w:val="both"/>
              <w:rPr>
                <w:sz w:val="24"/>
                <w:szCs w:val="24"/>
              </w:rPr>
            </w:pPr>
          </w:p>
        </w:tc>
        <w:tc>
          <w:tcPr>
            <w:tcW w:w="1024" w:type="dxa"/>
            <w:tcMar>
              <w:top w:w="15" w:type="dxa"/>
              <w:left w:w="15" w:type="dxa"/>
              <w:bottom w:w="15" w:type="dxa"/>
              <w:right w:w="15" w:type="dxa"/>
            </w:tcMar>
            <w:vAlign w:val="center"/>
          </w:tcPr>
          <w:p w14:paraId="1F2B3748" w14:textId="77777777" w:rsidR="00143F6B" w:rsidRDefault="00143F6B">
            <w:pPr>
              <w:tabs>
                <w:tab w:val="left" w:pos="1277"/>
              </w:tabs>
              <w:spacing w:line="360" w:lineRule="auto"/>
              <w:jc w:val="both"/>
              <w:rPr>
                <w:sz w:val="24"/>
                <w:szCs w:val="24"/>
              </w:rPr>
            </w:pPr>
          </w:p>
        </w:tc>
        <w:tc>
          <w:tcPr>
            <w:tcW w:w="1039" w:type="dxa"/>
            <w:tcMar>
              <w:top w:w="15" w:type="dxa"/>
              <w:left w:w="15" w:type="dxa"/>
              <w:bottom w:w="15" w:type="dxa"/>
              <w:right w:w="15" w:type="dxa"/>
            </w:tcMar>
            <w:vAlign w:val="center"/>
          </w:tcPr>
          <w:p w14:paraId="57F485E5" w14:textId="77777777" w:rsidR="00143F6B" w:rsidRDefault="00143F6B">
            <w:pPr>
              <w:tabs>
                <w:tab w:val="left" w:pos="1277"/>
              </w:tabs>
              <w:spacing w:line="360" w:lineRule="auto"/>
              <w:jc w:val="both"/>
              <w:rPr>
                <w:sz w:val="24"/>
                <w:szCs w:val="24"/>
              </w:rPr>
            </w:pPr>
          </w:p>
        </w:tc>
      </w:tr>
      <w:tr w:rsidR="00143F6B" w14:paraId="2B117FF5" w14:textId="77777777">
        <w:trPr>
          <w:trHeight w:val="554"/>
        </w:trPr>
        <w:tc>
          <w:tcPr>
            <w:tcW w:w="5153" w:type="dxa"/>
            <w:tcMar>
              <w:top w:w="15" w:type="dxa"/>
              <w:left w:w="15" w:type="dxa"/>
              <w:bottom w:w="15" w:type="dxa"/>
              <w:right w:w="15" w:type="dxa"/>
            </w:tcMar>
            <w:vAlign w:val="center"/>
          </w:tcPr>
          <w:p w14:paraId="4B6414B7" w14:textId="77777777" w:rsidR="00143F6B" w:rsidRDefault="001D6560">
            <w:pPr>
              <w:tabs>
                <w:tab w:val="left" w:pos="1277"/>
              </w:tabs>
              <w:spacing w:line="360" w:lineRule="auto"/>
              <w:jc w:val="both"/>
              <w:rPr>
                <w:sz w:val="24"/>
                <w:szCs w:val="24"/>
              </w:rPr>
            </w:pPr>
            <w:r>
              <w:rPr>
                <w:sz w:val="24"/>
                <w:szCs w:val="24"/>
              </w:rPr>
              <w:t>Collection and Organization of Secondary Data</w:t>
            </w:r>
          </w:p>
        </w:tc>
        <w:tc>
          <w:tcPr>
            <w:tcW w:w="1024" w:type="dxa"/>
            <w:tcMar>
              <w:top w:w="15" w:type="dxa"/>
              <w:left w:w="15" w:type="dxa"/>
              <w:bottom w:w="15" w:type="dxa"/>
              <w:right w:w="15" w:type="dxa"/>
            </w:tcMar>
            <w:vAlign w:val="center"/>
          </w:tcPr>
          <w:p w14:paraId="597B9AA7" w14:textId="77777777" w:rsidR="00143F6B" w:rsidRDefault="001D6560">
            <w:pPr>
              <w:tabs>
                <w:tab w:val="left" w:pos="1277"/>
              </w:tabs>
              <w:spacing w:line="360" w:lineRule="auto"/>
              <w:jc w:val="both"/>
              <w:rPr>
                <w:sz w:val="24"/>
                <w:szCs w:val="24"/>
              </w:rPr>
            </w:pPr>
            <w:r>
              <w:rPr>
                <w:sz w:val="24"/>
                <w:szCs w:val="24"/>
              </w:rPr>
              <w:t>●●</w:t>
            </w:r>
          </w:p>
        </w:tc>
        <w:tc>
          <w:tcPr>
            <w:tcW w:w="1024" w:type="dxa"/>
            <w:tcMar>
              <w:top w:w="15" w:type="dxa"/>
              <w:left w:w="15" w:type="dxa"/>
              <w:bottom w:w="15" w:type="dxa"/>
              <w:right w:w="15" w:type="dxa"/>
            </w:tcMar>
            <w:vAlign w:val="center"/>
          </w:tcPr>
          <w:p w14:paraId="75E8E144" w14:textId="77777777" w:rsidR="00143F6B" w:rsidRDefault="001D6560">
            <w:pPr>
              <w:tabs>
                <w:tab w:val="left" w:pos="1277"/>
              </w:tabs>
              <w:spacing w:line="360" w:lineRule="auto"/>
              <w:jc w:val="both"/>
              <w:rPr>
                <w:sz w:val="24"/>
                <w:szCs w:val="24"/>
              </w:rPr>
            </w:pPr>
            <w:r>
              <w:rPr>
                <w:sz w:val="24"/>
                <w:szCs w:val="24"/>
              </w:rPr>
              <w:t>●●</w:t>
            </w:r>
          </w:p>
        </w:tc>
        <w:tc>
          <w:tcPr>
            <w:tcW w:w="1024" w:type="dxa"/>
            <w:tcMar>
              <w:top w:w="15" w:type="dxa"/>
              <w:left w:w="15" w:type="dxa"/>
              <w:bottom w:w="15" w:type="dxa"/>
              <w:right w:w="15" w:type="dxa"/>
            </w:tcMar>
            <w:vAlign w:val="center"/>
          </w:tcPr>
          <w:p w14:paraId="0216DD6D" w14:textId="77777777" w:rsidR="00143F6B" w:rsidRDefault="00143F6B">
            <w:pPr>
              <w:tabs>
                <w:tab w:val="left" w:pos="1277"/>
              </w:tabs>
              <w:spacing w:line="360" w:lineRule="auto"/>
              <w:jc w:val="both"/>
              <w:rPr>
                <w:sz w:val="24"/>
                <w:szCs w:val="24"/>
              </w:rPr>
            </w:pPr>
          </w:p>
        </w:tc>
        <w:tc>
          <w:tcPr>
            <w:tcW w:w="1039" w:type="dxa"/>
            <w:tcMar>
              <w:top w:w="15" w:type="dxa"/>
              <w:left w:w="15" w:type="dxa"/>
              <w:bottom w:w="15" w:type="dxa"/>
              <w:right w:w="15" w:type="dxa"/>
            </w:tcMar>
            <w:vAlign w:val="center"/>
          </w:tcPr>
          <w:p w14:paraId="42394B7B" w14:textId="77777777" w:rsidR="00143F6B" w:rsidRDefault="00143F6B">
            <w:pPr>
              <w:tabs>
                <w:tab w:val="left" w:pos="1277"/>
              </w:tabs>
              <w:spacing w:line="360" w:lineRule="auto"/>
              <w:jc w:val="both"/>
              <w:rPr>
                <w:sz w:val="24"/>
                <w:szCs w:val="24"/>
              </w:rPr>
            </w:pPr>
          </w:p>
        </w:tc>
      </w:tr>
      <w:tr w:rsidR="00143F6B" w14:paraId="12B69103" w14:textId="77777777">
        <w:trPr>
          <w:trHeight w:val="568"/>
        </w:trPr>
        <w:tc>
          <w:tcPr>
            <w:tcW w:w="5153" w:type="dxa"/>
            <w:tcMar>
              <w:top w:w="15" w:type="dxa"/>
              <w:left w:w="15" w:type="dxa"/>
              <w:bottom w:w="15" w:type="dxa"/>
              <w:right w:w="15" w:type="dxa"/>
            </w:tcMar>
            <w:vAlign w:val="center"/>
          </w:tcPr>
          <w:p w14:paraId="5966B56A" w14:textId="77777777" w:rsidR="00143F6B" w:rsidRDefault="001D6560">
            <w:pPr>
              <w:tabs>
                <w:tab w:val="left" w:pos="1277"/>
              </w:tabs>
              <w:spacing w:line="360" w:lineRule="auto"/>
              <w:jc w:val="both"/>
              <w:rPr>
                <w:sz w:val="24"/>
                <w:szCs w:val="24"/>
              </w:rPr>
            </w:pPr>
            <w:r>
              <w:rPr>
                <w:sz w:val="24"/>
                <w:szCs w:val="24"/>
              </w:rPr>
              <w:t>Thematic Analysis and Interpretation</w:t>
            </w:r>
          </w:p>
        </w:tc>
        <w:tc>
          <w:tcPr>
            <w:tcW w:w="1024" w:type="dxa"/>
            <w:tcMar>
              <w:top w:w="15" w:type="dxa"/>
              <w:left w:w="15" w:type="dxa"/>
              <w:bottom w:w="15" w:type="dxa"/>
              <w:right w:w="15" w:type="dxa"/>
            </w:tcMar>
            <w:vAlign w:val="center"/>
          </w:tcPr>
          <w:p w14:paraId="544A946D" w14:textId="77777777" w:rsidR="00143F6B" w:rsidRDefault="00143F6B">
            <w:pPr>
              <w:tabs>
                <w:tab w:val="left" w:pos="1277"/>
              </w:tabs>
              <w:spacing w:line="360" w:lineRule="auto"/>
              <w:jc w:val="both"/>
              <w:rPr>
                <w:sz w:val="24"/>
                <w:szCs w:val="24"/>
              </w:rPr>
            </w:pPr>
          </w:p>
        </w:tc>
        <w:tc>
          <w:tcPr>
            <w:tcW w:w="1024" w:type="dxa"/>
            <w:tcMar>
              <w:top w:w="15" w:type="dxa"/>
              <w:left w:w="15" w:type="dxa"/>
              <w:bottom w:w="15" w:type="dxa"/>
              <w:right w:w="15" w:type="dxa"/>
            </w:tcMar>
            <w:vAlign w:val="center"/>
          </w:tcPr>
          <w:p w14:paraId="4C2CE92C" w14:textId="77777777" w:rsidR="00143F6B" w:rsidRDefault="001D6560">
            <w:pPr>
              <w:tabs>
                <w:tab w:val="left" w:pos="1277"/>
              </w:tabs>
              <w:spacing w:line="360" w:lineRule="auto"/>
              <w:jc w:val="both"/>
              <w:rPr>
                <w:sz w:val="24"/>
                <w:szCs w:val="24"/>
              </w:rPr>
            </w:pPr>
            <w:r>
              <w:rPr>
                <w:sz w:val="24"/>
                <w:szCs w:val="24"/>
              </w:rPr>
              <w:t>●●</w:t>
            </w:r>
          </w:p>
        </w:tc>
        <w:tc>
          <w:tcPr>
            <w:tcW w:w="1024" w:type="dxa"/>
            <w:tcMar>
              <w:top w:w="15" w:type="dxa"/>
              <w:left w:w="15" w:type="dxa"/>
              <w:bottom w:w="15" w:type="dxa"/>
              <w:right w:w="15" w:type="dxa"/>
            </w:tcMar>
            <w:vAlign w:val="center"/>
          </w:tcPr>
          <w:p w14:paraId="71FA1313" w14:textId="77777777" w:rsidR="00143F6B" w:rsidRDefault="001D6560">
            <w:pPr>
              <w:tabs>
                <w:tab w:val="left" w:pos="1277"/>
              </w:tabs>
              <w:spacing w:line="360" w:lineRule="auto"/>
              <w:jc w:val="both"/>
              <w:rPr>
                <w:sz w:val="24"/>
                <w:szCs w:val="24"/>
              </w:rPr>
            </w:pPr>
            <w:r>
              <w:rPr>
                <w:sz w:val="24"/>
                <w:szCs w:val="24"/>
              </w:rPr>
              <w:t>●●</w:t>
            </w:r>
          </w:p>
        </w:tc>
        <w:tc>
          <w:tcPr>
            <w:tcW w:w="1039" w:type="dxa"/>
            <w:tcMar>
              <w:top w:w="15" w:type="dxa"/>
              <w:left w:w="15" w:type="dxa"/>
              <w:bottom w:w="15" w:type="dxa"/>
              <w:right w:w="15" w:type="dxa"/>
            </w:tcMar>
            <w:vAlign w:val="center"/>
          </w:tcPr>
          <w:p w14:paraId="21BAB4CB" w14:textId="77777777" w:rsidR="00143F6B" w:rsidRDefault="00143F6B">
            <w:pPr>
              <w:tabs>
                <w:tab w:val="left" w:pos="1277"/>
              </w:tabs>
              <w:spacing w:line="360" w:lineRule="auto"/>
              <w:jc w:val="both"/>
              <w:rPr>
                <w:sz w:val="24"/>
                <w:szCs w:val="24"/>
              </w:rPr>
            </w:pPr>
          </w:p>
        </w:tc>
      </w:tr>
      <w:tr w:rsidR="00143F6B" w14:paraId="79025396" w14:textId="77777777">
        <w:trPr>
          <w:trHeight w:val="554"/>
        </w:trPr>
        <w:tc>
          <w:tcPr>
            <w:tcW w:w="5153" w:type="dxa"/>
            <w:tcMar>
              <w:top w:w="15" w:type="dxa"/>
              <w:left w:w="15" w:type="dxa"/>
              <w:bottom w:w="15" w:type="dxa"/>
              <w:right w:w="15" w:type="dxa"/>
            </w:tcMar>
            <w:vAlign w:val="center"/>
          </w:tcPr>
          <w:p w14:paraId="00E5DB96" w14:textId="77777777" w:rsidR="00143F6B" w:rsidRDefault="001D6560">
            <w:pPr>
              <w:tabs>
                <w:tab w:val="left" w:pos="1277"/>
              </w:tabs>
              <w:spacing w:line="360" w:lineRule="auto"/>
              <w:jc w:val="both"/>
              <w:rPr>
                <w:sz w:val="24"/>
                <w:szCs w:val="24"/>
              </w:rPr>
            </w:pPr>
            <w:r>
              <w:rPr>
                <w:sz w:val="24"/>
                <w:szCs w:val="24"/>
              </w:rPr>
              <w:t>Drafting Discussion and Conclusions</w:t>
            </w:r>
          </w:p>
        </w:tc>
        <w:tc>
          <w:tcPr>
            <w:tcW w:w="1024" w:type="dxa"/>
            <w:tcMar>
              <w:top w:w="15" w:type="dxa"/>
              <w:left w:w="15" w:type="dxa"/>
              <w:bottom w:w="15" w:type="dxa"/>
              <w:right w:w="15" w:type="dxa"/>
            </w:tcMar>
            <w:vAlign w:val="center"/>
          </w:tcPr>
          <w:p w14:paraId="0D25C583" w14:textId="77777777" w:rsidR="00143F6B" w:rsidRDefault="00143F6B">
            <w:pPr>
              <w:tabs>
                <w:tab w:val="left" w:pos="1277"/>
              </w:tabs>
              <w:spacing w:line="360" w:lineRule="auto"/>
              <w:jc w:val="both"/>
              <w:rPr>
                <w:sz w:val="24"/>
                <w:szCs w:val="24"/>
              </w:rPr>
            </w:pPr>
          </w:p>
        </w:tc>
        <w:tc>
          <w:tcPr>
            <w:tcW w:w="1024" w:type="dxa"/>
            <w:tcMar>
              <w:top w:w="15" w:type="dxa"/>
              <w:left w:w="15" w:type="dxa"/>
              <w:bottom w:w="15" w:type="dxa"/>
              <w:right w:w="15" w:type="dxa"/>
            </w:tcMar>
            <w:vAlign w:val="center"/>
          </w:tcPr>
          <w:p w14:paraId="7D16F905" w14:textId="77777777" w:rsidR="00143F6B" w:rsidRDefault="00143F6B">
            <w:pPr>
              <w:tabs>
                <w:tab w:val="left" w:pos="1277"/>
              </w:tabs>
              <w:spacing w:line="360" w:lineRule="auto"/>
              <w:jc w:val="both"/>
              <w:rPr>
                <w:sz w:val="24"/>
                <w:szCs w:val="24"/>
              </w:rPr>
            </w:pPr>
          </w:p>
        </w:tc>
        <w:tc>
          <w:tcPr>
            <w:tcW w:w="1024" w:type="dxa"/>
            <w:tcMar>
              <w:top w:w="15" w:type="dxa"/>
              <w:left w:w="15" w:type="dxa"/>
              <w:bottom w:w="15" w:type="dxa"/>
              <w:right w:w="15" w:type="dxa"/>
            </w:tcMar>
            <w:vAlign w:val="center"/>
          </w:tcPr>
          <w:p w14:paraId="755C36A0" w14:textId="77777777" w:rsidR="00143F6B" w:rsidRDefault="001D6560">
            <w:pPr>
              <w:tabs>
                <w:tab w:val="left" w:pos="1277"/>
              </w:tabs>
              <w:spacing w:line="360" w:lineRule="auto"/>
              <w:jc w:val="both"/>
              <w:rPr>
                <w:sz w:val="24"/>
                <w:szCs w:val="24"/>
              </w:rPr>
            </w:pPr>
            <w:r>
              <w:rPr>
                <w:sz w:val="24"/>
                <w:szCs w:val="24"/>
              </w:rPr>
              <w:t>●●</w:t>
            </w:r>
          </w:p>
        </w:tc>
        <w:tc>
          <w:tcPr>
            <w:tcW w:w="1039" w:type="dxa"/>
            <w:tcMar>
              <w:top w:w="15" w:type="dxa"/>
              <w:left w:w="15" w:type="dxa"/>
              <w:bottom w:w="15" w:type="dxa"/>
              <w:right w:w="15" w:type="dxa"/>
            </w:tcMar>
            <w:vAlign w:val="center"/>
          </w:tcPr>
          <w:p w14:paraId="6DA89FAB" w14:textId="77777777" w:rsidR="00143F6B" w:rsidRDefault="00143F6B">
            <w:pPr>
              <w:tabs>
                <w:tab w:val="left" w:pos="1277"/>
              </w:tabs>
              <w:spacing w:line="360" w:lineRule="auto"/>
              <w:jc w:val="both"/>
              <w:rPr>
                <w:sz w:val="24"/>
                <w:szCs w:val="24"/>
              </w:rPr>
            </w:pPr>
          </w:p>
        </w:tc>
      </w:tr>
      <w:tr w:rsidR="00143F6B" w14:paraId="03E2A532" w14:textId="77777777">
        <w:trPr>
          <w:trHeight w:val="554"/>
        </w:trPr>
        <w:tc>
          <w:tcPr>
            <w:tcW w:w="5153" w:type="dxa"/>
            <w:tcMar>
              <w:top w:w="15" w:type="dxa"/>
              <w:left w:w="15" w:type="dxa"/>
              <w:bottom w:w="15" w:type="dxa"/>
              <w:right w:w="15" w:type="dxa"/>
            </w:tcMar>
            <w:vAlign w:val="center"/>
          </w:tcPr>
          <w:p w14:paraId="694D940E" w14:textId="77777777" w:rsidR="00143F6B" w:rsidRDefault="001D6560">
            <w:pPr>
              <w:tabs>
                <w:tab w:val="left" w:pos="1277"/>
              </w:tabs>
              <w:spacing w:line="360" w:lineRule="auto"/>
              <w:jc w:val="both"/>
              <w:rPr>
                <w:sz w:val="24"/>
                <w:szCs w:val="24"/>
              </w:rPr>
            </w:pPr>
            <w:r>
              <w:rPr>
                <w:sz w:val="24"/>
                <w:szCs w:val="24"/>
              </w:rPr>
              <w:t>Editing, Proofreading, and Final Submission</w:t>
            </w:r>
          </w:p>
        </w:tc>
        <w:tc>
          <w:tcPr>
            <w:tcW w:w="1024" w:type="dxa"/>
            <w:tcMar>
              <w:top w:w="15" w:type="dxa"/>
              <w:left w:w="15" w:type="dxa"/>
              <w:bottom w:w="15" w:type="dxa"/>
              <w:right w:w="15" w:type="dxa"/>
            </w:tcMar>
            <w:vAlign w:val="center"/>
          </w:tcPr>
          <w:p w14:paraId="6035D2F2" w14:textId="77777777" w:rsidR="00143F6B" w:rsidRDefault="00143F6B">
            <w:pPr>
              <w:tabs>
                <w:tab w:val="left" w:pos="1277"/>
              </w:tabs>
              <w:spacing w:line="360" w:lineRule="auto"/>
              <w:jc w:val="both"/>
              <w:rPr>
                <w:sz w:val="24"/>
                <w:szCs w:val="24"/>
              </w:rPr>
            </w:pPr>
          </w:p>
        </w:tc>
        <w:tc>
          <w:tcPr>
            <w:tcW w:w="1024" w:type="dxa"/>
            <w:tcMar>
              <w:top w:w="15" w:type="dxa"/>
              <w:left w:w="15" w:type="dxa"/>
              <w:bottom w:w="15" w:type="dxa"/>
              <w:right w:w="15" w:type="dxa"/>
            </w:tcMar>
            <w:vAlign w:val="center"/>
          </w:tcPr>
          <w:p w14:paraId="0BEA8368" w14:textId="77777777" w:rsidR="00143F6B" w:rsidRDefault="00143F6B">
            <w:pPr>
              <w:tabs>
                <w:tab w:val="left" w:pos="1277"/>
              </w:tabs>
              <w:spacing w:line="360" w:lineRule="auto"/>
              <w:jc w:val="both"/>
              <w:rPr>
                <w:sz w:val="24"/>
                <w:szCs w:val="24"/>
              </w:rPr>
            </w:pPr>
          </w:p>
        </w:tc>
        <w:tc>
          <w:tcPr>
            <w:tcW w:w="1024" w:type="dxa"/>
            <w:tcMar>
              <w:top w:w="15" w:type="dxa"/>
              <w:left w:w="15" w:type="dxa"/>
              <w:bottom w:w="15" w:type="dxa"/>
              <w:right w:w="15" w:type="dxa"/>
            </w:tcMar>
            <w:vAlign w:val="center"/>
          </w:tcPr>
          <w:p w14:paraId="3EBFD910" w14:textId="77777777" w:rsidR="00143F6B" w:rsidRDefault="00143F6B">
            <w:pPr>
              <w:tabs>
                <w:tab w:val="left" w:pos="1277"/>
              </w:tabs>
              <w:spacing w:line="360" w:lineRule="auto"/>
              <w:jc w:val="both"/>
              <w:rPr>
                <w:sz w:val="24"/>
                <w:szCs w:val="24"/>
              </w:rPr>
            </w:pPr>
          </w:p>
        </w:tc>
        <w:tc>
          <w:tcPr>
            <w:tcW w:w="1039" w:type="dxa"/>
            <w:tcMar>
              <w:top w:w="15" w:type="dxa"/>
              <w:left w:w="15" w:type="dxa"/>
              <w:bottom w:w="15" w:type="dxa"/>
              <w:right w:w="15" w:type="dxa"/>
            </w:tcMar>
            <w:vAlign w:val="center"/>
          </w:tcPr>
          <w:p w14:paraId="60F72210" w14:textId="77777777" w:rsidR="00143F6B" w:rsidRDefault="001D6560">
            <w:pPr>
              <w:tabs>
                <w:tab w:val="left" w:pos="1277"/>
              </w:tabs>
              <w:spacing w:line="360" w:lineRule="auto"/>
              <w:jc w:val="both"/>
              <w:rPr>
                <w:sz w:val="24"/>
                <w:szCs w:val="24"/>
              </w:rPr>
            </w:pPr>
            <w:r>
              <w:rPr>
                <w:sz w:val="24"/>
                <w:szCs w:val="24"/>
              </w:rPr>
              <w:t>●●</w:t>
            </w:r>
          </w:p>
        </w:tc>
      </w:tr>
    </w:tbl>
    <w:p w14:paraId="28E8196D" w14:textId="77777777" w:rsidR="00143F6B" w:rsidRDefault="001D6560">
      <w:pPr>
        <w:tabs>
          <w:tab w:val="left" w:pos="1277"/>
        </w:tabs>
        <w:spacing w:line="360" w:lineRule="auto"/>
        <w:jc w:val="both"/>
      </w:pPr>
      <w:r>
        <w:rPr>
          <w:b/>
          <w:bCs/>
          <w:sz w:val="24"/>
          <w:szCs w:val="24"/>
        </w:rPr>
        <w:t>Legend:</w:t>
      </w:r>
      <w:r>
        <w:rPr>
          <w:sz w:val="24"/>
          <w:szCs w:val="24"/>
        </w:rPr>
        <w:t xml:space="preserve"> ●● = Active period (each cell ≈ two weeks)</w:t>
      </w:r>
    </w:p>
    <w:p w14:paraId="6B242F28" w14:textId="77777777" w:rsidR="00143F6B" w:rsidRDefault="00143F6B">
      <w:pPr>
        <w:tabs>
          <w:tab w:val="left" w:pos="1277"/>
        </w:tabs>
        <w:spacing w:line="360" w:lineRule="auto"/>
        <w:jc w:val="both"/>
        <w:rPr>
          <w:sz w:val="24"/>
          <w:szCs w:val="24"/>
        </w:rPr>
      </w:pPr>
    </w:p>
    <w:p w14:paraId="6631F316" w14:textId="77777777" w:rsidR="00143F6B" w:rsidRDefault="001D6560">
      <w:pPr>
        <w:tabs>
          <w:tab w:val="left" w:pos="1277"/>
        </w:tabs>
        <w:spacing w:line="360" w:lineRule="auto"/>
        <w:jc w:val="both"/>
        <w:rPr>
          <w:b/>
          <w:bCs/>
          <w:sz w:val="24"/>
          <w:szCs w:val="24"/>
        </w:rPr>
      </w:pPr>
      <w:r>
        <w:rPr>
          <w:b/>
          <w:bCs/>
          <w:sz w:val="24"/>
          <w:szCs w:val="24"/>
        </w:rPr>
        <w:t>6. Limitations of the Study</w:t>
      </w:r>
    </w:p>
    <w:p w14:paraId="25477FDD" w14:textId="77777777" w:rsidR="00143F6B" w:rsidRDefault="001D6560">
      <w:pPr>
        <w:tabs>
          <w:tab w:val="left" w:pos="1277"/>
        </w:tabs>
        <w:spacing w:line="360" w:lineRule="auto"/>
        <w:jc w:val="both"/>
        <w:rPr>
          <w:sz w:val="24"/>
          <w:szCs w:val="24"/>
        </w:rPr>
      </w:pPr>
      <w:r>
        <w:rPr>
          <w:sz w:val="24"/>
          <w:szCs w:val="24"/>
        </w:rPr>
        <w:t>A number of limitations must be noted, despite the fact that this dissertation seeks to offer significant insights into the management of offline and online channels in the Indian footwear sector. The study only uses secondary qualitative data, which limits access to real-time customer input and first-hand managerial viewpoints. Because of this, the interpretations rely on the authenticity and dependability of previously published reports, scholarly research, and industry publications, which could not accurately reflect the most current operational difficulties or strategy changes made by specific companies. Furthermore, the study's time range is restricted to the last five years, which mostly covers the post-pandemic digital transformation period but may miss structural elements or past practices that still have an impact on channel strategies. Another drawback is that the study only looks at the Indian market, which may restrict how broadly the results can be applied to other developing nations with distinct demographic, legal, or technological contexts. Additionally, the results are exploratory and context-dependent because the qualitative approach prioritizes interpretative interpretation above statistical generalization. Finally, access to proprietary business information is constrained, as most corporate strategies and internal performance data are confidential. Despite these drawbacks, the research's credibility is preserved by its methodical thematic analysis and careful selection of reliable sources (Hansen, 2020). Overall, these limitations should be considered when interpreting the findings, but they do not undermine the study’s contribution to understanding dual-channel management in the Indian footwear industry</w:t>
      </w:r>
    </w:p>
    <w:p w14:paraId="43011834" w14:textId="77777777" w:rsidR="00143F6B" w:rsidRDefault="001D6560">
      <w:pPr>
        <w:tabs>
          <w:tab w:val="left" w:pos="1277"/>
        </w:tabs>
        <w:spacing w:line="360" w:lineRule="auto"/>
        <w:jc w:val="both"/>
        <w:rPr>
          <w:b/>
          <w:bCs/>
          <w:sz w:val="24"/>
          <w:szCs w:val="24"/>
        </w:rPr>
      </w:pPr>
      <w:r>
        <w:rPr>
          <w:b/>
          <w:bCs/>
          <w:sz w:val="24"/>
          <w:szCs w:val="24"/>
        </w:rPr>
        <w:t>7. Conclusion</w:t>
      </w:r>
    </w:p>
    <w:p w14:paraId="1C0A5158" w14:textId="77777777" w:rsidR="00143F6B" w:rsidRDefault="001D6560">
      <w:pPr>
        <w:tabs>
          <w:tab w:val="left" w:pos="1277"/>
        </w:tabs>
        <w:spacing w:line="360" w:lineRule="auto"/>
        <w:jc w:val="both"/>
        <w:rPr>
          <w:sz w:val="24"/>
          <w:szCs w:val="24"/>
        </w:rPr>
      </w:pPr>
      <w:r>
        <w:rPr>
          <w:sz w:val="24"/>
          <w:szCs w:val="24"/>
        </w:rPr>
        <w:t xml:space="preserve">At the intersection of conventional and digital commerce is the Indian footwear business. Both opportunities and difficulties in management practice are reflected in the confluence of offline and online platforms. This dissertation seeks to understand how businesses adjust strategy, react to consumer behavior, and use technology to effectively compete through a qualitative, secondary data-based approach framed by the Research Onion methodology (Saunders et al., 2019). The results are anticipated to advance academic knowledge of </w:t>
      </w:r>
      <w:proofErr w:type="spellStart"/>
      <w:r>
        <w:rPr>
          <w:sz w:val="24"/>
          <w:szCs w:val="24"/>
        </w:rPr>
        <w:t>omnichannel</w:t>
      </w:r>
      <w:proofErr w:type="spellEnd"/>
      <w:r>
        <w:rPr>
          <w:sz w:val="24"/>
          <w:szCs w:val="24"/>
        </w:rPr>
        <w:t xml:space="preserve"> company management in developing markets like India, as well as managerial decision-making.</w:t>
      </w:r>
    </w:p>
    <w:p w14:paraId="52DF5743" w14:textId="77777777" w:rsidR="00143F6B" w:rsidRDefault="001D6560">
      <w:pPr>
        <w:tabs>
          <w:tab w:val="left" w:pos="1277"/>
        </w:tabs>
        <w:spacing w:line="360" w:lineRule="auto"/>
        <w:jc w:val="both"/>
        <w:rPr>
          <w:b/>
          <w:bCs/>
          <w:sz w:val="24"/>
          <w:szCs w:val="24"/>
        </w:rPr>
      </w:pPr>
      <w:r>
        <w:rPr>
          <w:b/>
          <w:bCs/>
          <w:sz w:val="24"/>
          <w:szCs w:val="24"/>
        </w:rPr>
        <w:t>Reference (Harvard Style)</w:t>
      </w:r>
    </w:p>
    <w:p w14:paraId="5D238B51" w14:textId="77777777" w:rsidR="00143F6B" w:rsidRDefault="001D6560">
      <w:pPr>
        <w:tabs>
          <w:tab w:val="left" w:pos="1277"/>
        </w:tabs>
        <w:spacing w:line="360" w:lineRule="auto"/>
        <w:jc w:val="both"/>
      </w:pPr>
      <w:proofErr w:type="spellStart"/>
      <w:r>
        <w:rPr>
          <w:sz w:val="24"/>
          <w:szCs w:val="24"/>
        </w:rPr>
        <w:t>Citius</w:t>
      </w:r>
      <w:proofErr w:type="spellEnd"/>
      <w:r>
        <w:rPr>
          <w:sz w:val="24"/>
          <w:szCs w:val="24"/>
        </w:rPr>
        <w:t xml:space="preserve"> Research (2024) </w:t>
      </w:r>
      <w:r>
        <w:rPr>
          <w:i/>
          <w:iCs/>
          <w:sz w:val="24"/>
          <w:szCs w:val="24"/>
        </w:rPr>
        <w:t>Indian Footwear Market Report 2024: Global Industry Analysis and Forecast 2023–2030</w:t>
      </w:r>
      <w:r>
        <w:rPr>
          <w:sz w:val="24"/>
          <w:szCs w:val="24"/>
        </w:rPr>
        <w:t xml:space="preserve">. Mumbai: </w:t>
      </w:r>
      <w:proofErr w:type="spellStart"/>
      <w:r>
        <w:rPr>
          <w:sz w:val="24"/>
          <w:szCs w:val="24"/>
        </w:rPr>
        <w:t>Citius</w:t>
      </w:r>
      <w:proofErr w:type="spellEnd"/>
      <w:r>
        <w:rPr>
          <w:sz w:val="24"/>
          <w:szCs w:val="24"/>
        </w:rPr>
        <w:t xml:space="preserve"> Insights.</w:t>
      </w:r>
    </w:p>
    <w:p w14:paraId="37A4846F" w14:textId="77777777" w:rsidR="00143F6B" w:rsidRDefault="001D6560">
      <w:pPr>
        <w:tabs>
          <w:tab w:val="left" w:pos="1277"/>
        </w:tabs>
        <w:spacing w:line="360" w:lineRule="auto"/>
        <w:jc w:val="both"/>
      </w:pPr>
      <w:r>
        <w:rPr>
          <w:sz w:val="24"/>
          <w:szCs w:val="24"/>
        </w:rPr>
        <w:t xml:space="preserve">Grand View Research (2022) </w:t>
      </w:r>
      <w:r>
        <w:rPr>
          <w:i/>
          <w:iCs/>
          <w:sz w:val="24"/>
          <w:szCs w:val="24"/>
        </w:rPr>
        <w:t>E-commerce Footwear Market Size Report 2028</w:t>
      </w:r>
      <w:r>
        <w:rPr>
          <w:sz w:val="24"/>
          <w:szCs w:val="24"/>
        </w:rPr>
        <w:t xml:space="preserve">. [Online]. Available at: </w:t>
      </w:r>
      <w:hyperlink r:id="rId8" w:history="1">
        <w:r>
          <w:rPr>
            <w:rStyle w:val="Hyperlink"/>
            <w:sz w:val="24"/>
            <w:szCs w:val="24"/>
          </w:rPr>
          <w:t>https://www.grandviewresearch.com/industry-analysis/e-commerce-footwear-market-report</w:t>
        </w:r>
      </w:hyperlink>
      <w:r>
        <w:rPr>
          <w:sz w:val="24"/>
          <w:szCs w:val="24"/>
        </w:rPr>
        <w:t xml:space="preserve"> (Accessed: 12 November 2025).</w:t>
      </w:r>
    </w:p>
    <w:p w14:paraId="3D796047" w14:textId="77777777" w:rsidR="00143F6B" w:rsidRDefault="001D6560">
      <w:pPr>
        <w:tabs>
          <w:tab w:val="left" w:pos="1277"/>
        </w:tabs>
        <w:spacing w:line="360" w:lineRule="auto"/>
        <w:jc w:val="both"/>
      </w:pPr>
      <w:r>
        <w:rPr>
          <w:sz w:val="24"/>
          <w:szCs w:val="24"/>
        </w:rPr>
        <w:t xml:space="preserve">Hansen, E. (2020) </w:t>
      </w:r>
      <w:r>
        <w:rPr>
          <w:i/>
          <w:iCs/>
          <w:sz w:val="24"/>
          <w:szCs w:val="24"/>
        </w:rPr>
        <w:t>Qualitative Secondary Research: Using Qualitative Data Collected by Others</w:t>
      </w:r>
      <w:r>
        <w:rPr>
          <w:sz w:val="24"/>
          <w:szCs w:val="24"/>
        </w:rPr>
        <w:t>. London: Sage Publications.</w:t>
      </w:r>
    </w:p>
    <w:p w14:paraId="746F6858" w14:textId="77777777" w:rsidR="00143F6B" w:rsidRDefault="001D6560">
      <w:pPr>
        <w:tabs>
          <w:tab w:val="left" w:pos="1277"/>
        </w:tabs>
        <w:spacing w:line="360" w:lineRule="auto"/>
        <w:jc w:val="both"/>
      </w:pPr>
      <w:r>
        <w:rPr>
          <w:sz w:val="24"/>
          <w:szCs w:val="24"/>
        </w:rPr>
        <w:t xml:space="preserve">IMARC Group (2025) ‘India Footwear Market to Grow at 10.1% During 2025–2033’, </w:t>
      </w:r>
      <w:r>
        <w:rPr>
          <w:i/>
          <w:iCs/>
          <w:sz w:val="24"/>
          <w:szCs w:val="24"/>
        </w:rPr>
        <w:t>IMARC Research</w:t>
      </w:r>
      <w:r>
        <w:rPr>
          <w:sz w:val="24"/>
          <w:szCs w:val="24"/>
        </w:rPr>
        <w:t xml:space="preserve">, 20 January. [Online]. Available at: </w:t>
      </w:r>
      <w:hyperlink r:id="rId9" w:history="1">
        <w:r>
          <w:rPr>
            <w:rStyle w:val="Hyperlink"/>
            <w:sz w:val="24"/>
            <w:szCs w:val="24"/>
          </w:rPr>
          <w:t>https://www.imarcgroup.com</w:t>
        </w:r>
      </w:hyperlink>
      <w:r>
        <w:rPr>
          <w:sz w:val="24"/>
          <w:szCs w:val="24"/>
        </w:rPr>
        <w:t xml:space="preserve"> (Accessed: 12 November 2025).</w:t>
      </w:r>
    </w:p>
    <w:p w14:paraId="7102EF07" w14:textId="77777777" w:rsidR="00143F6B" w:rsidRDefault="001D6560">
      <w:pPr>
        <w:tabs>
          <w:tab w:val="left" w:pos="1277"/>
        </w:tabs>
        <w:spacing w:line="360" w:lineRule="auto"/>
        <w:jc w:val="both"/>
      </w:pPr>
      <w:r>
        <w:rPr>
          <w:sz w:val="24"/>
          <w:szCs w:val="24"/>
        </w:rPr>
        <w:t xml:space="preserve">Images Business of Fashion (2024) ‘The Future of Footwear Retail: Inside India’s </w:t>
      </w:r>
      <w:proofErr w:type="spellStart"/>
      <w:r>
        <w:rPr>
          <w:sz w:val="24"/>
          <w:szCs w:val="24"/>
        </w:rPr>
        <w:t>Phygital</w:t>
      </w:r>
      <w:proofErr w:type="spellEnd"/>
      <w:r>
        <w:rPr>
          <w:sz w:val="24"/>
          <w:szCs w:val="24"/>
        </w:rPr>
        <w:t xml:space="preserve"> and Eco-Driven Footwear Boom’, </w:t>
      </w:r>
      <w:r>
        <w:rPr>
          <w:i/>
          <w:iCs/>
          <w:sz w:val="24"/>
          <w:szCs w:val="24"/>
        </w:rPr>
        <w:t>Images Business of Fashion</w:t>
      </w:r>
      <w:r>
        <w:rPr>
          <w:sz w:val="24"/>
          <w:szCs w:val="24"/>
        </w:rPr>
        <w:t xml:space="preserve">, June. [Online]. Available at: </w:t>
      </w:r>
      <w:hyperlink r:id="rId10" w:history="1">
        <w:r>
          <w:rPr>
            <w:rStyle w:val="Hyperlink"/>
            <w:sz w:val="24"/>
            <w:szCs w:val="24"/>
          </w:rPr>
          <w:t>https://www.imagesbof.in</w:t>
        </w:r>
      </w:hyperlink>
      <w:r>
        <w:rPr>
          <w:sz w:val="24"/>
          <w:szCs w:val="24"/>
        </w:rPr>
        <w:t xml:space="preserve"> (Accessed: 12 November 2025).</w:t>
      </w:r>
    </w:p>
    <w:p w14:paraId="1898D183" w14:textId="77777777" w:rsidR="00143F6B" w:rsidRDefault="001D6560">
      <w:pPr>
        <w:tabs>
          <w:tab w:val="left" w:pos="1277"/>
        </w:tabs>
        <w:spacing w:line="360" w:lineRule="auto"/>
        <w:jc w:val="both"/>
      </w:pPr>
      <w:proofErr w:type="spellStart"/>
      <w:r>
        <w:rPr>
          <w:sz w:val="24"/>
          <w:szCs w:val="24"/>
        </w:rPr>
        <w:t>Infomerics</w:t>
      </w:r>
      <w:proofErr w:type="spellEnd"/>
      <w:r>
        <w:rPr>
          <w:sz w:val="24"/>
          <w:szCs w:val="24"/>
        </w:rPr>
        <w:t xml:space="preserve"> Economic Research (2023) </w:t>
      </w:r>
      <w:r>
        <w:rPr>
          <w:i/>
          <w:iCs/>
          <w:sz w:val="24"/>
          <w:szCs w:val="24"/>
        </w:rPr>
        <w:t>Footwear Industry – India June 2023 Report</w:t>
      </w:r>
      <w:r>
        <w:rPr>
          <w:sz w:val="24"/>
          <w:szCs w:val="24"/>
        </w:rPr>
        <w:t xml:space="preserve">. Delhi: </w:t>
      </w:r>
      <w:proofErr w:type="spellStart"/>
      <w:r>
        <w:rPr>
          <w:sz w:val="24"/>
          <w:szCs w:val="24"/>
        </w:rPr>
        <w:t>Infomerics</w:t>
      </w:r>
      <w:proofErr w:type="spellEnd"/>
      <w:r>
        <w:rPr>
          <w:sz w:val="24"/>
          <w:szCs w:val="24"/>
        </w:rPr>
        <w:t xml:space="preserve"> Research.</w:t>
      </w:r>
    </w:p>
    <w:p w14:paraId="39AA4CB5" w14:textId="77777777" w:rsidR="00143F6B" w:rsidRDefault="001D6560">
      <w:pPr>
        <w:tabs>
          <w:tab w:val="left" w:pos="1277"/>
        </w:tabs>
        <w:spacing w:line="360" w:lineRule="auto"/>
        <w:jc w:val="both"/>
      </w:pPr>
      <w:proofErr w:type="spellStart"/>
      <w:r>
        <w:rPr>
          <w:sz w:val="24"/>
          <w:szCs w:val="24"/>
        </w:rPr>
        <w:t>Rajshila</w:t>
      </w:r>
      <w:proofErr w:type="spellEnd"/>
      <w:r>
        <w:rPr>
          <w:sz w:val="24"/>
          <w:szCs w:val="24"/>
        </w:rPr>
        <w:t xml:space="preserve"> (2024) ‘Evolution of India’s Footwear Industry’, </w:t>
      </w:r>
      <w:proofErr w:type="spellStart"/>
      <w:r>
        <w:rPr>
          <w:i/>
          <w:iCs/>
          <w:sz w:val="24"/>
          <w:szCs w:val="24"/>
        </w:rPr>
        <w:t>Rajshila</w:t>
      </w:r>
      <w:proofErr w:type="spellEnd"/>
      <w:r>
        <w:rPr>
          <w:i/>
          <w:iCs/>
          <w:sz w:val="24"/>
          <w:szCs w:val="24"/>
        </w:rPr>
        <w:t xml:space="preserve"> Blog</w:t>
      </w:r>
      <w:r>
        <w:rPr>
          <w:sz w:val="24"/>
          <w:szCs w:val="24"/>
        </w:rPr>
        <w:t>, August. [Online]. Available at: https://www.rajshila.in/blog (Accessed: 12 November 2025).</w:t>
      </w:r>
    </w:p>
    <w:p w14:paraId="554D857B" w14:textId="77777777" w:rsidR="00143F6B" w:rsidRDefault="001D6560">
      <w:pPr>
        <w:tabs>
          <w:tab w:val="left" w:pos="1277"/>
        </w:tabs>
        <w:spacing w:line="360" w:lineRule="auto"/>
        <w:jc w:val="both"/>
      </w:pPr>
      <w:proofErr w:type="spellStart"/>
      <w:r>
        <w:rPr>
          <w:sz w:val="24"/>
          <w:szCs w:val="24"/>
        </w:rPr>
        <w:t>ResearchGate</w:t>
      </w:r>
      <w:proofErr w:type="spellEnd"/>
      <w:r>
        <w:rPr>
          <w:sz w:val="24"/>
          <w:szCs w:val="24"/>
        </w:rPr>
        <w:t xml:space="preserve"> (2021) ‘Online Footwear Sales: Drivers and Challenges in Emerging Markets’, </w:t>
      </w:r>
      <w:proofErr w:type="spellStart"/>
      <w:r>
        <w:rPr>
          <w:i/>
          <w:iCs/>
          <w:sz w:val="24"/>
          <w:szCs w:val="24"/>
        </w:rPr>
        <w:t>ResearchGate</w:t>
      </w:r>
      <w:proofErr w:type="spellEnd"/>
      <w:r>
        <w:rPr>
          <w:i/>
          <w:iCs/>
          <w:sz w:val="24"/>
          <w:szCs w:val="24"/>
        </w:rPr>
        <w:t xml:space="preserve"> Papers</w:t>
      </w:r>
      <w:r>
        <w:rPr>
          <w:sz w:val="24"/>
          <w:szCs w:val="24"/>
        </w:rPr>
        <w:t xml:space="preserve">, November. [Online]. Available at: </w:t>
      </w:r>
      <w:hyperlink r:id="rId11" w:history="1">
        <w:r>
          <w:rPr>
            <w:rStyle w:val="Hyperlink"/>
            <w:sz w:val="24"/>
            <w:szCs w:val="24"/>
          </w:rPr>
          <w:t>https://www.researchgate.net/publication/online-footwear-sales</w:t>
        </w:r>
      </w:hyperlink>
      <w:r>
        <w:rPr>
          <w:sz w:val="24"/>
          <w:szCs w:val="24"/>
        </w:rPr>
        <w:t xml:space="preserve"> (Accessed: 12 November 2025).</w:t>
      </w:r>
    </w:p>
    <w:p w14:paraId="1A06B5B3" w14:textId="77777777" w:rsidR="00143F6B" w:rsidRDefault="001D6560">
      <w:pPr>
        <w:tabs>
          <w:tab w:val="left" w:pos="1277"/>
        </w:tabs>
        <w:spacing w:line="360" w:lineRule="auto"/>
        <w:jc w:val="both"/>
      </w:pPr>
      <w:proofErr w:type="spellStart"/>
      <w:r>
        <w:rPr>
          <w:sz w:val="24"/>
          <w:szCs w:val="24"/>
        </w:rPr>
        <w:t>SkyQuest</w:t>
      </w:r>
      <w:proofErr w:type="spellEnd"/>
      <w:r>
        <w:rPr>
          <w:sz w:val="24"/>
          <w:szCs w:val="24"/>
        </w:rPr>
        <w:t xml:space="preserve"> Analytics (2023) </w:t>
      </w:r>
      <w:r>
        <w:rPr>
          <w:i/>
          <w:iCs/>
          <w:sz w:val="24"/>
          <w:szCs w:val="24"/>
        </w:rPr>
        <w:t>Indian Footwear Market – Industry Analysis and Forecast 2032</w:t>
      </w:r>
      <w:r>
        <w:rPr>
          <w:sz w:val="24"/>
          <w:szCs w:val="24"/>
        </w:rPr>
        <w:t xml:space="preserve">. Ahmedabad: </w:t>
      </w:r>
      <w:proofErr w:type="spellStart"/>
      <w:r>
        <w:rPr>
          <w:sz w:val="24"/>
          <w:szCs w:val="24"/>
        </w:rPr>
        <w:t>SkyQuest</w:t>
      </w:r>
      <w:proofErr w:type="spellEnd"/>
      <w:r>
        <w:rPr>
          <w:sz w:val="24"/>
          <w:szCs w:val="24"/>
        </w:rPr>
        <w:t xml:space="preserve"> Analytics.</w:t>
      </w:r>
    </w:p>
    <w:p w14:paraId="0E754ABA" w14:textId="77777777" w:rsidR="00143F6B" w:rsidRDefault="001D6560">
      <w:pPr>
        <w:tabs>
          <w:tab w:val="left" w:pos="1277"/>
        </w:tabs>
        <w:spacing w:line="360" w:lineRule="auto"/>
        <w:jc w:val="both"/>
      </w:pPr>
      <w:r>
        <w:rPr>
          <w:sz w:val="24"/>
          <w:szCs w:val="24"/>
        </w:rPr>
        <w:t xml:space="preserve">UK Dissertation Writers (2023) ‘Saunders’ Research Onion – A Step-by-Step Guide’, </w:t>
      </w:r>
      <w:r>
        <w:rPr>
          <w:i/>
          <w:iCs/>
          <w:sz w:val="24"/>
          <w:szCs w:val="24"/>
        </w:rPr>
        <w:t>UK Dissertation Writers Blog</w:t>
      </w:r>
      <w:r>
        <w:rPr>
          <w:sz w:val="24"/>
          <w:szCs w:val="24"/>
        </w:rPr>
        <w:t>, 3 January. [Online]. Available at: https://www.ukdissertationwriters.com/blog/saunders-research-onion (Accessed: 12 November 2025).</w:t>
      </w:r>
    </w:p>
    <w:p w14:paraId="44C08BF9" w14:textId="77777777" w:rsidR="00143F6B" w:rsidRDefault="001D6560">
      <w:pPr>
        <w:tabs>
          <w:tab w:val="left" w:pos="1277"/>
        </w:tabs>
        <w:spacing w:line="360" w:lineRule="auto"/>
        <w:jc w:val="both"/>
      </w:pPr>
      <w:r>
        <w:rPr>
          <w:sz w:val="24"/>
          <w:szCs w:val="24"/>
        </w:rPr>
        <w:t xml:space="preserve">Saunders, M., Lewis, P. and Thornhill, A. (2019) </w:t>
      </w:r>
      <w:r>
        <w:rPr>
          <w:i/>
          <w:iCs/>
          <w:sz w:val="24"/>
          <w:szCs w:val="24"/>
        </w:rPr>
        <w:t>Research Methods for Business Students</w:t>
      </w:r>
      <w:r>
        <w:rPr>
          <w:sz w:val="24"/>
          <w:szCs w:val="24"/>
        </w:rPr>
        <w:t xml:space="preserve">. 8th </w:t>
      </w:r>
      <w:proofErr w:type="spellStart"/>
      <w:r>
        <w:rPr>
          <w:sz w:val="24"/>
          <w:szCs w:val="24"/>
        </w:rPr>
        <w:t>edn</w:t>
      </w:r>
      <w:proofErr w:type="spellEnd"/>
      <w:r>
        <w:rPr>
          <w:sz w:val="24"/>
          <w:szCs w:val="24"/>
        </w:rPr>
        <w:t>. Harlow: Pearson Education.</w:t>
      </w:r>
    </w:p>
    <w:p w14:paraId="29C6B776" w14:textId="77777777" w:rsidR="00143F6B" w:rsidRDefault="00143F6B">
      <w:pPr>
        <w:tabs>
          <w:tab w:val="left" w:pos="1277"/>
        </w:tabs>
        <w:spacing w:line="360" w:lineRule="auto"/>
        <w:jc w:val="both"/>
        <w:rPr>
          <w:sz w:val="24"/>
          <w:szCs w:val="24"/>
        </w:rPr>
      </w:pPr>
    </w:p>
    <w:sectPr w:rsidR="00143F6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A64D8" w14:textId="77777777" w:rsidR="001D6560" w:rsidRDefault="001D6560">
      <w:pPr>
        <w:spacing w:after="0" w:line="240" w:lineRule="auto"/>
      </w:pPr>
      <w:r>
        <w:separator/>
      </w:r>
    </w:p>
  </w:endnote>
  <w:endnote w:type="continuationSeparator" w:id="0">
    <w:p w14:paraId="33FFBB35" w14:textId="77777777" w:rsidR="001D6560" w:rsidRDefault="001D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1E5AF" w14:textId="77777777" w:rsidR="001D6560" w:rsidRDefault="001D6560">
      <w:pPr>
        <w:spacing w:after="0" w:line="240" w:lineRule="auto"/>
      </w:pPr>
      <w:r>
        <w:rPr>
          <w:color w:val="000000"/>
        </w:rPr>
        <w:separator/>
      </w:r>
    </w:p>
  </w:footnote>
  <w:footnote w:type="continuationSeparator" w:id="0">
    <w:p w14:paraId="52100EFA" w14:textId="77777777" w:rsidR="001D6560" w:rsidRDefault="001D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03D14"/>
    <w:multiLevelType w:val="multilevel"/>
    <w:tmpl w:val="C85E70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74D643C"/>
    <w:multiLevelType w:val="multilevel"/>
    <w:tmpl w:val="5C1041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4362890">
    <w:abstractNumId w:val="0"/>
  </w:num>
  <w:num w:numId="2" w16cid:durableId="279848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F6B"/>
    <w:rsid w:val="00143F6B"/>
    <w:rsid w:val="001D6560"/>
    <w:rsid w:val="00574AF3"/>
    <w:rsid w:val="00A675A5"/>
    <w:rsid w:val="00D538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AE8A97E"/>
  <w15:docId w15:val="{4CDCE317-A14D-425E-B1BE-D5105A6DA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mbria" w:hAnsi="Cambria"/>
      <w:color w:val="365F9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hAnsi="Cambria"/>
      <w:color w:val="365F9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365F9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365F91"/>
    </w:rPr>
  </w:style>
  <w:style w:type="paragraph" w:styleId="Heading5">
    <w:name w:val="heading 5"/>
    <w:basedOn w:val="Normal"/>
    <w:next w:val="Normal"/>
    <w:uiPriority w:val="9"/>
    <w:semiHidden/>
    <w:unhideWhenUsed/>
    <w:qFormat/>
    <w:pPr>
      <w:keepNext/>
      <w:keepLines/>
      <w:spacing w:before="80" w:after="40"/>
      <w:outlineLvl w:val="4"/>
    </w:pPr>
    <w:rPr>
      <w:color w:val="365F9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pPr>
      <w:keepNext/>
      <w:keepLines/>
      <w:spacing w:before="40" w:after="0"/>
      <w:outlineLvl w:val="6"/>
    </w:pPr>
    <w:rPr>
      <w:color w:val="595959"/>
    </w:rPr>
  </w:style>
  <w:style w:type="paragraph" w:styleId="Heading8">
    <w:name w:val="heading 8"/>
    <w:basedOn w:val="Normal"/>
    <w:next w:val="Normal"/>
    <w:pPr>
      <w:keepNext/>
      <w:keepLines/>
      <w:spacing w:after="0"/>
      <w:outlineLvl w:val="7"/>
    </w:pPr>
    <w:rPr>
      <w:i/>
      <w:iCs/>
      <w:color w:val="272727"/>
    </w:rPr>
  </w:style>
  <w:style w:type="paragraph" w:styleId="Heading9">
    <w:name w:val="heading 9"/>
    <w:basedOn w:val="Normal"/>
    <w:next w:val="Normal"/>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mbria" w:eastAsia="SimSun" w:hAnsi="Cambria" w:cs="Times New Roman"/>
      <w:color w:val="365F91"/>
      <w:sz w:val="40"/>
      <w:szCs w:val="40"/>
    </w:rPr>
  </w:style>
  <w:style w:type="character" w:customStyle="1" w:styleId="Heading2Char">
    <w:name w:val="Heading 2 Char"/>
    <w:basedOn w:val="DefaultParagraphFont"/>
    <w:rPr>
      <w:rFonts w:ascii="Cambria" w:eastAsia="SimSun" w:hAnsi="Cambria" w:cs="Times New Roman"/>
      <w:color w:val="365F91"/>
      <w:sz w:val="32"/>
      <w:szCs w:val="32"/>
    </w:rPr>
  </w:style>
  <w:style w:type="character" w:customStyle="1" w:styleId="Heading3Char">
    <w:name w:val="Heading 3 Char"/>
    <w:basedOn w:val="DefaultParagraphFont"/>
    <w:rPr>
      <w:rFonts w:eastAsia="SimSun" w:cs="Times New Roman"/>
      <w:color w:val="365F91"/>
      <w:sz w:val="28"/>
      <w:szCs w:val="28"/>
    </w:rPr>
  </w:style>
  <w:style w:type="character" w:customStyle="1" w:styleId="Heading4Char">
    <w:name w:val="Heading 4 Char"/>
    <w:basedOn w:val="DefaultParagraphFont"/>
    <w:rPr>
      <w:rFonts w:eastAsia="SimSun" w:cs="Times New Roman"/>
      <w:i/>
      <w:iCs/>
      <w:color w:val="365F91"/>
    </w:rPr>
  </w:style>
  <w:style w:type="character" w:customStyle="1" w:styleId="Heading5Char">
    <w:name w:val="Heading 5 Char"/>
    <w:basedOn w:val="DefaultParagraphFont"/>
    <w:rPr>
      <w:rFonts w:eastAsia="SimSun" w:cs="Times New Roman"/>
      <w:color w:val="365F91"/>
    </w:rPr>
  </w:style>
  <w:style w:type="character" w:customStyle="1" w:styleId="Heading6Char">
    <w:name w:val="Heading 6 Char"/>
    <w:basedOn w:val="DefaultParagraphFont"/>
    <w:rPr>
      <w:rFonts w:eastAsia="SimSun" w:cs="Times New Roman"/>
      <w:i/>
      <w:iCs/>
      <w:color w:val="595959"/>
    </w:rPr>
  </w:style>
  <w:style w:type="character" w:customStyle="1" w:styleId="Heading7Char">
    <w:name w:val="Heading 7 Char"/>
    <w:basedOn w:val="DefaultParagraphFont"/>
    <w:rPr>
      <w:rFonts w:eastAsia="SimSun" w:cs="Times New Roman"/>
      <w:color w:val="595959"/>
    </w:rPr>
  </w:style>
  <w:style w:type="character" w:customStyle="1" w:styleId="Heading8Char">
    <w:name w:val="Heading 8 Char"/>
    <w:basedOn w:val="DefaultParagraphFont"/>
    <w:rPr>
      <w:rFonts w:eastAsia="SimSun" w:cs="Times New Roman"/>
      <w:i/>
      <w:iCs/>
      <w:color w:val="272727"/>
    </w:rPr>
  </w:style>
  <w:style w:type="character" w:customStyle="1" w:styleId="Heading9Char">
    <w:name w:val="Heading 9 Char"/>
    <w:basedOn w:val="DefaultParagraphFont"/>
    <w:rPr>
      <w:rFonts w:eastAsia="SimSun" w:cs="Times New Roman"/>
      <w:color w:val="272727"/>
    </w:rPr>
  </w:style>
  <w:style w:type="paragraph" w:styleId="Title">
    <w:name w:val="Title"/>
    <w:basedOn w:val="Normal"/>
    <w:next w:val="Normal"/>
    <w:uiPriority w:val="10"/>
    <w:qFormat/>
    <w:pPr>
      <w:spacing w:after="80" w:line="240" w:lineRule="auto"/>
    </w:pPr>
    <w:rPr>
      <w:rFonts w:ascii="Cambria" w:hAnsi="Cambria"/>
      <w:spacing w:val="-10"/>
      <w:sz w:val="56"/>
      <w:szCs w:val="56"/>
    </w:rPr>
  </w:style>
  <w:style w:type="character" w:customStyle="1" w:styleId="TitleChar">
    <w:name w:val="Title Char"/>
    <w:basedOn w:val="DefaultParagraphFont"/>
    <w:rPr>
      <w:rFonts w:ascii="Cambria" w:eastAsia="SimSun" w:hAnsi="Cambria" w:cs="Times New Roman"/>
      <w:spacing w:val="-10"/>
      <w:kern w:val="3"/>
      <w:sz w:val="56"/>
      <w:szCs w:val="56"/>
    </w:rPr>
  </w:style>
  <w:style w:type="paragraph" w:styleId="Subtitle">
    <w:name w:val="Subtitle"/>
    <w:basedOn w:val="Normal"/>
    <w:next w:val="Normal"/>
    <w:uiPriority w:val="11"/>
    <w:qFormat/>
    <w:pPr>
      <w:spacing w:after="160"/>
    </w:pPr>
    <w:rPr>
      <w:color w:val="595959"/>
      <w:spacing w:val="15"/>
      <w:sz w:val="28"/>
      <w:szCs w:val="28"/>
    </w:rPr>
  </w:style>
  <w:style w:type="character" w:customStyle="1" w:styleId="SubtitleChar">
    <w:name w:val="Subtitle Char"/>
    <w:basedOn w:val="DefaultParagraphFont"/>
    <w:rPr>
      <w:rFonts w:eastAsia="SimSun"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365F91"/>
    </w:rPr>
  </w:style>
  <w:style w:type="paragraph" w:styleId="IntenseQuote">
    <w:name w:val="Intense Quote"/>
    <w:basedOn w:val="Normal"/>
    <w:next w:val="Normal"/>
    <w:pPr>
      <w:pBdr>
        <w:top w:val="single" w:sz="4" w:space="10" w:color="365F91"/>
        <w:bottom w:val="single" w:sz="4" w:space="10" w:color="365F91"/>
      </w:pBdr>
      <w:spacing w:before="360" w:after="360"/>
      <w:ind w:left="864" w:right="864"/>
      <w:jc w:val="center"/>
    </w:pPr>
    <w:rPr>
      <w:i/>
      <w:iCs/>
      <w:color w:val="365F91"/>
    </w:rPr>
  </w:style>
  <w:style w:type="character" w:customStyle="1" w:styleId="IntenseQuoteChar">
    <w:name w:val="Intense Quote Char"/>
    <w:basedOn w:val="DefaultParagraphFont"/>
    <w:rPr>
      <w:i/>
      <w:iCs/>
      <w:color w:val="365F91"/>
    </w:rPr>
  </w:style>
  <w:style w:type="character" w:styleId="IntenseReference">
    <w:name w:val="Intense Reference"/>
    <w:basedOn w:val="DefaultParagraphFont"/>
    <w:rPr>
      <w:b/>
      <w:bCs/>
      <w:smallCaps/>
      <w:color w:val="365F91"/>
      <w:spacing w:val="5"/>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randviewresearch.com/industry-analysis/e-commerce-footwear-market-report?utm_source=chatgpt.com"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researchgate.net/publication/online-footwear-sales" TargetMode="External" /><Relationship Id="rId5" Type="http://schemas.openxmlformats.org/officeDocument/2006/relationships/footnotes" Target="footnotes.xml" /><Relationship Id="rId10" Type="http://schemas.openxmlformats.org/officeDocument/2006/relationships/hyperlink" Target="https://www.imagesbof.in" TargetMode="External" /><Relationship Id="rId4" Type="http://schemas.openxmlformats.org/officeDocument/2006/relationships/webSettings" Target="webSettings.xml" /><Relationship Id="rId9" Type="http://schemas.openxmlformats.org/officeDocument/2006/relationships/hyperlink" Target="https://www.imarcgroup.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2628</Words>
  <Characters>14984</Characters>
  <Application>Microsoft Office Word</Application>
  <DocSecurity>0</DocSecurity>
  <Lines>124</Lines>
  <Paragraphs>35</Paragraphs>
  <ScaleCrop>false</ScaleCrop>
  <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Farjana Yeasmin</dc:creator>
  <dc:description/>
  <cp:lastModifiedBy>Farjana Yeasmin</cp:lastModifiedBy>
  <cp:revision>2</cp:revision>
  <dcterms:created xsi:type="dcterms:W3CDTF">2025-11-11T21:56:00Z</dcterms:created>
  <dcterms:modified xsi:type="dcterms:W3CDTF">2025-11-11T21:56:00Z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0fc965f1-638c-4a2d-a0cf-546fbebfacff</vt:lpwstr>
  </property>
</Properties>
</file>