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96EA3" w:rsidRDefault="00396EA3" w14:paraId="2CC3FE4F" w14:textId="77777777"/>
    <w:p w:rsidRPr="00013654" w:rsidR="00F97C3C" w:rsidP="234C0613" w:rsidRDefault="00F97C3C" w14:paraId="1D084295" w14:textId="6C97DB92">
      <w:pPr>
        <w:rPr>
          <w:b w:val="1"/>
          <w:bCs w:val="1"/>
          <w:sz w:val="32"/>
          <w:szCs w:val="32"/>
          <w:lang w:val="en-GB"/>
        </w:rPr>
      </w:pPr>
      <w:r w:rsidRPr="7DFD6A50" w:rsidR="00F97C3C">
        <w:rPr>
          <w:lang w:val="en-GB"/>
        </w:rPr>
        <w:t>  </w:t>
      </w:r>
      <w:r w:rsidRPr="7DFD6A50" w:rsidR="00F97C3C">
        <w:rPr>
          <w:lang w:val="en-GB"/>
        </w:rPr>
        <w:t xml:space="preserve">                                      </w:t>
      </w:r>
      <w:r w:rsidRPr="7DFD6A50" w:rsidR="00F97C3C">
        <w:rPr>
          <w:b w:val="1"/>
          <w:bCs w:val="1"/>
          <w:sz w:val="32"/>
          <w:szCs w:val="32"/>
          <w:lang w:val="en-GB"/>
        </w:rPr>
        <w:t>  </w:t>
      </w:r>
      <w:r w:rsidRPr="7DFD6A50" w:rsidR="00F97C3C">
        <w:rPr>
          <w:b w:val="1"/>
          <w:bCs w:val="1"/>
          <w:sz w:val="32"/>
          <w:szCs w:val="32"/>
          <w:lang w:val="en-GB"/>
        </w:rPr>
        <w:t>Modul</w:t>
      </w:r>
      <w:r w:rsidRPr="7DFD6A50" w:rsidR="6B00621B">
        <w:rPr>
          <w:b w:val="1"/>
          <w:bCs w:val="1"/>
          <w:sz w:val="32"/>
          <w:szCs w:val="32"/>
          <w:lang w:val="en-GB"/>
        </w:rPr>
        <w:t>e</w:t>
      </w:r>
      <w:r w:rsidRPr="7DFD6A50" w:rsidR="00F97C3C">
        <w:rPr>
          <w:b w:val="1"/>
          <w:bCs w:val="1"/>
          <w:sz w:val="32"/>
          <w:szCs w:val="32"/>
          <w:lang w:val="en-GB"/>
        </w:rPr>
        <w:t> Name: LCLM 500</w:t>
      </w:r>
      <w:r w:rsidRPr="7DFD6A50" w:rsidR="00F97C3C">
        <w:rPr>
          <w:b w:val="1"/>
          <w:bCs w:val="1"/>
          <w:sz w:val="32"/>
          <w:szCs w:val="32"/>
          <w:lang w:val="en-GB"/>
        </w:rPr>
        <w:t>2</w:t>
      </w:r>
    </w:p>
    <w:p w:rsidRPr="00013654" w:rsidR="00F97C3C" w:rsidP="00F97C3C" w:rsidRDefault="00F97C3C" w14:paraId="60EF013A" w14:textId="5AE2EB03">
      <w:pPr>
        <w:rPr>
          <w:lang w:val="en-GB"/>
        </w:rPr>
      </w:pPr>
      <w:r w:rsidRPr="00013654">
        <w:rPr>
          <w:b/>
          <w:bCs/>
          <w:lang w:val="en-GB"/>
        </w:rPr>
        <w:t>                                        Lecture Name:</w:t>
      </w:r>
      <w:r w:rsidRPr="00EE154B" w:rsidR="00EE154B">
        <w:rPr>
          <w:rFonts w:ascii="Calibri" w:hAnsi="Calibri" w:cs="Calibri"/>
          <w:color w:val="000000"/>
          <w:position w:val="1"/>
          <w:shd w:val="clear" w:color="auto" w:fill="FFFFFF"/>
        </w:rPr>
        <w:t xml:space="preserve"> </w:t>
      </w:r>
      <w:r w:rsidRPr="00EE154B" w:rsidR="00EE154B">
        <w:rPr>
          <w:b/>
          <w:bCs/>
        </w:rPr>
        <w:t>Doreen Amundam</w:t>
      </w:r>
    </w:p>
    <w:p w:rsidRPr="00013654" w:rsidR="00F97C3C" w:rsidP="00F97C3C" w:rsidRDefault="00F97C3C" w14:paraId="4C0F09A0" w14:textId="77777777">
      <w:pPr>
        <w:rPr>
          <w:lang w:val="en-GB"/>
        </w:rPr>
      </w:pPr>
      <w:r w:rsidRPr="00013654">
        <w:rPr>
          <w:b/>
          <w:bCs/>
          <w:lang w:val="en-GB"/>
        </w:rPr>
        <w:t>                                       Student Name: Adnan Rasheed Khan</w:t>
      </w:r>
      <w:r w:rsidRPr="00013654">
        <w:rPr>
          <w:lang w:val="en-GB"/>
        </w:rPr>
        <w:t> </w:t>
      </w:r>
    </w:p>
    <w:p w:rsidR="004C026A" w:rsidP="00294F4F" w:rsidRDefault="00F97C3C" w14:paraId="2B1AE67F" w14:textId="77777777">
      <w:pPr>
        <w:rPr>
          <w:lang w:val="en-GB"/>
        </w:rPr>
      </w:pPr>
      <w:r w:rsidRPr="00013654">
        <w:rPr>
          <w:b/>
          <w:bCs/>
          <w:lang w:val="en-GB"/>
        </w:rPr>
        <w:t>                                       Student Number:2408399</w:t>
      </w:r>
      <w:r w:rsidRPr="00013654">
        <w:rPr>
          <w:lang w:val="en-GB"/>
        </w:rPr>
        <w:t> </w:t>
      </w:r>
    </w:p>
    <w:p w:rsidR="004C026A" w:rsidP="00294F4F" w:rsidRDefault="004C026A" w14:paraId="7AC12D8A" w14:textId="77777777">
      <w:pPr>
        <w:rPr>
          <w:lang w:val="en-GB"/>
        </w:rPr>
      </w:pPr>
    </w:p>
    <w:p w:rsidR="004C026A" w:rsidP="00294F4F" w:rsidRDefault="004C026A" w14:paraId="06887D2B" w14:textId="77777777">
      <w:pPr>
        <w:rPr>
          <w:lang w:val="en-GB"/>
        </w:rPr>
      </w:pPr>
    </w:p>
    <w:p w:rsidRPr="00294F4F" w:rsidR="00294F4F" w:rsidP="00294F4F" w:rsidRDefault="00294F4F" w14:paraId="79BCD4D0" w14:textId="3D367BBD">
      <w:pPr>
        <w:rPr>
          <w:lang w:val="en-GB"/>
        </w:rPr>
      </w:pPr>
    </w:p>
    <w:p w:rsidRPr="00294F4F" w:rsidR="00294F4F" w:rsidP="234C0613" w:rsidRDefault="00294F4F" w14:paraId="5C3D2DAA" w14:textId="77777777">
      <w:pPr>
        <w:pStyle w:val="Heading1"/>
        <w:rPr>
          <w:b w:val="1"/>
          <w:bCs w:val="1"/>
          <w:lang w:val="en-GB"/>
        </w:rPr>
      </w:pPr>
      <w:r w:rsidRPr="234C0613" w:rsidR="00294F4F">
        <w:rPr>
          <w:lang w:val="en-GB"/>
        </w:rPr>
        <w:t>Introduction</w:t>
      </w:r>
    </w:p>
    <w:p w:rsidRPr="00294F4F" w:rsidR="00294F4F" w:rsidP="00294F4F" w:rsidRDefault="00294F4F" w14:paraId="320DC792" w14:textId="1D3FC463">
      <w:pPr>
        <w:rPr>
          <w:lang w:val="en-GB"/>
        </w:rPr>
      </w:pPr>
      <w:r w:rsidRPr="00294F4F">
        <w:rPr>
          <w:lang w:val="en-GB"/>
        </w:rPr>
        <w:t>Starting your new role in HR at Car Deal Ltd, based in London, has been both exciting and eye-opening. With your background in leadership and management, you were ready to make a meaningful impact</w:t>
      </w:r>
      <w:r w:rsidR="00734D97">
        <w:rPr>
          <w:lang w:val="en-GB"/>
        </w:rPr>
        <w:t xml:space="preserve"> </w:t>
      </w:r>
      <w:r w:rsidRPr="00294F4F">
        <w:rPr>
          <w:lang w:val="en-GB"/>
        </w:rPr>
        <w:t>but the volume of grievances in your first month made it clear that something deeper is going on. Employees aren’t just raising isolated concerns; they’re reacting to a workplace that’s changing faster than they can keep up.</w:t>
      </w:r>
    </w:p>
    <w:p w:rsidRPr="00294F4F" w:rsidR="00294F4F" w:rsidP="00294F4F" w:rsidRDefault="00294F4F" w14:paraId="55AE0CB2" w14:textId="3A36D429">
      <w:pPr>
        <w:rPr>
          <w:lang w:val="en-GB"/>
        </w:rPr>
      </w:pPr>
      <w:r w:rsidRPr="00294F4F">
        <w:rPr>
          <w:lang w:val="en-GB"/>
        </w:rPr>
        <w:t>Across the UK, companies like Car Deal Ltd are navigating major shifts</w:t>
      </w:r>
      <w:r w:rsidR="00734D97">
        <w:rPr>
          <w:lang w:val="en-GB"/>
        </w:rPr>
        <w:t xml:space="preserve"> </w:t>
      </w:r>
      <w:r w:rsidRPr="00294F4F">
        <w:rPr>
          <w:lang w:val="en-GB"/>
        </w:rPr>
        <w:t>business transformation, digital technology, and flexible working are no longer optional; they’re the new normal. These changes bring opportunity, but they also create tension. People are adjusting to new systems, new expectations, and new ways of working. And when those changes aren’t managed with care, confusion and conflict can follow.</w:t>
      </w:r>
    </w:p>
    <w:p w:rsidRPr="00294F4F" w:rsidR="00294F4F" w:rsidP="00294F4F" w:rsidRDefault="00294F4F" w14:paraId="1129EEA5" w14:textId="77777777">
      <w:pPr>
        <w:rPr>
          <w:lang w:val="en-GB"/>
        </w:rPr>
      </w:pPr>
      <w:r w:rsidRPr="7DFD6A50" w:rsidR="00294F4F">
        <w:rPr>
          <w:lang w:val="en-GB"/>
        </w:rPr>
        <w:t>This report explores the key factors driving these changes, looks at the HR practices that can help address them, and critically evaluates how departmental managers can ensure these practices are implemented quickly, consistently, and with empathy.</w:t>
      </w:r>
    </w:p>
    <w:p w:rsidR="7DFD6A50" w:rsidP="7DFD6A50" w:rsidRDefault="7DFD6A50" w14:paraId="36A4E1BE" w14:textId="7A40B4AA">
      <w:pPr>
        <w:rPr>
          <w:lang w:val="en-GB"/>
        </w:rPr>
      </w:pPr>
    </w:p>
    <w:p w:rsidRPr="00F97C3C" w:rsidR="00F97C3C" w:rsidP="234C0613" w:rsidRDefault="00F97C3C" w14:paraId="060BBAE0" w14:textId="494ABB1E">
      <w:pPr>
        <w:pStyle w:val="Heading2"/>
        <w:rPr>
          <w:b w:val="1"/>
          <w:bCs w:val="1"/>
          <w:lang w:val="en-GB"/>
        </w:rPr>
      </w:pPr>
      <w:r w:rsidRPr="234C0613" w:rsidR="00F97C3C">
        <w:rPr>
          <w:lang w:val="en-GB"/>
        </w:rPr>
        <w:t>Understanding the Key Factors Behind Business Transformation, Digital Technology, and Flexible Working</w:t>
      </w:r>
    </w:p>
    <w:p w:rsidR="00F97C3C" w:rsidP="00F97C3C" w:rsidRDefault="00F97C3C" w14:paraId="0B0CE17E" w14:textId="3266F133">
      <w:pPr>
        <w:rPr>
          <w:lang w:val="en-GB"/>
        </w:rPr>
      </w:pPr>
      <w:r w:rsidRPr="234C0613" w:rsidR="00F97C3C">
        <w:rPr>
          <w:lang w:val="en-GB"/>
        </w:rPr>
        <w:t>Starting a new role in HR is always a learning curve</w:t>
      </w:r>
      <w:r w:rsidRPr="234C0613" w:rsidR="00F97C3C">
        <w:rPr>
          <w:lang w:val="en-GB"/>
        </w:rPr>
        <w:t xml:space="preserve"> </w:t>
      </w:r>
      <w:r w:rsidRPr="234C0613" w:rsidR="00F97C3C">
        <w:rPr>
          <w:lang w:val="en-GB"/>
        </w:rPr>
        <w:t xml:space="preserve">but walking into a flood of grievances in your first month is a clear signal that something deeper is going on. The workplace is changing fast, and many organisations in cities like London and Birmingham are feeling the pressure. This section explores the </w:t>
      </w:r>
      <w:r w:rsidRPr="234C0613" w:rsidR="65FDB0CC">
        <w:rPr>
          <w:lang w:val="en-GB"/>
        </w:rPr>
        <w:t>k</w:t>
      </w:r>
      <w:r w:rsidRPr="234C0613" w:rsidR="00F97C3C">
        <w:rPr>
          <w:lang w:val="en-GB"/>
        </w:rPr>
        <w:t>ey</w:t>
      </w:r>
      <w:r w:rsidRPr="234C0613" w:rsidR="00F97C3C">
        <w:rPr>
          <w:lang w:val="en-GB"/>
        </w:rPr>
        <w:t xml:space="preserve"> factors driving that change, and how </w:t>
      </w:r>
      <w:r w:rsidRPr="234C0613" w:rsidR="00F97C3C">
        <w:rPr>
          <w:lang w:val="en-GB"/>
        </w:rPr>
        <w:t>they’re</w:t>
      </w:r>
      <w:r w:rsidRPr="234C0613" w:rsidR="00F97C3C">
        <w:rPr>
          <w:lang w:val="en-GB"/>
        </w:rPr>
        <w:t xml:space="preserve"> shaping employee experience, expectations, and conflict.</w:t>
      </w:r>
    </w:p>
    <w:p w:rsidR="004C026A" w:rsidP="00F97C3C" w:rsidRDefault="004C026A" w14:paraId="6CC30E4B" w14:textId="77777777">
      <w:pPr>
        <w:rPr>
          <w:lang w:val="en-GB"/>
        </w:rPr>
      </w:pPr>
    </w:p>
    <w:p w:rsidRPr="00F97C3C" w:rsidR="004C026A" w:rsidP="00F97C3C" w:rsidRDefault="004C026A" w14:paraId="639BBE5A" w14:textId="77777777">
      <w:pPr>
        <w:rPr>
          <w:lang w:val="en-GB"/>
        </w:rPr>
      </w:pPr>
    </w:p>
    <w:p w:rsidRPr="00F97C3C" w:rsidR="00F97C3C" w:rsidP="234C0613" w:rsidRDefault="00F97C3C" w14:paraId="08336882" w14:textId="77777777">
      <w:pPr>
        <w:pStyle w:val="Heading2"/>
        <w:rPr>
          <w:b w:val="1"/>
          <w:bCs w:val="1"/>
          <w:lang w:val="en-GB"/>
        </w:rPr>
      </w:pPr>
      <w:r w:rsidRPr="234C0613" w:rsidR="00F97C3C">
        <w:rPr>
          <w:lang w:val="en-GB"/>
        </w:rPr>
        <w:t>1. Business Transformation: More Than Just Restructuring</w:t>
      </w:r>
    </w:p>
    <w:p w:rsidRPr="00F97C3C" w:rsidR="00F97C3C" w:rsidP="00F97C3C" w:rsidRDefault="00F97C3C" w14:paraId="373CEC83" w14:textId="4DBD3416">
      <w:pPr>
        <w:rPr>
          <w:lang w:val="en-GB"/>
        </w:rPr>
      </w:pPr>
      <w:r w:rsidRPr="00F97C3C">
        <w:rPr>
          <w:lang w:val="en-GB"/>
        </w:rPr>
        <w:t>Business transformation isn’t just about new org charts or cost-cutting</w:t>
      </w:r>
      <w:r>
        <w:rPr>
          <w:lang w:val="en-GB"/>
        </w:rPr>
        <w:t xml:space="preserve"> </w:t>
      </w:r>
      <w:r w:rsidRPr="00F97C3C">
        <w:rPr>
          <w:lang w:val="en-GB"/>
        </w:rPr>
        <w:t>it’s about rethinking how the organisation works, communicates, and delivers value. In your company, several forces are at play:</w:t>
      </w:r>
    </w:p>
    <w:p w:rsidRPr="00F97C3C" w:rsidR="00F97C3C" w:rsidP="00F97C3C" w:rsidRDefault="00F97C3C" w14:paraId="374A3AA7" w14:textId="6EA73BCC">
      <w:pPr>
        <w:numPr>
          <w:ilvl w:val="0"/>
          <w:numId w:val="9"/>
        </w:numPr>
        <w:rPr>
          <w:lang w:val="en-GB"/>
        </w:rPr>
      </w:pPr>
      <w:r w:rsidRPr="00F97C3C">
        <w:rPr>
          <w:b/>
          <w:bCs/>
          <w:lang w:val="en-GB"/>
        </w:rPr>
        <w:t>Shifting business models</w:t>
      </w:r>
      <w:r w:rsidRPr="00F97C3C">
        <w:rPr>
          <w:lang w:val="en-GB"/>
        </w:rPr>
        <w:t>: post-pandemic, many companies have moved toward digital-first services, leaner teams, and more agile ways of working. These shifts can leave employees feeling uncertain about their roles or disconnected from leadership.</w:t>
      </w:r>
    </w:p>
    <w:p w:rsidRPr="00F97C3C" w:rsidR="00F97C3C" w:rsidP="00F97C3C" w:rsidRDefault="00F97C3C" w14:paraId="35B8E313" w14:textId="278697C1">
      <w:pPr>
        <w:numPr>
          <w:ilvl w:val="0"/>
          <w:numId w:val="9"/>
        </w:numPr>
        <w:rPr>
          <w:lang w:val="en-GB"/>
        </w:rPr>
      </w:pPr>
      <w:r w:rsidRPr="00F97C3C">
        <w:rPr>
          <w:b/>
          <w:bCs/>
          <w:lang w:val="en-GB"/>
        </w:rPr>
        <w:t>Cultural change</w:t>
      </w:r>
      <w:r w:rsidRPr="00F97C3C">
        <w:rPr>
          <w:lang w:val="en-GB"/>
        </w:rPr>
        <w:t>: There’s a growing push for inclusive, feedback-driven cultures. But when values shift faster than behaviours, tensions can rise</w:t>
      </w:r>
      <w:r w:rsidR="00734D97">
        <w:rPr>
          <w:lang w:val="en-GB"/>
        </w:rPr>
        <w:t xml:space="preserve"> </w:t>
      </w:r>
      <w:r w:rsidRPr="00F97C3C">
        <w:rPr>
          <w:lang w:val="en-GB"/>
        </w:rPr>
        <w:t>especially if employees feel unheard or unsupported.</w:t>
      </w:r>
    </w:p>
    <w:p w:rsidRPr="00F97C3C" w:rsidR="00F97C3C" w:rsidP="00F97C3C" w:rsidRDefault="00F97C3C" w14:paraId="10EC118B" w14:textId="77777777">
      <w:pPr>
        <w:numPr>
          <w:ilvl w:val="0"/>
          <w:numId w:val="9"/>
        </w:numPr>
        <w:rPr>
          <w:lang w:val="en-GB"/>
        </w:rPr>
      </w:pPr>
      <w:r w:rsidRPr="00F97C3C">
        <w:rPr>
          <w:b/>
          <w:bCs/>
          <w:lang w:val="en-GB"/>
        </w:rPr>
        <w:t>Leadership expectations</w:t>
      </w:r>
      <w:r w:rsidRPr="00F97C3C">
        <w:rPr>
          <w:lang w:val="en-GB"/>
        </w:rPr>
        <w:t>: Managers are now expected to be coaches, not just supervisors. That’s a big leap, and without proper support, it can lead to inconsistent leadership styles and unresolved conflict.</w:t>
      </w:r>
    </w:p>
    <w:p w:rsidRPr="00F97C3C" w:rsidR="00F97C3C" w:rsidP="00F97C3C" w:rsidRDefault="00F97C3C" w14:paraId="4B69B978" w14:textId="5ABC1F13">
      <w:pPr>
        <w:rPr>
          <w:lang w:val="en-GB"/>
        </w:rPr>
      </w:pPr>
      <w:r w:rsidRPr="00F97C3C">
        <w:rPr>
          <w:lang w:val="en-GB"/>
        </w:rPr>
        <w:t>In short, transformation brings opportunity</w:t>
      </w:r>
      <w:r>
        <w:rPr>
          <w:lang w:val="en-GB"/>
        </w:rPr>
        <w:t xml:space="preserve"> </w:t>
      </w:r>
      <w:r w:rsidRPr="00F97C3C">
        <w:rPr>
          <w:lang w:val="en-GB"/>
        </w:rPr>
        <w:t>but also emotional and relational strain. HR plays a critical role in helping people navigate that change with clarity and care.</w:t>
      </w:r>
    </w:p>
    <w:p w:rsidRPr="00F97C3C" w:rsidR="00F97C3C" w:rsidP="234C0613" w:rsidRDefault="00F97C3C" w14:paraId="31FCFE5F" w14:textId="77777777">
      <w:pPr>
        <w:pStyle w:val="Heading2"/>
        <w:rPr>
          <w:b w:val="1"/>
          <w:bCs w:val="1"/>
          <w:lang w:val="en-GB"/>
        </w:rPr>
      </w:pPr>
      <w:r w:rsidRPr="234C0613" w:rsidR="00F97C3C">
        <w:rPr>
          <w:lang w:val="en-GB"/>
        </w:rPr>
        <w:t>2. Digital Technology Trends: Efficiency Meets Complexity</w:t>
      </w:r>
    </w:p>
    <w:p w:rsidRPr="00F97C3C" w:rsidR="00F97C3C" w:rsidP="00F97C3C" w:rsidRDefault="00F97C3C" w14:paraId="51B74AD1" w14:textId="77777777">
      <w:pPr>
        <w:rPr>
          <w:lang w:val="en-GB"/>
        </w:rPr>
      </w:pPr>
      <w:r w:rsidRPr="00F97C3C">
        <w:rPr>
          <w:lang w:val="en-GB"/>
        </w:rPr>
        <w:t>Technology is reshaping every corner of the workplace, including HR. But while digital tools promise speed and insight, they also introduce new challenges:</w:t>
      </w:r>
    </w:p>
    <w:p w:rsidRPr="00F97C3C" w:rsidR="00F97C3C" w:rsidP="00F97C3C" w:rsidRDefault="00F97C3C" w14:paraId="7FBE18A0" w14:textId="5FA4F532">
      <w:pPr>
        <w:numPr>
          <w:ilvl w:val="0"/>
          <w:numId w:val="10"/>
        </w:numPr>
        <w:rPr>
          <w:lang w:val="en-GB"/>
        </w:rPr>
      </w:pPr>
      <w:r w:rsidRPr="00F97C3C">
        <w:rPr>
          <w:b/>
          <w:bCs/>
          <w:lang w:val="en-GB"/>
        </w:rPr>
        <w:t>Automation and AI</w:t>
      </w:r>
      <w:r w:rsidRPr="00F97C3C">
        <w:rPr>
          <w:lang w:val="en-GB"/>
        </w:rPr>
        <w:t>: From recruitment to performance reviews, many HR processes are now automated. That’s efficient</w:t>
      </w:r>
      <w:r w:rsidR="00734D97">
        <w:rPr>
          <w:lang w:val="en-GB"/>
        </w:rPr>
        <w:t xml:space="preserve"> </w:t>
      </w:r>
      <w:r w:rsidRPr="00F97C3C">
        <w:rPr>
          <w:lang w:val="en-GB"/>
        </w:rPr>
        <w:t>but it can feel impersonal. Employees may question fairness or feel reduced to data points.</w:t>
      </w:r>
    </w:p>
    <w:p w:rsidRPr="00F97C3C" w:rsidR="00F97C3C" w:rsidP="00F97C3C" w:rsidRDefault="00F97C3C" w14:paraId="3AC3B720" w14:textId="77777777">
      <w:pPr>
        <w:numPr>
          <w:ilvl w:val="0"/>
          <w:numId w:val="10"/>
        </w:numPr>
        <w:rPr>
          <w:lang w:val="en-GB"/>
        </w:rPr>
      </w:pPr>
      <w:r w:rsidRPr="00F97C3C">
        <w:rPr>
          <w:b/>
          <w:bCs/>
          <w:lang w:val="en-GB"/>
        </w:rPr>
        <w:t>Collaboration platforms</w:t>
      </w:r>
      <w:r w:rsidRPr="00F97C3C">
        <w:rPr>
          <w:lang w:val="en-GB"/>
        </w:rPr>
        <w:t>: Tools like Teams, Slack, and Zoom are now essential. But they can blur boundaries, fuel miscommunication, and make it harder to read emotional cues—especially during conflict.</w:t>
      </w:r>
    </w:p>
    <w:p w:rsidRPr="00F97C3C" w:rsidR="00F97C3C" w:rsidP="00F97C3C" w:rsidRDefault="00F97C3C" w14:paraId="015509FD" w14:textId="77777777">
      <w:pPr>
        <w:numPr>
          <w:ilvl w:val="0"/>
          <w:numId w:val="10"/>
        </w:numPr>
        <w:rPr>
          <w:lang w:val="en-GB"/>
        </w:rPr>
      </w:pPr>
      <w:r w:rsidRPr="00F97C3C">
        <w:rPr>
          <w:b/>
          <w:bCs/>
          <w:lang w:val="en-GB"/>
        </w:rPr>
        <w:t>People analytics</w:t>
      </w:r>
      <w:r w:rsidRPr="00F97C3C">
        <w:rPr>
          <w:lang w:val="en-GB"/>
        </w:rPr>
        <w:t>: Data can help predict turnover or engagement, but it doesn’t always capture the human side of grievances. A dashboard can’t replace a conversation.</w:t>
      </w:r>
    </w:p>
    <w:p w:rsidRPr="00F97C3C" w:rsidR="00F97C3C" w:rsidP="00F97C3C" w:rsidRDefault="00F97C3C" w14:paraId="366CEDB3" w14:textId="061BAA2D">
      <w:pPr>
        <w:rPr>
          <w:lang w:val="en-GB"/>
        </w:rPr>
      </w:pPr>
      <w:r w:rsidRPr="00F97C3C">
        <w:rPr>
          <w:lang w:val="en-GB"/>
        </w:rPr>
        <w:t>The key is balance. HR must use technology to support</w:t>
      </w:r>
      <w:r w:rsidR="00734D97">
        <w:rPr>
          <w:lang w:val="en-GB"/>
        </w:rPr>
        <w:t xml:space="preserve"> </w:t>
      </w:r>
      <w:r w:rsidRPr="00F97C3C">
        <w:rPr>
          <w:lang w:val="en-GB"/>
        </w:rPr>
        <w:t>not replace</w:t>
      </w:r>
      <w:r w:rsidR="00734D97">
        <w:rPr>
          <w:lang w:val="en-GB"/>
        </w:rPr>
        <w:t xml:space="preserve"> </w:t>
      </w:r>
      <w:r w:rsidRPr="00F97C3C">
        <w:rPr>
          <w:lang w:val="en-GB"/>
        </w:rPr>
        <w:t>human connection, empathy, and trust.</w:t>
      </w:r>
    </w:p>
    <w:p w:rsidRPr="00F97C3C" w:rsidR="00F97C3C" w:rsidP="234C0613" w:rsidRDefault="00F97C3C" w14:paraId="0BE7CE1D" w14:textId="77777777">
      <w:pPr>
        <w:pStyle w:val="Heading2"/>
        <w:rPr>
          <w:b w:val="1"/>
          <w:bCs w:val="1"/>
          <w:lang w:val="en-GB"/>
        </w:rPr>
      </w:pPr>
      <w:r w:rsidRPr="234C0613" w:rsidR="00F97C3C">
        <w:rPr>
          <w:lang w:val="en-GB"/>
        </w:rPr>
        <w:t>3. Flexible Working: Freedom with Friction</w:t>
      </w:r>
    </w:p>
    <w:p w:rsidRPr="00F97C3C" w:rsidR="00F97C3C" w:rsidP="00F97C3C" w:rsidRDefault="00F97C3C" w14:paraId="56DAE48F" w14:textId="1B6D7EDE">
      <w:pPr>
        <w:rPr>
          <w:lang w:val="en-GB"/>
        </w:rPr>
      </w:pPr>
      <w:r w:rsidRPr="00F97C3C">
        <w:rPr>
          <w:lang w:val="en-GB"/>
        </w:rPr>
        <w:t>Flexible working is no longer a perk</w:t>
      </w:r>
      <w:r w:rsidR="00734D97">
        <w:rPr>
          <w:lang w:val="en-GB"/>
        </w:rPr>
        <w:t xml:space="preserve"> </w:t>
      </w:r>
      <w:r w:rsidRPr="00F97C3C">
        <w:rPr>
          <w:lang w:val="en-GB"/>
        </w:rPr>
        <w:t>it’s an expectation. But it’s also a source of tension if not managed well:</w:t>
      </w:r>
    </w:p>
    <w:p w:rsidRPr="00F97C3C" w:rsidR="00F97C3C" w:rsidP="00F97C3C" w:rsidRDefault="00F97C3C" w14:paraId="267F1A5E" w14:textId="77777777">
      <w:pPr>
        <w:numPr>
          <w:ilvl w:val="0"/>
          <w:numId w:val="11"/>
        </w:numPr>
        <w:tabs>
          <w:tab w:val="num" w:pos="720"/>
        </w:tabs>
        <w:rPr>
          <w:lang w:val="en-GB"/>
        </w:rPr>
      </w:pPr>
      <w:r w:rsidRPr="00F97C3C">
        <w:rPr>
          <w:b/>
          <w:bCs/>
          <w:lang w:val="en-GB"/>
        </w:rPr>
        <w:t>Hybrid models</w:t>
      </w:r>
      <w:r w:rsidRPr="00F97C3C">
        <w:rPr>
          <w:lang w:val="en-GB"/>
        </w:rPr>
        <w:t>: Most companies now offer a mix of remote and in-office work. That’s great for autonomy, but it can fragment teams and make conflict harder to spot or resolve.</w:t>
      </w:r>
    </w:p>
    <w:p w:rsidRPr="00F97C3C" w:rsidR="00F97C3C" w:rsidP="00F97C3C" w:rsidRDefault="00F97C3C" w14:paraId="75234882" w14:textId="77777777">
      <w:pPr>
        <w:numPr>
          <w:ilvl w:val="0"/>
          <w:numId w:val="11"/>
        </w:numPr>
        <w:tabs>
          <w:tab w:val="num" w:pos="720"/>
        </w:tabs>
        <w:rPr>
          <w:lang w:val="en-GB"/>
        </w:rPr>
      </w:pPr>
      <w:r w:rsidRPr="00F97C3C">
        <w:rPr>
          <w:b/>
          <w:bCs/>
          <w:lang w:val="en-GB"/>
        </w:rPr>
        <w:lastRenderedPageBreak/>
        <w:t>Legal rights and fairness</w:t>
      </w:r>
      <w:r w:rsidRPr="00F97C3C">
        <w:rPr>
          <w:lang w:val="en-GB"/>
        </w:rPr>
        <w:t>: UK law now gives employees the right to request flexible working from day one. HR must ensure these requests are handled fairly, transparently, and consistently.</w:t>
      </w:r>
    </w:p>
    <w:p w:rsidRPr="00F97C3C" w:rsidR="00F97C3C" w:rsidP="00F97C3C" w:rsidRDefault="00F97C3C" w14:paraId="65A1A48D" w14:textId="2BF41F28">
      <w:pPr>
        <w:numPr>
          <w:ilvl w:val="0"/>
          <w:numId w:val="11"/>
        </w:numPr>
        <w:tabs>
          <w:tab w:val="num" w:pos="720"/>
        </w:tabs>
        <w:rPr>
          <w:lang w:val="en-GB"/>
        </w:rPr>
      </w:pPr>
      <w:r w:rsidRPr="00F97C3C">
        <w:rPr>
          <w:b/>
          <w:bCs/>
          <w:lang w:val="en-GB"/>
        </w:rPr>
        <w:t>Wellbeing and boundaries</w:t>
      </w:r>
      <w:r w:rsidRPr="00F97C3C">
        <w:rPr>
          <w:lang w:val="en-GB"/>
        </w:rPr>
        <w:t>: Flexibility can boost wellbeing</w:t>
      </w:r>
      <w:r w:rsidR="00734D97">
        <w:rPr>
          <w:lang w:val="en-GB"/>
        </w:rPr>
        <w:t xml:space="preserve"> </w:t>
      </w:r>
      <w:r w:rsidRPr="00F97C3C">
        <w:rPr>
          <w:lang w:val="en-GB"/>
        </w:rPr>
        <w:t>but without clear boundaries, employees may feel overworked or isolated. That’s a breeding ground for grievances.</w:t>
      </w:r>
    </w:p>
    <w:p w:rsidR="00F97C3C" w:rsidP="00F97C3C" w:rsidRDefault="00F97C3C" w14:paraId="00D13C73" w14:textId="67416032">
      <w:pPr>
        <w:numPr>
          <w:ilvl w:val="0"/>
          <w:numId w:val="11"/>
        </w:numPr>
        <w:rPr>
          <w:lang w:val="en-GB"/>
        </w:rPr>
      </w:pPr>
      <w:r w:rsidRPr="00F97C3C">
        <w:rPr>
          <w:b/>
          <w:bCs/>
          <w:lang w:val="en-GB"/>
        </w:rPr>
        <w:t>Manager capability</w:t>
      </w:r>
      <w:r w:rsidRPr="00F97C3C">
        <w:rPr>
          <w:lang w:val="en-GB"/>
        </w:rPr>
        <w:t>: Many managers haven’t been trained to lead remote teams. That can lead to unclear expectations, poor communication, and frustration on both sides.</w:t>
      </w:r>
    </w:p>
    <w:p w:rsidRPr="00F97C3C" w:rsidR="00F97C3C" w:rsidP="234C0613" w:rsidRDefault="00F97C3C" w14:paraId="25ED2474" w14:textId="19656B7B">
      <w:pPr>
        <w:pStyle w:val="Heading3"/>
        <w:rPr>
          <w:b w:val="1"/>
          <w:bCs w:val="1"/>
          <w:lang w:val="en-GB"/>
        </w:rPr>
      </w:pPr>
      <w:r w:rsidRPr="7DFD6A50" w:rsidR="400BE863">
        <w:rPr>
          <w:lang w:val="en-GB"/>
        </w:rPr>
        <w:t xml:space="preserve">  </w:t>
      </w:r>
      <w:r w:rsidRPr="7DFD6A50" w:rsidR="00F97C3C">
        <w:rPr>
          <w:rStyle w:val="Heading1Char"/>
          <w:lang w:val="en-GB"/>
        </w:rPr>
        <w:t>Evaluating Contemporary HR Practices for a Changing Workplace</w:t>
      </w:r>
    </w:p>
    <w:p w:rsidRPr="00F97C3C" w:rsidR="00F97C3C" w:rsidP="00F625C7" w:rsidRDefault="00F97C3C" w14:paraId="24C70F1F" w14:textId="60F94481">
      <w:pPr>
        <w:numPr>
          <w:ilvl w:val="0"/>
          <w:numId w:val="11"/>
        </w:numPr>
        <w:rPr>
          <w:lang w:val="en-GB"/>
        </w:rPr>
      </w:pPr>
      <w:r w:rsidRPr="234C0613" w:rsidR="00F97C3C">
        <w:rPr>
          <w:lang w:val="en-GB"/>
        </w:rPr>
        <w:t xml:space="preserve">The workplace </w:t>
      </w:r>
      <w:r w:rsidRPr="234C0613" w:rsidR="00F97C3C">
        <w:rPr>
          <w:lang w:val="en-GB"/>
        </w:rPr>
        <w:t>isn’t</w:t>
      </w:r>
      <w:r w:rsidRPr="234C0613" w:rsidR="00F97C3C">
        <w:rPr>
          <w:lang w:val="en-GB"/>
        </w:rPr>
        <w:t xml:space="preserve"> what it used to </w:t>
      </w:r>
      <w:r w:rsidRPr="234C0613" w:rsidR="7BEB1CC7">
        <w:rPr>
          <w:lang w:val="en-GB"/>
        </w:rPr>
        <w:t>be,</w:t>
      </w:r>
      <w:r w:rsidRPr="234C0613" w:rsidR="00734D97">
        <w:rPr>
          <w:lang w:val="en-GB"/>
        </w:rPr>
        <w:t xml:space="preserve"> </w:t>
      </w:r>
      <w:r w:rsidRPr="234C0613" w:rsidR="00F97C3C">
        <w:rPr>
          <w:lang w:val="en-GB"/>
        </w:rPr>
        <w:t xml:space="preserve">and HR </w:t>
      </w:r>
      <w:r w:rsidRPr="234C0613" w:rsidR="00F97C3C">
        <w:rPr>
          <w:lang w:val="en-GB"/>
        </w:rPr>
        <w:t>can’t</w:t>
      </w:r>
      <w:r w:rsidRPr="234C0613" w:rsidR="00F97C3C">
        <w:rPr>
          <w:lang w:val="en-GB"/>
        </w:rPr>
        <w:t xml:space="preserve"> be either. As businesses transform, digital tools become the norm, and flexible working becomes standard, HR teams are being asked to do more than manage policies. </w:t>
      </w:r>
      <w:r w:rsidRPr="234C0613" w:rsidR="00F97C3C">
        <w:rPr>
          <w:lang w:val="en-GB"/>
        </w:rPr>
        <w:t>We’re</w:t>
      </w:r>
      <w:r w:rsidRPr="234C0613" w:rsidR="00F97C3C">
        <w:rPr>
          <w:lang w:val="en-GB"/>
        </w:rPr>
        <w:t xml:space="preserve"> being asked to shape culture, guide change, and support people through uncertainty. Below is a practical look at how modern HR practices are rising to meet these challenges.</w:t>
      </w:r>
    </w:p>
    <w:p w:rsidRPr="00F97C3C" w:rsidR="00F97C3C" w:rsidP="00F97C3C" w:rsidRDefault="00F97C3C" w14:paraId="039BE238" w14:textId="77777777">
      <w:pPr>
        <w:numPr>
          <w:ilvl w:val="0"/>
          <w:numId w:val="11"/>
        </w:numPr>
        <w:rPr>
          <w:b/>
          <w:bCs/>
          <w:lang w:val="en-GB"/>
        </w:rPr>
      </w:pPr>
      <w:r w:rsidRPr="00F97C3C">
        <w:rPr>
          <w:b/>
          <w:bCs/>
          <w:lang w:val="en-GB"/>
        </w:rPr>
        <w:t>1. Responding to Business Transformation</w:t>
      </w:r>
    </w:p>
    <w:p w:rsidRPr="00F97C3C" w:rsidR="00F97C3C" w:rsidP="00F97C3C" w:rsidRDefault="00F97C3C" w14:paraId="0E423C8A" w14:textId="174208AC">
      <w:pPr>
        <w:numPr>
          <w:ilvl w:val="0"/>
          <w:numId w:val="11"/>
        </w:numPr>
        <w:rPr>
          <w:lang w:val="en-GB"/>
        </w:rPr>
      </w:pPr>
      <w:r w:rsidRPr="00F97C3C">
        <w:rPr>
          <w:lang w:val="en-GB"/>
        </w:rPr>
        <w:t>When organisations shift direction</w:t>
      </w:r>
      <w:r w:rsidR="00734D97">
        <w:rPr>
          <w:lang w:val="en-GB"/>
        </w:rPr>
        <w:t xml:space="preserve"> </w:t>
      </w:r>
      <w:r w:rsidRPr="00F97C3C">
        <w:rPr>
          <w:lang w:val="en-GB"/>
        </w:rPr>
        <w:t>whether through restructuring, new leadership, or strategic pivots</w:t>
      </w:r>
      <w:r w:rsidR="00734D97">
        <w:rPr>
          <w:lang w:val="en-GB"/>
        </w:rPr>
        <w:t xml:space="preserve"> </w:t>
      </w:r>
      <w:r w:rsidRPr="00F97C3C">
        <w:rPr>
          <w:lang w:val="en-GB"/>
        </w:rPr>
        <w:t>employees often feel unsettled. HR’s role is to help people make sense of the change and find their place within it.</w:t>
      </w:r>
    </w:p>
    <w:p w:rsidRPr="00F97C3C" w:rsidR="00F97C3C" w:rsidP="00F97C3C" w:rsidRDefault="00F97C3C" w14:paraId="1E192478" w14:textId="77777777">
      <w:pPr>
        <w:numPr>
          <w:ilvl w:val="0"/>
          <w:numId w:val="11"/>
        </w:numPr>
        <w:rPr>
          <w:lang w:val="en-GB"/>
        </w:rPr>
      </w:pPr>
      <w:r w:rsidRPr="00F97C3C">
        <w:rPr>
          <w:b/>
          <w:bCs/>
          <w:lang w:val="en-GB"/>
        </w:rPr>
        <w:t>Change management with a human touch</w:t>
      </w:r>
      <w:r w:rsidRPr="00F97C3C">
        <w:rPr>
          <w:lang w:val="en-GB"/>
        </w:rPr>
        <w:t>: Instead of top-down announcements, leading HR teams are using structured change frameworks like ADKAR or Kotter’s model—but they’re pairing them with storytelling, open forums, and peer-led workshops. This helps employees feel involved, not just informed.</w:t>
      </w:r>
    </w:p>
    <w:p w:rsidRPr="00F97C3C" w:rsidR="00F97C3C" w:rsidP="00F97C3C" w:rsidRDefault="00F97C3C" w14:paraId="4598DB1F" w14:textId="77777777">
      <w:pPr>
        <w:numPr>
          <w:ilvl w:val="0"/>
          <w:numId w:val="11"/>
        </w:numPr>
        <w:rPr>
          <w:lang w:val="en-GB"/>
        </w:rPr>
      </w:pPr>
      <w:r w:rsidRPr="00F97C3C">
        <w:rPr>
          <w:b/>
          <w:bCs/>
          <w:lang w:val="en-GB"/>
        </w:rPr>
        <w:t>Real-time feedback loops</w:t>
      </w:r>
      <w:r w:rsidRPr="00F97C3C">
        <w:rPr>
          <w:lang w:val="en-GB"/>
        </w:rPr>
        <w:t>: Pulse surveys, digital suggestion boxes, and regular listening sessions are becoming standard. They give employees a voice during transformation and help HR spot issues before they escalate into grievances.</w:t>
      </w:r>
    </w:p>
    <w:p w:rsidRPr="00F97C3C" w:rsidR="00F97C3C" w:rsidP="00F97C3C" w:rsidRDefault="00F97C3C" w14:paraId="141B11B3" w14:textId="3D6C7175">
      <w:pPr>
        <w:numPr>
          <w:ilvl w:val="0"/>
          <w:numId w:val="11"/>
        </w:numPr>
        <w:rPr>
          <w:lang w:val="en-GB"/>
        </w:rPr>
      </w:pPr>
      <w:r w:rsidRPr="234C0613" w:rsidR="00F97C3C">
        <w:rPr>
          <w:b w:val="1"/>
          <w:bCs w:val="1"/>
          <w:lang w:val="en-GB"/>
        </w:rPr>
        <w:t>Leadership coaching and support</w:t>
      </w:r>
      <w:r w:rsidRPr="234C0613" w:rsidR="00F97C3C">
        <w:rPr>
          <w:lang w:val="en-GB"/>
        </w:rPr>
        <w:t>: Transformation often demands new leadership behaviours</w:t>
      </w:r>
      <w:r w:rsidRPr="234C0613" w:rsidR="2BDF8D2D">
        <w:rPr>
          <w:lang w:val="en-GB"/>
        </w:rPr>
        <w:t xml:space="preserve"> </w:t>
      </w:r>
      <w:r w:rsidRPr="234C0613" w:rsidR="00F97C3C">
        <w:rPr>
          <w:lang w:val="en-GB"/>
        </w:rPr>
        <w:t>more empathy, more adaptability. HR is investing in coaching, peer mentoring, and 360-degree feedback to help managers lead with clarity and care.</w:t>
      </w:r>
    </w:p>
    <w:p w:rsidR="00EF6D2C" w:rsidP="00F625C7" w:rsidRDefault="00F97C3C" w14:paraId="4D18901A" w14:textId="5DDE15F1">
      <w:pPr>
        <w:numPr>
          <w:ilvl w:val="0"/>
          <w:numId w:val="11"/>
        </w:numPr>
        <w:rPr>
          <w:lang w:val="en-GB"/>
        </w:rPr>
      </w:pPr>
      <w:r w:rsidRPr="00F97C3C">
        <w:rPr>
          <w:lang w:val="en-GB"/>
        </w:rPr>
        <w:t>These practices don’t just reduce conflict</w:t>
      </w:r>
      <w:r w:rsidR="00734D97">
        <w:rPr>
          <w:lang w:val="en-GB"/>
        </w:rPr>
        <w:t xml:space="preserve"> </w:t>
      </w:r>
      <w:r w:rsidRPr="00F97C3C">
        <w:rPr>
          <w:lang w:val="en-GB"/>
        </w:rPr>
        <w:t>they build trust. And in times of change, trust is everything</w:t>
      </w:r>
    </w:p>
    <w:p w:rsidR="00EF6D2C" w:rsidP="00734D97" w:rsidRDefault="00EF6D2C" w14:paraId="7E1AED95" w14:textId="77777777">
      <w:pPr>
        <w:ind w:left="927"/>
        <w:rPr>
          <w:lang w:val="en-GB"/>
        </w:rPr>
      </w:pPr>
    </w:p>
    <w:p w:rsidR="00F97C3C" w:rsidP="003C4146" w:rsidRDefault="00F97C3C" w14:paraId="4D15AC0A" w14:textId="5145BCE2">
      <w:pPr>
        <w:ind w:left="927"/>
        <w:rPr>
          <w:lang w:val="en-GB"/>
        </w:rPr>
      </w:pPr>
    </w:p>
    <w:p w:rsidR="004C026A" w:rsidP="004C026A" w:rsidRDefault="004C026A" w14:paraId="50F04F53" w14:textId="77777777">
      <w:pPr>
        <w:ind w:left="720"/>
        <w:rPr>
          <w:lang w:val="en-GB"/>
        </w:rPr>
      </w:pPr>
    </w:p>
    <w:p w:rsidRPr="00F97C3C" w:rsidR="00B36907" w:rsidP="00B36907" w:rsidRDefault="00B36907" w14:paraId="2FE9F573" w14:textId="77777777">
      <w:pPr>
        <w:ind w:left="720"/>
        <w:rPr>
          <w:lang w:val="en-GB"/>
        </w:rPr>
      </w:pPr>
    </w:p>
    <w:p w:rsidRPr="00F97C3C" w:rsidR="00F97C3C" w:rsidP="00F97C3C" w:rsidRDefault="00F97C3C" w14:paraId="6B828981" w14:textId="76996D52">
      <w:pPr>
        <w:numPr>
          <w:ilvl w:val="0"/>
          <w:numId w:val="11"/>
        </w:numPr>
        <w:rPr>
          <w:b/>
          <w:lang w:val="en-GB"/>
        </w:rPr>
      </w:pPr>
      <w:r w:rsidRPr="00F97C3C">
        <w:rPr>
          <w:b/>
          <w:bCs/>
          <w:lang w:val="en-GB"/>
        </w:rPr>
        <w:lastRenderedPageBreak/>
        <w:t>2. Navigating Digital Technology Trends</w:t>
      </w:r>
    </w:p>
    <w:p w:rsidRPr="00F97C3C" w:rsidR="00F97C3C" w:rsidP="00F97C3C" w:rsidRDefault="00F97C3C" w14:paraId="09E2107A" w14:textId="06960381">
      <w:pPr>
        <w:numPr>
          <w:ilvl w:val="0"/>
          <w:numId w:val="11"/>
        </w:numPr>
        <w:rPr>
          <w:lang w:val="en-GB"/>
        </w:rPr>
      </w:pPr>
      <w:r w:rsidRPr="00F97C3C">
        <w:rPr>
          <w:b/>
          <w:bCs/>
          <w:lang w:val="en-GB"/>
        </w:rPr>
        <w:t>Digital onboarding with personal connection</w:t>
      </w:r>
      <w:r w:rsidRPr="00F97C3C">
        <w:rPr>
          <w:lang w:val="en-GB"/>
        </w:rPr>
        <w:t xml:space="preserve">: Many companies now use platforms like Workday or BambooHR for onboarding. But the best HR </w:t>
      </w:r>
      <w:r w:rsidRPr="00F97C3C" w:rsidR="00734D97">
        <w:rPr>
          <w:lang w:val="en-GB"/>
        </w:rPr>
        <w:t>teams’</w:t>
      </w:r>
      <w:r w:rsidRPr="00F97C3C">
        <w:rPr>
          <w:lang w:val="en-GB"/>
        </w:rPr>
        <w:t xml:space="preserve"> pair these with welcome calls, buddy systems, and virtual coffee chats to build relationships from day one.</w:t>
      </w:r>
    </w:p>
    <w:p w:rsidRPr="00F97C3C" w:rsidR="00F97C3C" w:rsidP="00F97C3C" w:rsidRDefault="00F97C3C" w14:paraId="409EE07A" w14:textId="2E4AC011">
      <w:pPr>
        <w:numPr>
          <w:ilvl w:val="0"/>
          <w:numId w:val="11"/>
        </w:numPr>
        <w:rPr>
          <w:lang w:val="en-GB"/>
        </w:rPr>
      </w:pPr>
      <w:r w:rsidRPr="234C0613" w:rsidR="00F97C3C">
        <w:rPr>
          <w:b w:val="1"/>
          <w:bCs w:val="1"/>
          <w:lang w:val="en-GB"/>
        </w:rPr>
        <w:t>Ethical use of people analytics</w:t>
      </w:r>
      <w:r w:rsidRPr="234C0613" w:rsidR="00F97C3C">
        <w:rPr>
          <w:lang w:val="en-GB"/>
        </w:rPr>
        <w:t xml:space="preserve">: Data can help predict turnover or </w:t>
      </w:r>
      <w:r w:rsidRPr="234C0613" w:rsidR="10D36244">
        <w:rPr>
          <w:lang w:val="en-GB"/>
        </w:rPr>
        <w:t>engagement,</w:t>
      </w:r>
      <w:r w:rsidRPr="234C0613" w:rsidR="10D36244">
        <w:rPr>
          <w:lang w:val="en-GB"/>
        </w:rPr>
        <w:t xml:space="preserve"> </w:t>
      </w:r>
      <w:r w:rsidRPr="234C0613" w:rsidR="00F97C3C">
        <w:rPr>
          <w:lang w:val="en-GB"/>
        </w:rPr>
        <w:t xml:space="preserve">but it must be used transparently. HR teams are now sharing how data is collected, what </w:t>
      </w:r>
      <w:r w:rsidRPr="234C0613" w:rsidR="00F97C3C">
        <w:rPr>
          <w:lang w:val="en-GB"/>
        </w:rPr>
        <w:t>it’s</w:t>
      </w:r>
      <w:r w:rsidRPr="234C0613" w:rsidR="00F97C3C">
        <w:rPr>
          <w:lang w:val="en-GB"/>
        </w:rPr>
        <w:t xml:space="preserve"> used for, and how it benefits employees. This builds psychological safety and reduces suspicion.</w:t>
      </w:r>
    </w:p>
    <w:p w:rsidRPr="00F97C3C" w:rsidR="00F97C3C" w:rsidP="00F97C3C" w:rsidRDefault="00F97C3C" w14:paraId="2A167F17" w14:textId="77777777">
      <w:pPr>
        <w:numPr>
          <w:ilvl w:val="0"/>
          <w:numId w:val="11"/>
        </w:numPr>
        <w:rPr>
          <w:lang w:val="en-GB"/>
        </w:rPr>
      </w:pPr>
      <w:r w:rsidRPr="00F97C3C">
        <w:rPr>
          <w:b/>
          <w:bCs/>
          <w:lang w:val="en-GB"/>
        </w:rPr>
        <w:t>Digital wellbeing initiatives</w:t>
      </w:r>
      <w:r w:rsidRPr="00F97C3C">
        <w:rPr>
          <w:lang w:val="en-GB"/>
        </w:rPr>
        <w:t>: With constant connectivity comes burnout. Some organisations are introducing “right to disconnect” policies, encouraging screen-free breaks, and training managers to spot digital fatigue. These small shifts make a big difference.</w:t>
      </w:r>
    </w:p>
    <w:p w:rsidRPr="00F97C3C" w:rsidR="00F97C3C" w:rsidP="00F97C3C" w:rsidRDefault="00F97C3C" w14:paraId="3C1655DF" w14:textId="3452D807">
      <w:pPr>
        <w:numPr>
          <w:ilvl w:val="0"/>
          <w:numId w:val="11"/>
        </w:numPr>
        <w:rPr>
          <w:lang w:val="en-GB"/>
        </w:rPr>
      </w:pPr>
      <w:r w:rsidRPr="00F97C3C">
        <w:rPr>
          <w:lang w:val="en-GB"/>
        </w:rPr>
        <w:t>Technology should support people</w:t>
      </w:r>
      <w:r w:rsidR="00734D97">
        <w:rPr>
          <w:lang w:val="en-GB"/>
        </w:rPr>
        <w:t xml:space="preserve"> </w:t>
      </w:r>
      <w:r w:rsidRPr="1EF1EAD5" w:rsidR="17FBA03B">
        <w:rPr>
          <w:lang w:val="en-GB"/>
        </w:rPr>
        <w:t xml:space="preserve">do </w:t>
      </w:r>
      <w:r w:rsidRPr="00F97C3C">
        <w:rPr>
          <w:lang w:val="en-GB"/>
        </w:rPr>
        <w:t>not overwhelm them. HR’s job is to make sure that balance is maintained.</w:t>
      </w:r>
    </w:p>
    <w:p w:rsidRPr="00F97C3C" w:rsidR="00F97C3C" w:rsidP="00F625C7" w:rsidRDefault="00F97C3C" w14:paraId="3FE90E8C" w14:textId="490302E4">
      <w:pPr>
        <w:ind w:left="720"/>
        <w:rPr>
          <w:lang w:val="en-GB"/>
        </w:rPr>
      </w:pPr>
    </w:p>
    <w:p w:rsidRPr="00F97C3C" w:rsidR="00F97C3C" w:rsidP="00F97C3C" w:rsidRDefault="00F97C3C" w14:paraId="6ADFF616" w14:textId="77777777">
      <w:pPr>
        <w:numPr>
          <w:ilvl w:val="0"/>
          <w:numId w:val="11"/>
        </w:numPr>
        <w:rPr>
          <w:b/>
          <w:bCs/>
          <w:lang w:val="en-GB"/>
        </w:rPr>
      </w:pPr>
      <w:r w:rsidRPr="00F97C3C">
        <w:rPr>
          <w:b/>
          <w:bCs/>
          <w:lang w:val="en-GB"/>
        </w:rPr>
        <w:t>3. Making Flexible Working Work</w:t>
      </w:r>
    </w:p>
    <w:p w:rsidRPr="00F97C3C" w:rsidR="00F97C3C" w:rsidP="00F97C3C" w:rsidRDefault="00F97C3C" w14:paraId="2CF0930B" w14:textId="7D7F5054">
      <w:pPr>
        <w:numPr>
          <w:ilvl w:val="0"/>
          <w:numId w:val="11"/>
        </w:numPr>
        <w:rPr>
          <w:lang w:val="en-GB"/>
        </w:rPr>
      </w:pPr>
      <w:r w:rsidRPr="00F97C3C">
        <w:rPr>
          <w:lang w:val="en-GB"/>
        </w:rPr>
        <w:t>Flexibility is no longer a perk</w:t>
      </w:r>
      <w:r w:rsidR="00734D97">
        <w:rPr>
          <w:lang w:val="en-GB"/>
        </w:rPr>
        <w:t xml:space="preserve"> </w:t>
      </w:r>
      <w:r w:rsidRPr="00F97C3C">
        <w:rPr>
          <w:lang w:val="en-GB"/>
        </w:rPr>
        <w:t>it’s an expectation. But it’s also a source of tension if not handled thoughtfully. HR practices must ensure flexibility is fair, inclusive, and sustainable.</w:t>
      </w:r>
    </w:p>
    <w:p w:rsidRPr="00F97C3C" w:rsidR="00F97C3C" w:rsidP="00F97C3C" w:rsidRDefault="00F97C3C" w14:paraId="2445D9F3" w14:textId="77777777">
      <w:pPr>
        <w:numPr>
          <w:ilvl w:val="0"/>
          <w:numId w:val="11"/>
        </w:numPr>
        <w:rPr>
          <w:lang w:val="en-GB"/>
        </w:rPr>
      </w:pPr>
      <w:r w:rsidRPr="00F97C3C">
        <w:rPr>
          <w:b/>
          <w:bCs/>
          <w:lang w:val="en-GB"/>
        </w:rPr>
        <w:t>Clear hybrid work policies</w:t>
      </w:r>
      <w:r w:rsidRPr="00F97C3C">
        <w:rPr>
          <w:lang w:val="en-GB"/>
        </w:rPr>
        <w:t>: Vague promises of “flexibility” don’t cut it anymore. HR teams are now defining core hours, remote eligibility, and expectations for availability. This clarity helps prevent misunderstandings and resentment.</w:t>
      </w:r>
    </w:p>
    <w:p w:rsidRPr="00F97C3C" w:rsidR="00F97C3C" w:rsidP="00F97C3C" w:rsidRDefault="00F97C3C" w14:paraId="26C707A9" w14:textId="77777777">
      <w:pPr>
        <w:numPr>
          <w:ilvl w:val="0"/>
          <w:numId w:val="11"/>
        </w:numPr>
        <w:rPr>
          <w:lang w:val="en-GB"/>
        </w:rPr>
      </w:pPr>
      <w:r w:rsidRPr="00F97C3C">
        <w:rPr>
          <w:b/>
          <w:bCs/>
          <w:lang w:val="en-GB"/>
        </w:rPr>
        <w:t>Training for remote leadership</w:t>
      </w:r>
      <w:r w:rsidRPr="00F97C3C">
        <w:rPr>
          <w:lang w:val="en-GB"/>
        </w:rPr>
        <w:t>: Many grievances stem from poor communication in remote teams. HR is stepping in with training on virtual check-ins, inclusive meetings, and outcome-based performance reviews. It’s about helping managers lead with intention.</w:t>
      </w:r>
    </w:p>
    <w:p w:rsidRPr="00F97C3C" w:rsidR="00F97C3C" w:rsidP="00F97C3C" w:rsidRDefault="00F97C3C" w14:paraId="3C7DA3B4" w14:textId="3D641A49">
      <w:pPr>
        <w:numPr>
          <w:ilvl w:val="0"/>
          <w:numId w:val="11"/>
        </w:numPr>
        <w:rPr>
          <w:lang w:val="en-GB"/>
        </w:rPr>
      </w:pPr>
      <w:r w:rsidRPr="00F97C3C">
        <w:rPr>
          <w:b/>
          <w:bCs/>
          <w:lang w:val="en-GB"/>
        </w:rPr>
        <w:t>Inclusive flexibility options</w:t>
      </w:r>
      <w:r w:rsidRPr="00F97C3C">
        <w:rPr>
          <w:lang w:val="en-GB"/>
        </w:rPr>
        <w:t xml:space="preserve">: Not everyone wants or needs the same kind of flexibility. Forward-thinking HR teams are offering compressed hours, job sharing, phased returns, and </w:t>
      </w:r>
      <w:r w:rsidRPr="00F97C3C" w:rsidR="00734D97">
        <w:rPr>
          <w:lang w:val="en-GB"/>
        </w:rPr>
        <w:t>more tailored</w:t>
      </w:r>
      <w:r w:rsidRPr="00F97C3C">
        <w:rPr>
          <w:lang w:val="en-GB"/>
        </w:rPr>
        <w:t xml:space="preserve"> to individual needs. This reduces friction and supports diversity.</w:t>
      </w:r>
    </w:p>
    <w:p w:rsidRPr="00F97C3C" w:rsidR="00F97C3C" w:rsidP="00F97C3C" w:rsidRDefault="00F97C3C" w14:paraId="3AFE0AE8" w14:textId="77777777">
      <w:pPr>
        <w:numPr>
          <w:ilvl w:val="0"/>
          <w:numId w:val="11"/>
        </w:numPr>
        <w:rPr>
          <w:lang w:val="en-GB"/>
        </w:rPr>
      </w:pPr>
      <w:r w:rsidRPr="00F97C3C">
        <w:rPr>
          <w:b/>
          <w:bCs/>
          <w:lang w:val="en-GB"/>
        </w:rPr>
        <w:t>Wellbeing embedded in flexibility</w:t>
      </w:r>
      <w:r w:rsidRPr="00F97C3C">
        <w:rPr>
          <w:lang w:val="en-GB"/>
        </w:rPr>
        <w:t>: Flexible work isn’t just about location—it’s about wellbeing. HR is integrating mental health support, virtual counselling, and wellbeing champions into flexible work strategies to ensure people feel cared for, not just accommodated.</w:t>
      </w:r>
    </w:p>
    <w:p w:rsidR="00F97C3C" w:rsidP="00F625C7" w:rsidRDefault="00F97C3C" w14:paraId="5E56DD36" w14:textId="40D65A20">
      <w:pPr>
        <w:numPr>
          <w:ilvl w:val="0"/>
          <w:numId w:val="11"/>
        </w:numPr>
        <w:rPr>
          <w:lang w:val="en-GB"/>
        </w:rPr>
      </w:pPr>
      <w:r w:rsidRPr="00F97C3C">
        <w:rPr>
          <w:lang w:val="en-GB"/>
        </w:rPr>
        <w:t>When done well, flexible working builds trust, autonomy, and engagement. But it requires thoughtful design and ongoing dialogue.</w:t>
      </w:r>
    </w:p>
    <w:p w:rsidRPr="00F97C3C" w:rsidR="00F625C7" w:rsidP="00B36907" w:rsidRDefault="00F625C7" w14:paraId="5DDB40DE" w14:textId="77777777">
      <w:pPr>
        <w:ind w:left="720"/>
        <w:rPr>
          <w:lang w:val="en-GB"/>
        </w:rPr>
      </w:pPr>
    </w:p>
    <w:p w:rsidRPr="00F97C3C" w:rsidR="00F97C3C" w:rsidP="00F97C3C" w:rsidRDefault="00F97C3C" w14:paraId="45715894" w14:textId="77777777">
      <w:pPr>
        <w:numPr>
          <w:ilvl w:val="0"/>
          <w:numId w:val="11"/>
        </w:numPr>
        <w:rPr>
          <w:b/>
          <w:bCs/>
          <w:lang w:val="en-GB"/>
        </w:rPr>
      </w:pPr>
      <w:r w:rsidRPr="00F97C3C">
        <w:rPr>
          <w:b/>
          <w:bCs/>
          <w:lang w:val="en-GB"/>
        </w:rPr>
        <w:t>Final Reflection</w:t>
      </w:r>
    </w:p>
    <w:p w:rsidRPr="00F97C3C" w:rsidR="00F97C3C" w:rsidP="00F97C3C" w:rsidRDefault="00F97C3C" w14:paraId="285FF830" w14:textId="18451C0C">
      <w:pPr>
        <w:numPr>
          <w:ilvl w:val="0"/>
          <w:numId w:val="11"/>
        </w:numPr>
        <w:rPr>
          <w:lang w:val="en-GB"/>
        </w:rPr>
      </w:pPr>
      <w:r w:rsidRPr="00F97C3C">
        <w:rPr>
          <w:lang w:val="en-GB"/>
        </w:rPr>
        <w:lastRenderedPageBreak/>
        <w:t>Contemporary HR isn’t about enforcing rules</w:t>
      </w:r>
      <w:r w:rsidRPr="1EF1EAD5" w:rsidR="50A1E1B1">
        <w:rPr>
          <w:lang w:val="en-GB"/>
        </w:rPr>
        <w:t xml:space="preserve"> </w:t>
      </w:r>
      <w:r w:rsidRPr="00F97C3C">
        <w:rPr>
          <w:lang w:val="en-GB"/>
        </w:rPr>
        <w:t>it’s about designing experiences. The practices above reflect a shift toward empathy, adaptability, and strategic partnership. They don’t just address grievances</w:t>
      </w:r>
      <w:r w:rsidRPr="1EF1EAD5" w:rsidR="0DF3302B">
        <w:rPr>
          <w:lang w:val="en-GB"/>
        </w:rPr>
        <w:t xml:space="preserve"> </w:t>
      </w:r>
      <w:r w:rsidRPr="00F97C3C">
        <w:rPr>
          <w:lang w:val="en-GB"/>
        </w:rPr>
        <w:t>they prevent them by creating workplaces where people feel seen, supported, and empowered.</w:t>
      </w:r>
    </w:p>
    <w:p w:rsidRPr="00F97C3C" w:rsidR="00F97C3C" w:rsidP="00B36907" w:rsidRDefault="00F97C3C" w14:paraId="710BAE24" w14:textId="6A783FE7">
      <w:pPr>
        <w:numPr>
          <w:ilvl w:val="0"/>
          <w:numId w:val="11"/>
        </w:numPr>
        <w:rPr>
          <w:lang w:val="en-GB"/>
        </w:rPr>
      </w:pPr>
      <w:r w:rsidRPr="00F97C3C">
        <w:rPr>
          <w:lang w:val="en-GB"/>
        </w:rPr>
        <w:t>Let me know if you’d like help weaving this into your full report or shaping it into a stakeholder engagement strategy for Pi Health. I’m here to help you bring clarity and heart to every page.</w:t>
      </w:r>
    </w:p>
    <w:p w:rsidR="6592A71A" w:rsidP="234C0613" w:rsidRDefault="00F97C3C" w14:paraId="0324143E" w14:textId="3400D788">
      <w:pPr>
        <w:pStyle w:val="Heading2"/>
        <w:rPr>
          <w:b w:val="1"/>
          <w:bCs w:val="1"/>
          <w:lang w:val="en-GB"/>
        </w:rPr>
      </w:pPr>
      <w:r w:rsidRPr="234C0613" w:rsidR="00F97C3C">
        <w:rPr>
          <w:lang w:val="en-GB"/>
        </w:rPr>
        <w:t>Ensuring Urgent Implementation of Contemporary HR Practices: A Manager’s Role</w:t>
      </w:r>
    </w:p>
    <w:p w:rsidR="4A17E8B2" w:rsidP="1EF1EAD5" w:rsidRDefault="4A17E8B2" w14:paraId="0B15E6AC" w14:textId="4B4552CB">
      <w:pPr>
        <w:pStyle w:val="ListParagraph"/>
      </w:pPr>
    </w:p>
    <w:p w:rsidR="6592A71A" w:rsidP="4A17E8B2" w:rsidRDefault="6592A71A" w14:paraId="57094C84" w14:textId="699162A5">
      <w:pPr>
        <w:pStyle w:val="ListParagraph"/>
        <w:numPr>
          <w:ilvl w:val="0"/>
          <w:numId w:val="7"/>
        </w:numPr>
        <w:spacing w:before="240" w:after="240"/>
        <w:rPr>
          <w:rFonts w:ascii="Calibri" w:hAnsi="Calibri" w:eastAsia="Calibri" w:cs="Calibri"/>
          <w:lang w:val="en-GB"/>
        </w:rPr>
      </w:pPr>
      <w:r w:rsidRPr="4A17E8B2">
        <w:rPr>
          <w:rFonts w:ascii="Calibri" w:hAnsi="Calibri" w:eastAsia="Calibri" w:cs="Calibri"/>
          <w:lang w:val="en-GB"/>
        </w:rPr>
        <w:t>At Car Deal Ltd, I lead HR with a clear purpose: to make our workplace more adaptive, inclusive, and future-ready. My role isn’t just about policies or procedures — it’s about helping people thrive through change.</w:t>
      </w:r>
    </w:p>
    <w:p w:rsidR="6592A71A" w:rsidP="4A17E8B2" w:rsidRDefault="6592A71A" w14:paraId="447E46D3" w14:textId="440B5F8F">
      <w:pPr>
        <w:pStyle w:val="ListParagraph"/>
        <w:numPr>
          <w:ilvl w:val="0"/>
          <w:numId w:val="6"/>
        </w:numPr>
        <w:spacing w:before="240" w:after="240"/>
        <w:rPr>
          <w:rFonts w:ascii="Calibri" w:hAnsi="Calibri" w:eastAsia="Calibri" w:cs="Calibri"/>
          <w:lang w:val="en-GB"/>
        </w:rPr>
      </w:pPr>
      <w:r w:rsidRPr="4A17E8B2">
        <w:rPr>
          <w:rFonts w:ascii="Calibri" w:hAnsi="Calibri" w:eastAsia="Calibri" w:cs="Calibri"/>
          <w:lang w:val="en-GB"/>
        </w:rPr>
        <w:t>I work closely with leadership to guide the company through transformation, especially as we embrace digital tools and rethink how we work. Whether it’s rolling out flexible working models or introducing smarter HR systems, I focus on making these shifts feel human, not just strategic.</w:t>
      </w:r>
    </w:p>
    <w:p w:rsidR="6592A71A" w:rsidP="4A17E8B2" w:rsidRDefault="6592A71A" w14:paraId="7EA4C606" w14:textId="47404BC9">
      <w:pPr>
        <w:pStyle w:val="ListParagraph"/>
        <w:numPr>
          <w:ilvl w:val="0"/>
          <w:numId w:val="5"/>
        </w:numPr>
        <w:spacing w:before="240" w:after="240"/>
        <w:rPr>
          <w:rFonts w:ascii="Calibri" w:hAnsi="Calibri" w:eastAsia="Calibri" w:cs="Calibri"/>
          <w:lang w:val="en-GB"/>
        </w:rPr>
      </w:pPr>
      <w:r w:rsidRPr="4A17E8B2">
        <w:rPr>
          <w:rFonts w:ascii="Calibri" w:hAnsi="Calibri" w:eastAsia="Calibri" w:cs="Calibri"/>
          <w:lang w:val="en-GB"/>
        </w:rPr>
        <w:t>A big part of my job involves listening really listening to employees. I handle grievances with empathy and urgency, making sure every voice is heard and every concern leads to meaningful action. I also use these insights to shape better practices and build trust across the business.</w:t>
      </w:r>
    </w:p>
    <w:p w:rsidR="6592A71A" w:rsidP="4A17E8B2" w:rsidRDefault="6592A71A" w14:paraId="1826B6A1" w14:textId="3BAACAFD">
      <w:pPr>
        <w:pStyle w:val="ListParagraph"/>
        <w:numPr>
          <w:ilvl w:val="0"/>
          <w:numId w:val="4"/>
        </w:numPr>
        <w:spacing w:before="240" w:after="240"/>
        <w:rPr>
          <w:rFonts w:ascii="Calibri" w:hAnsi="Calibri" w:eastAsia="Calibri" w:cs="Calibri"/>
          <w:lang w:val="en-GB"/>
        </w:rPr>
      </w:pPr>
      <w:r w:rsidRPr="4A17E8B2">
        <w:rPr>
          <w:rFonts w:ascii="Calibri" w:hAnsi="Calibri" w:eastAsia="Calibri" w:cs="Calibri"/>
          <w:lang w:val="en-GB"/>
        </w:rPr>
        <w:t>I’m passionate about creating a culture where feedback flows freely, leadership is emotionally intelligent, and people feel safe to grow. That means coaching managers, designing inclusive policies, and constantly asking: “How can we do this better and kinder?”</w:t>
      </w:r>
    </w:p>
    <w:p w:rsidR="4A17E8B2" w:rsidP="1EF1EAD5" w:rsidRDefault="6592A71A" w14:paraId="0854D959" w14:textId="3F4F8B13">
      <w:pPr>
        <w:pStyle w:val="ListParagraph"/>
        <w:numPr>
          <w:ilvl w:val="0"/>
          <w:numId w:val="3"/>
        </w:numPr>
        <w:spacing w:before="240" w:after="240"/>
        <w:rPr>
          <w:rFonts w:ascii="Calibri" w:hAnsi="Calibri" w:eastAsia="Calibri" w:cs="Calibri"/>
          <w:lang w:val="en-GB"/>
        </w:rPr>
      </w:pPr>
      <w:r w:rsidRPr="4A17E8B2">
        <w:rPr>
          <w:rFonts w:ascii="Calibri" w:hAnsi="Calibri" w:eastAsia="Calibri" w:cs="Calibri"/>
          <w:lang w:val="en-GB"/>
        </w:rPr>
        <w:t>Ultimately, I see HR as a living system. One that evolves with our people, our business, and the world around us.</w:t>
      </w:r>
    </w:p>
    <w:p w:rsidRPr="00F97C3C" w:rsidR="00F97C3C" w:rsidP="00B36907" w:rsidRDefault="00F97C3C" w14:paraId="296D6914" w14:textId="20DD4D9A">
      <w:pPr>
        <w:numPr>
          <w:ilvl w:val="0"/>
          <w:numId w:val="11"/>
        </w:numPr>
        <w:rPr>
          <w:lang w:val="en-GB"/>
        </w:rPr>
      </w:pPr>
      <w:r w:rsidRPr="00F97C3C">
        <w:rPr>
          <w:lang w:val="en-GB"/>
        </w:rPr>
        <w:t>Contemporary HR practices</w:t>
      </w:r>
      <w:r w:rsidRPr="1EF1EAD5" w:rsidR="2F16ED00">
        <w:rPr>
          <w:lang w:val="en-GB"/>
        </w:rPr>
        <w:t xml:space="preserve"> </w:t>
      </w:r>
      <w:r w:rsidRPr="00F97C3C">
        <w:rPr>
          <w:lang w:val="en-GB"/>
        </w:rPr>
        <w:t>designed to support transformation, digitalisation, and flexible working</w:t>
      </w:r>
      <w:r w:rsidRPr="1EF1EAD5" w:rsidR="4F047203">
        <w:rPr>
          <w:lang w:val="en-GB"/>
        </w:rPr>
        <w:t xml:space="preserve"> </w:t>
      </w:r>
      <w:r w:rsidRPr="00F97C3C">
        <w:rPr>
          <w:lang w:val="en-GB"/>
        </w:rPr>
        <w:t>are only as effective as their implementation. And that implementation doesn’t start in HR alone; it lives and breathes in departments, teams, and day-to-day interactions. Departmental managers are the linchpins of this process. Their ability to act with urgency, clarity, and emotional intelligence determines whether these practices succeed or stall.</w:t>
      </w:r>
    </w:p>
    <w:p w:rsidRPr="00F97C3C" w:rsidR="00F97C3C" w:rsidP="00F97C3C" w:rsidRDefault="00F97C3C" w14:paraId="6564F111" w14:textId="77777777">
      <w:pPr>
        <w:numPr>
          <w:ilvl w:val="0"/>
          <w:numId w:val="11"/>
        </w:numPr>
        <w:rPr>
          <w:b/>
          <w:bCs/>
          <w:lang w:val="en-GB"/>
        </w:rPr>
      </w:pPr>
      <w:r w:rsidRPr="00F97C3C">
        <w:rPr>
          <w:b/>
          <w:bCs/>
          <w:lang w:val="en-GB"/>
        </w:rPr>
        <w:t>1. From Passive Compliance to Active Ownership</w:t>
      </w:r>
    </w:p>
    <w:p w:rsidRPr="00F97C3C" w:rsidR="00F97C3C" w:rsidP="00F97C3C" w:rsidRDefault="00F97C3C" w14:paraId="6C80F9FB" w14:textId="25EA8CB4">
      <w:pPr>
        <w:numPr>
          <w:ilvl w:val="0"/>
          <w:numId w:val="11"/>
        </w:numPr>
        <w:rPr>
          <w:lang w:val="en-GB"/>
        </w:rPr>
      </w:pPr>
      <w:r w:rsidRPr="00F97C3C">
        <w:rPr>
          <w:lang w:val="en-GB"/>
        </w:rPr>
        <w:t xml:space="preserve">One of the biggest barriers to implementation is the assumption that HR owns the change. </w:t>
      </w:r>
      <w:r w:rsidRPr="1EF1EAD5" w:rsidR="69C91E89">
        <w:rPr>
          <w:lang w:val="en-GB"/>
        </w:rPr>
        <w:t>Managers</w:t>
      </w:r>
      <w:r w:rsidRPr="00F97C3C">
        <w:rPr>
          <w:lang w:val="en-GB"/>
        </w:rPr>
        <w:t xml:space="preserve"> must take active ownership of these practices within their teams.</w:t>
      </w:r>
    </w:p>
    <w:p w:rsidRPr="00F97C3C" w:rsidR="00F97C3C" w:rsidP="00F97C3C" w:rsidRDefault="00F97C3C" w14:paraId="2B030619" w14:textId="77777777">
      <w:pPr>
        <w:numPr>
          <w:ilvl w:val="0"/>
          <w:numId w:val="11"/>
        </w:numPr>
        <w:rPr>
          <w:lang w:val="en-GB"/>
        </w:rPr>
      </w:pPr>
      <w:r w:rsidRPr="00F97C3C">
        <w:rPr>
          <w:b/>
          <w:bCs/>
          <w:lang w:val="en-GB"/>
        </w:rPr>
        <w:t>Embed practices into daily routines</w:t>
      </w:r>
      <w:r w:rsidRPr="00F97C3C">
        <w:rPr>
          <w:lang w:val="en-GB"/>
        </w:rPr>
        <w:t>: For example, if feedback loops are introduced, managers should regularly reference survey results in team meetings and act on them visibly. This signals that feedback isn’t just collected—it’s valued.</w:t>
      </w:r>
    </w:p>
    <w:p w:rsidRPr="00F97C3C" w:rsidR="00F97C3C" w:rsidP="00F97C3C" w:rsidRDefault="00F97C3C" w14:paraId="2E0DC6EC" w14:textId="77777777">
      <w:pPr>
        <w:numPr>
          <w:ilvl w:val="0"/>
          <w:numId w:val="11"/>
        </w:numPr>
        <w:rPr>
          <w:lang w:val="en-GB"/>
        </w:rPr>
      </w:pPr>
      <w:r w:rsidRPr="00F97C3C">
        <w:rPr>
          <w:b/>
          <w:bCs/>
          <w:lang w:val="en-GB"/>
        </w:rPr>
        <w:t>Model new behaviours</w:t>
      </w:r>
      <w:r w:rsidRPr="00F97C3C">
        <w:rPr>
          <w:lang w:val="en-GB"/>
        </w:rPr>
        <w:t>: Whether it’s digital wellbeing boundaries or inclusive flexibility, managers must lead by example. If they send emails at midnight or ignore flexible work requests, the message is clear: the policy doesn’t matter.</w:t>
      </w:r>
    </w:p>
    <w:p w:rsidRPr="00F97C3C" w:rsidR="00F97C3C" w:rsidP="00B36907" w:rsidRDefault="00F97C3C" w14:paraId="3095F82C" w14:textId="231E40E8">
      <w:pPr>
        <w:numPr>
          <w:ilvl w:val="0"/>
          <w:numId w:val="11"/>
        </w:numPr>
        <w:rPr>
          <w:lang w:val="en-GB"/>
        </w:rPr>
      </w:pPr>
      <w:r w:rsidRPr="00F97C3C">
        <w:rPr>
          <w:lang w:val="en-GB"/>
        </w:rPr>
        <w:lastRenderedPageBreak/>
        <w:t>Urgency begins with visibility. When managers embody the change, it becomes real for their teams.</w:t>
      </w:r>
    </w:p>
    <w:p w:rsidRPr="00F97C3C" w:rsidR="00F97C3C" w:rsidP="00F97C3C" w:rsidRDefault="00F97C3C" w14:paraId="045E7E37" w14:textId="77777777">
      <w:pPr>
        <w:numPr>
          <w:ilvl w:val="0"/>
          <w:numId w:val="11"/>
        </w:numPr>
        <w:rPr>
          <w:b/>
          <w:bCs/>
          <w:lang w:val="en-GB"/>
        </w:rPr>
      </w:pPr>
      <w:r w:rsidRPr="00F97C3C">
        <w:rPr>
          <w:b/>
          <w:bCs/>
          <w:lang w:val="en-GB"/>
        </w:rPr>
        <w:t>2. Building Capability, Not Just Awareness</w:t>
      </w:r>
    </w:p>
    <w:p w:rsidRPr="00F97C3C" w:rsidR="00F97C3C" w:rsidP="00F97C3C" w:rsidRDefault="00F97C3C" w14:paraId="381CA95F" w14:textId="77777777">
      <w:pPr>
        <w:numPr>
          <w:ilvl w:val="0"/>
          <w:numId w:val="11"/>
        </w:numPr>
        <w:rPr>
          <w:lang w:val="en-GB"/>
        </w:rPr>
      </w:pPr>
      <w:r w:rsidRPr="00F97C3C">
        <w:rPr>
          <w:lang w:val="en-GB"/>
        </w:rPr>
        <w:t>Many managers are aware of new HR practices—but lack the skills to implement them effectively. This gap can lead to frustration, inconsistency, and even more grievances.</w:t>
      </w:r>
    </w:p>
    <w:p w:rsidRPr="00F97C3C" w:rsidR="00F97C3C" w:rsidP="00F97C3C" w:rsidRDefault="00F97C3C" w14:paraId="3E9A6D7D" w14:textId="77777777">
      <w:pPr>
        <w:numPr>
          <w:ilvl w:val="0"/>
          <w:numId w:val="11"/>
        </w:numPr>
        <w:rPr>
          <w:lang w:val="en-GB"/>
        </w:rPr>
      </w:pPr>
      <w:r w:rsidRPr="00F97C3C">
        <w:rPr>
          <w:b/>
          <w:bCs/>
          <w:lang w:val="en-GB"/>
        </w:rPr>
        <w:t>Invest in targeted training</w:t>
      </w:r>
      <w:r w:rsidRPr="00F97C3C">
        <w:rPr>
          <w:lang w:val="en-GB"/>
        </w:rPr>
        <w:t>: HR should partner with managers to offer practical, scenario-based training. For example, how to handle a flexible work request fairly, or how to lead a hybrid team with empathy.</w:t>
      </w:r>
    </w:p>
    <w:p w:rsidRPr="00F97C3C" w:rsidR="00F97C3C" w:rsidP="00F97C3C" w:rsidRDefault="00F97C3C" w14:paraId="4567354B" w14:textId="77777777">
      <w:pPr>
        <w:numPr>
          <w:ilvl w:val="0"/>
          <w:numId w:val="11"/>
        </w:numPr>
        <w:rPr>
          <w:lang w:val="en-GB"/>
        </w:rPr>
      </w:pPr>
      <w:r w:rsidRPr="00F97C3C">
        <w:rPr>
          <w:b/>
          <w:bCs/>
          <w:lang w:val="en-GB"/>
        </w:rPr>
        <w:t>Create peer learning spaces</w:t>
      </w:r>
      <w:r w:rsidRPr="00F97C3C">
        <w:rPr>
          <w:lang w:val="en-GB"/>
        </w:rPr>
        <w:t>: Managers often learn best from each other. Facilitated forums or communities of practice can help them share challenges, successes, and strategies for embedding HR practices.</w:t>
      </w:r>
    </w:p>
    <w:p w:rsidRPr="00F97C3C" w:rsidR="00F97C3C" w:rsidP="00F97C3C" w:rsidRDefault="00F97C3C" w14:paraId="237452C4" w14:textId="77777777">
      <w:pPr>
        <w:numPr>
          <w:ilvl w:val="0"/>
          <w:numId w:val="11"/>
        </w:numPr>
        <w:rPr>
          <w:lang w:val="en-GB"/>
        </w:rPr>
      </w:pPr>
      <w:r w:rsidRPr="00F97C3C">
        <w:rPr>
          <w:b/>
          <w:bCs/>
          <w:lang w:val="en-GB"/>
        </w:rPr>
        <w:t>Use coaching, not just compliance</w:t>
      </w:r>
      <w:r w:rsidRPr="00F97C3C">
        <w:rPr>
          <w:lang w:val="en-GB"/>
        </w:rPr>
        <w:t>: Instead of performance reviews focused on metrics alone, HR can support managers with coaching that explores leadership style, emotional intelligence, and team dynamics.</w:t>
      </w:r>
    </w:p>
    <w:p w:rsidRPr="00F97C3C" w:rsidR="00F97C3C" w:rsidP="00F97C3C" w:rsidRDefault="00F97C3C" w14:paraId="4097FED9" w14:textId="77777777">
      <w:pPr>
        <w:numPr>
          <w:ilvl w:val="0"/>
          <w:numId w:val="11"/>
        </w:numPr>
        <w:rPr>
          <w:lang w:val="en-GB"/>
        </w:rPr>
      </w:pPr>
      <w:r w:rsidRPr="7DFD6A50" w:rsidR="00F97C3C">
        <w:rPr>
          <w:lang w:val="en-GB"/>
        </w:rPr>
        <w:t xml:space="preserve">Capability-building must be continuous—not a one-off workshop. </w:t>
      </w:r>
      <w:r w:rsidRPr="7DFD6A50" w:rsidR="00F97C3C">
        <w:rPr>
          <w:lang w:val="en-GB"/>
        </w:rPr>
        <w:t>It’s</w:t>
      </w:r>
      <w:r w:rsidRPr="7DFD6A50" w:rsidR="00F97C3C">
        <w:rPr>
          <w:lang w:val="en-GB"/>
        </w:rPr>
        <w:t xml:space="preserve"> the foundation for sustainable change.</w:t>
      </w:r>
    </w:p>
    <w:p w:rsidR="7DFD6A50" w:rsidP="7DFD6A50" w:rsidRDefault="7DFD6A50" w14:paraId="4C997F73" w14:textId="6B822239">
      <w:pPr>
        <w:ind w:left="720"/>
        <w:rPr>
          <w:lang w:val="en-GB"/>
        </w:rPr>
      </w:pPr>
    </w:p>
    <w:p w:rsidRPr="00F97C3C" w:rsidR="00F97C3C" w:rsidP="00294F4F" w:rsidRDefault="00F97C3C" w14:paraId="221895EA" w14:textId="6A2E3C8E">
      <w:pPr>
        <w:ind w:left="720"/>
        <w:rPr>
          <w:lang w:val="en-GB"/>
        </w:rPr>
      </w:pPr>
    </w:p>
    <w:p w:rsidRPr="00F97C3C" w:rsidR="00F97C3C" w:rsidP="00F97C3C" w:rsidRDefault="00F97C3C" w14:paraId="243BE5A3" w14:textId="77777777">
      <w:pPr>
        <w:numPr>
          <w:ilvl w:val="0"/>
          <w:numId w:val="11"/>
        </w:numPr>
        <w:rPr>
          <w:b/>
          <w:bCs/>
          <w:lang w:val="en-GB"/>
        </w:rPr>
      </w:pPr>
      <w:r w:rsidRPr="00F97C3C">
        <w:rPr>
          <w:b/>
          <w:bCs/>
          <w:lang w:val="en-GB"/>
        </w:rPr>
        <w:t>3. Aligning Accountability with Support</w:t>
      </w:r>
    </w:p>
    <w:p w:rsidRPr="00F97C3C" w:rsidR="00F97C3C" w:rsidP="00F97C3C" w:rsidRDefault="00F97C3C" w14:paraId="28E55776" w14:textId="77777777">
      <w:pPr>
        <w:numPr>
          <w:ilvl w:val="0"/>
          <w:numId w:val="11"/>
        </w:numPr>
        <w:rPr>
          <w:lang w:val="en-GB"/>
        </w:rPr>
      </w:pPr>
      <w:r w:rsidRPr="00F97C3C">
        <w:rPr>
          <w:lang w:val="en-GB"/>
        </w:rPr>
        <w:t>Urgency doesn’t mean pressure without support. Managers need clear expectations—but also the tools and space to meet them.</w:t>
      </w:r>
    </w:p>
    <w:p w:rsidRPr="00F97C3C" w:rsidR="00F97C3C" w:rsidP="00F97C3C" w:rsidRDefault="00F97C3C" w14:paraId="01591B05" w14:textId="5C158DAB">
      <w:pPr>
        <w:numPr>
          <w:ilvl w:val="0"/>
          <w:numId w:val="11"/>
        </w:numPr>
        <w:rPr>
          <w:lang w:val="en-GB"/>
        </w:rPr>
      </w:pPr>
      <w:r w:rsidRPr="234C0613" w:rsidR="00F97C3C">
        <w:rPr>
          <w:b w:val="1"/>
          <w:bCs w:val="1"/>
          <w:lang w:val="en-GB"/>
        </w:rPr>
        <w:t>Set clear implementation goals</w:t>
      </w:r>
      <w:r w:rsidRPr="234C0613" w:rsidR="00F97C3C">
        <w:rPr>
          <w:lang w:val="en-GB"/>
        </w:rPr>
        <w:t>: HR can co-create KPIs with managers</w:t>
      </w:r>
      <w:r w:rsidRPr="234C0613" w:rsidR="03F8617C">
        <w:rPr>
          <w:lang w:val="en-GB"/>
        </w:rPr>
        <w:t xml:space="preserve"> </w:t>
      </w:r>
      <w:r w:rsidRPr="234C0613" w:rsidR="00F97C3C">
        <w:rPr>
          <w:lang w:val="en-GB"/>
        </w:rPr>
        <w:t>such as grievance reduction, engagement scores, or flexible work uptake</w:t>
      </w:r>
      <w:r w:rsidRPr="234C0613" w:rsidR="600EF568">
        <w:rPr>
          <w:lang w:val="en-GB"/>
        </w:rPr>
        <w:t xml:space="preserve"> </w:t>
      </w:r>
      <w:r w:rsidRPr="234C0613" w:rsidR="00F97C3C">
        <w:rPr>
          <w:lang w:val="en-GB"/>
        </w:rPr>
        <w:t>and review progress regularly.</w:t>
      </w:r>
    </w:p>
    <w:p w:rsidRPr="00F97C3C" w:rsidR="00F97C3C" w:rsidP="00F97C3C" w:rsidRDefault="00F97C3C" w14:paraId="526E376D" w14:textId="77777777">
      <w:pPr>
        <w:numPr>
          <w:ilvl w:val="0"/>
          <w:numId w:val="11"/>
        </w:numPr>
        <w:rPr>
          <w:lang w:val="en-GB"/>
        </w:rPr>
      </w:pPr>
      <w:r w:rsidRPr="00F97C3C">
        <w:rPr>
          <w:b/>
          <w:bCs/>
          <w:lang w:val="en-GB"/>
        </w:rPr>
        <w:t>Provide real-time data and insights</w:t>
      </w:r>
      <w:r w:rsidRPr="00F97C3C">
        <w:rPr>
          <w:lang w:val="en-GB"/>
        </w:rPr>
        <w:t>: Dashboards showing team sentiment, feedback trends, or digital wellbeing risks can help managers act quickly and proactively.</w:t>
      </w:r>
    </w:p>
    <w:p w:rsidRPr="00F97C3C" w:rsidR="00F97C3C" w:rsidP="00F97C3C" w:rsidRDefault="00F97C3C" w14:paraId="69513BAB" w14:textId="77777777">
      <w:pPr>
        <w:numPr>
          <w:ilvl w:val="0"/>
          <w:numId w:val="11"/>
        </w:numPr>
        <w:rPr>
          <w:lang w:val="en-GB"/>
        </w:rPr>
      </w:pPr>
      <w:r w:rsidRPr="00F97C3C">
        <w:rPr>
          <w:b/>
          <w:bCs/>
          <w:lang w:val="en-GB"/>
        </w:rPr>
        <w:t>Recognise and reward progress</w:t>
      </w:r>
      <w:r w:rsidRPr="00F97C3C">
        <w:rPr>
          <w:lang w:val="en-GB"/>
        </w:rPr>
        <w:t>: When managers successfully implement new practices, it should be acknowledged. Recognition reinforces urgency and motivates others to follow suit.</w:t>
      </w:r>
    </w:p>
    <w:p w:rsidR="00F97C3C" w:rsidP="00F97C3C" w:rsidRDefault="00F97C3C" w14:paraId="42CB52A1" w14:textId="3BECB6BF">
      <w:pPr>
        <w:numPr>
          <w:ilvl w:val="0"/>
          <w:numId w:val="11"/>
        </w:numPr>
        <w:rPr>
          <w:lang w:val="en-GB"/>
        </w:rPr>
      </w:pPr>
      <w:r w:rsidRPr="00F97C3C">
        <w:rPr>
          <w:lang w:val="en-GB"/>
        </w:rPr>
        <w:t>Accountability works best when it’s paired with empathy. Managers need to feel trusted, not just tasked.</w:t>
      </w:r>
    </w:p>
    <w:p w:rsidR="00B95387" w:rsidP="00B95387" w:rsidRDefault="00B95387" w14:paraId="3BC1296D" w14:textId="77777777">
      <w:pPr>
        <w:rPr>
          <w:lang w:val="en-GB"/>
        </w:rPr>
      </w:pPr>
    </w:p>
    <w:p w:rsidR="00B95387" w:rsidP="00B95387" w:rsidRDefault="00B95387" w14:paraId="6369C358" w14:textId="77777777">
      <w:pPr>
        <w:rPr>
          <w:lang w:val="en-GB"/>
        </w:rPr>
      </w:pPr>
    </w:p>
    <w:p w:rsidRPr="00294F4F" w:rsidR="00294F4F" w:rsidP="7DFD6A50" w:rsidRDefault="00294F4F" w14:paraId="55A66A82" w14:textId="066476C0">
      <w:pPr>
        <w:pStyle w:val="Heading1"/>
        <w:rPr>
          <w:b w:val="1"/>
          <w:bCs w:val="1"/>
          <w:lang w:val="en-GB"/>
        </w:rPr>
      </w:pPr>
      <w:r w:rsidRPr="7DFD6A50" w:rsidR="00294F4F">
        <w:rPr>
          <w:lang w:val="en-GB"/>
        </w:rPr>
        <w:t>Conclusion</w:t>
      </w:r>
    </w:p>
    <w:p w:rsidRPr="00294F4F" w:rsidR="00294F4F" w:rsidP="00294F4F" w:rsidRDefault="00294F4F" w14:paraId="6C50D5A4" w14:textId="77777777">
      <w:pPr>
        <w:rPr>
          <w:lang w:val="en-GB"/>
        </w:rPr>
      </w:pPr>
      <w:r w:rsidRPr="00294F4F">
        <w:rPr>
          <w:lang w:val="en-GB"/>
        </w:rPr>
        <w:lastRenderedPageBreak/>
        <w:t>Grievances are often a sign that something isn’t working—not just in policy, but in culture. At Car Deal Ltd, the pace of change is high, and employees need clarity, support, and connection. Contemporary HR practices offer powerful tools to help—but they only work when they’re brought to life by managers who lead with intention.</w:t>
      </w:r>
    </w:p>
    <w:p w:rsidRPr="00294F4F" w:rsidR="00294F4F" w:rsidP="00294F4F" w:rsidRDefault="00294F4F" w14:paraId="7420DB4D" w14:textId="511D685F">
      <w:pPr>
        <w:rPr>
          <w:lang w:val="en-GB"/>
        </w:rPr>
      </w:pPr>
      <w:r w:rsidRPr="7DFD6A50" w:rsidR="00294F4F">
        <w:rPr>
          <w:lang w:val="en-GB"/>
        </w:rPr>
        <w:t xml:space="preserve">Departmental managers </w:t>
      </w:r>
      <w:r w:rsidRPr="7DFD6A50" w:rsidR="00294F4F">
        <w:rPr>
          <w:lang w:val="en-GB"/>
        </w:rPr>
        <w:t>aren’t</w:t>
      </w:r>
      <w:r w:rsidRPr="7DFD6A50" w:rsidR="00294F4F">
        <w:rPr>
          <w:lang w:val="en-GB"/>
        </w:rPr>
        <w:t xml:space="preserve"> just there to enforce rules</w:t>
      </w:r>
      <w:r w:rsidRPr="7DFD6A50" w:rsidR="6156B88C">
        <w:rPr>
          <w:lang w:val="en-GB"/>
        </w:rPr>
        <w:t xml:space="preserve"> </w:t>
      </w:r>
      <w:r w:rsidRPr="7DFD6A50" w:rsidR="00294F4F">
        <w:rPr>
          <w:lang w:val="en-GB"/>
        </w:rPr>
        <w:t>they’re</w:t>
      </w:r>
      <w:r w:rsidRPr="7DFD6A50" w:rsidR="00294F4F">
        <w:rPr>
          <w:lang w:val="en-GB"/>
        </w:rPr>
        <w:t xml:space="preserve"> the bridge between strategy and experience. When they take ownership, model new behaviours, and act with urgency, they help build a workplace where people feel safe, respected, and empowered to thrive.</w:t>
      </w:r>
    </w:p>
    <w:p w:rsidRPr="00294F4F" w:rsidR="00294F4F" w:rsidP="7DFD6A50" w:rsidRDefault="00294F4F" w14:paraId="3D7D87F2" w14:textId="3BA5A4A4">
      <w:pPr>
        <w:pStyle w:val="Heading1"/>
      </w:pPr>
      <w:r w:rsidRPr="7DFD6A50" w:rsidR="379C8384">
        <w:rPr>
          <w:noProof w:val="0"/>
          <w:lang w:val="en-GB"/>
        </w:rPr>
        <w:t>References</w:t>
      </w:r>
    </w:p>
    <w:p w:rsidRPr="00294F4F" w:rsidR="00294F4F" w:rsidP="7DFD6A50" w:rsidRDefault="00294F4F" w14:paraId="12488569" w14:textId="7BFF8CEC">
      <w:pPr>
        <w:spacing w:before="240" w:beforeAutospacing="off" w:after="240" w:afterAutospacing="off"/>
      </w:pPr>
      <w:r w:rsidRPr="7DFD6A50" w:rsidR="379C8384">
        <w:rPr>
          <w:rFonts w:ascii="Calibri" w:hAnsi="Calibri" w:eastAsia="Calibri" w:cs="Calibri"/>
          <w:noProof w:val="0"/>
          <w:sz w:val="22"/>
          <w:szCs w:val="22"/>
          <w:lang w:val="en-GB"/>
        </w:rPr>
        <w:t>1. HR Strategy &amp; Harvard HR Model</w:t>
      </w:r>
    </w:p>
    <w:p w:rsidRPr="00294F4F" w:rsidR="00294F4F" w:rsidP="7DFD6A50" w:rsidRDefault="00294F4F" w14:paraId="4FF353A9" w14:textId="33E73144">
      <w:pPr>
        <w:pStyle w:val="ListParagraph"/>
        <w:numPr>
          <w:ilvl w:val="0"/>
          <w:numId w:val="26"/>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Beer, M., Spector, B., Lawrence, P.R., Mills, D.Q. and Walton, R.E., 1984. </w:t>
      </w:r>
      <w:r w:rsidRPr="7DFD6A50" w:rsidR="379C8384">
        <w:rPr>
          <w:rFonts w:ascii="Calibri" w:hAnsi="Calibri" w:eastAsia="Calibri" w:cs="Calibri"/>
          <w:i w:val="1"/>
          <w:iCs w:val="1"/>
          <w:noProof w:val="0"/>
          <w:sz w:val="22"/>
          <w:szCs w:val="22"/>
          <w:lang w:val="en-GB"/>
        </w:rPr>
        <w:t>Managing Human Assets: The Groundbreaking Harvard Business School Program</w:t>
      </w:r>
      <w:r w:rsidRPr="7DFD6A50" w:rsidR="379C8384">
        <w:rPr>
          <w:rFonts w:ascii="Calibri" w:hAnsi="Calibri" w:eastAsia="Calibri" w:cs="Calibri"/>
          <w:noProof w:val="0"/>
          <w:sz w:val="22"/>
          <w:szCs w:val="22"/>
          <w:lang w:val="en-GB"/>
        </w:rPr>
        <w:t>. New York: Free Press.</w:t>
      </w:r>
    </w:p>
    <w:p w:rsidRPr="00294F4F" w:rsidR="00294F4F" w:rsidP="7DFD6A50" w:rsidRDefault="00294F4F" w14:paraId="61BFBDC4" w14:textId="227FD33C">
      <w:pPr>
        <w:pStyle w:val="ListParagraph"/>
        <w:numPr>
          <w:ilvl w:val="0"/>
          <w:numId w:val="26"/>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HRM Guide, 2025. </w:t>
      </w:r>
      <w:r w:rsidRPr="7DFD6A50" w:rsidR="379C8384">
        <w:rPr>
          <w:rFonts w:ascii="Calibri" w:hAnsi="Calibri" w:eastAsia="Calibri" w:cs="Calibri"/>
          <w:i w:val="1"/>
          <w:iCs w:val="1"/>
          <w:noProof w:val="0"/>
          <w:sz w:val="22"/>
          <w:szCs w:val="22"/>
          <w:lang w:val="en-GB"/>
        </w:rPr>
        <w:t>The Harvard Model of HRM</w:t>
      </w:r>
      <w:r w:rsidRPr="7DFD6A50" w:rsidR="379C8384">
        <w:rPr>
          <w:rFonts w:ascii="Calibri" w:hAnsi="Calibri" w:eastAsia="Calibri" w:cs="Calibri"/>
          <w:noProof w:val="0"/>
          <w:sz w:val="22"/>
          <w:szCs w:val="22"/>
          <w:lang w:val="en-GB"/>
        </w:rPr>
        <w:t xml:space="preserve">. [online] Available at: </w:t>
      </w:r>
      <w:hyperlink r:id="Raa236ab222ae4f1e">
        <w:r w:rsidRPr="7DFD6A50" w:rsidR="379C8384">
          <w:rPr>
            <w:rStyle w:val="Hyperlink"/>
            <w:rFonts w:ascii="Calibri" w:hAnsi="Calibri" w:eastAsia="Calibri" w:cs="Calibri"/>
            <w:noProof w:val="0"/>
            <w:sz w:val="22"/>
            <w:szCs w:val="22"/>
            <w:lang w:val="en-GB"/>
          </w:rPr>
          <w:t>https://hrmguide.io/essentials/hrm-approaches/harvard-model-hrm</w:t>
        </w:r>
      </w:hyperlink>
      <w:r w:rsidRPr="7DFD6A50" w:rsidR="379C8384">
        <w:rPr>
          <w:rFonts w:ascii="Calibri" w:hAnsi="Calibri" w:eastAsia="Calibri" w:cs="Calibri"/>
          <w:noProof w:val="0"/>
          <w:sz w:val="22"/>
          <w:szCs w:val="22"/>
          <w:lang w:val="en-GB"/>
        </w:rPr>
        <w:t xml:space="preserve"> [Accessed 4 Nov. 2025].</w:t>
      </w:r>
    </w:p>
    <w:p w:rsidRPr="00294F4F" w:rsidR="00294F4F" w:rsidP="7DFD6A50" w:rsidRDefault="00294F4F" w14:paraId="0AA293DD" w14:textId="4F2DABB4">
      <w:pPr>
        <w:pStyle w:val="ListParagraph"/>
        <w:spacing w:before="0" w:beforeAutospacing="off" w:after="0" w:afterAutospacing="off"/>
        <w:ind w:left="720"/>
        <w:rPr>
          <w:rFonts w:ascii="Calibri" w:hAnsi="Calibri" w:eastAsia="Calibri" w:cs="Calibri"/>
          <w:noProof w:val="0"/>
          <w:sz w:val="22"/>
          <w:szCs w:val="22"/>
          <w:lang w:val="en-GB"/>
        </w:rPr>
      </w:pPr>
    </w:p>
    <w:p w:rsidRPr="00294F4F" w:rsidR="00294F4F" w:rsidP="7DFD6A50" w:rsidRDefault="00294F4F" w14:paraId="6AAC45AF" w14:textId="6857B8E8">
      <w:pPr>
        <w:spacing w:before="240" w:beforeAutospacing="off" w:after="240" w:afterAutospacing="off"/>
      </w:pPr>
      <w:r w:rsidRPr="7DFD6A50" w:rsidR="379C8384">
        <w:rPr>
          <w:rFonts w:ascii="Calibri" w:hAnsi="Calibri" w:eastAsia="Calibri" w:cs="Calibri"/>
          <w:noProof w:val="0"/>
          <w:sz w:val="22"/>
          <w:szCs w:val="22"/>
          <w:lang w:val="en-GB"/>
        </w:rPr>
        <w:t>2. Grievance Handling &amp; Employee Relations</w:t>
      </w:r>
    </w:p>
    <w:p w:rsidRPr="00294F4F" w:rsidR="00294F4F" w:rsidP="7DFD6A50" w:rsidRDefault="00294F4F" w14:paraId="516C12AB" w14:textId="314551C1">
      <w:pPr>
        <w:pStyle w:val="ListParagraph"/>
        <w:numPr>
          <w:ilvl w:val="0"/>
          <w:numId w:val="27"/>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Gennard, J. and Judge, G., 2010. </w:t>
      </w:r>
      <w:r w:rsidRPr="7DFD6A50" w:rsidR="379C8384">
        <w:rPr>
          <w:rFonts w:ascii="Calibri" w:hAnsi="Calibri" w:eastAsia="Calibri" w:cs="Calibri"/>
          <w:i w:val="1"/>
          <w:iCs w:val="1"/>
          <w:noProof w:val="0"/>
          <w:sz w:val="22"/>
          <w:szCs w:val="22"/>
          <w:lang w:val="en-GB"/>
        </w:rPr>
        <w:t>Employee Relations</w:t>
      </w:r>
      <w:r w:rsidRPr="7DFD6A50" w:rsidR="379C8384">
        <w:rPr>
          <w:rFonts w:ascii="Calibri" w:hAnsi="Calibri" w:eastAsia="Calibri" w:cs="Calibri"/>
          <w:noProof w:val="0"/>
          <w:sz w:val="22"/>
          <w:szCs w:val="22"/>
          <w:lang w:val="en-GB"/>
        </w:rPr>
        <w:t>. 4th ed. London: CIPD.</w:t>
      </w:r>
    </w:p>
    <w:p w:rsidRPr="00294F4F" w:rsidR="00294F4F" w:rsidP="7DFD6A50" w:rsidRDefault="00294F4F" w14:paraId="3C5BB116" w14:textId="4EA18CC3">
      <w:pPr>
        <w:pStyle w:val="ListParagraph"/>
        <w:numPr>
          <w:ilvl w:val="0"/>
          <w:numId w:val="27"/>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Advisory, Conciliation and Arbitration Service (ACAS), 2025. </w:t>
      </w:r>
      <w:r w:rsidRPr="7DFD6A50" w:rsidR="379C8384">
        <w:rPr>
          <w:rFonts w:ascii="Calibri" w:hAnsi="Calibri" w:eastAsia="Calibri" w:cs="Calibri"/>
          <w:i w:val="1"/>
          <w:iCs w:val="1"/>
          <w:noProof w:val="0"/>
          <w:sz w:val="22"/>
          <w:szCs w:val="22"/>
          <w:lang w:val="en-GB"/>
        </w:rPr>
        <w:t>Discipline and Grievances at Work: The ACAS Guide</w:t>
      </w:r>
      <w:r w:rsidRPr="7DFD6A50" w:rsidR="379C8384">
        <w:rPr>
          <w:rFonts w:ascii="Calibri" w:hAnsi="Calibri" w:eastAsia="Calibri" w:cs="Calibri"/>
          <w:noProof w:val="0"/>
          <w:sz w:val="22"/>
          <w:szCs w:val="22"/>
          <w:lang w:val="en-GB"/>
        </w:rPr>
        <w:t xml:space="preserve">. [online] Available at: </w:t>
      </w:r>
      <w:hyperlink r:id="R7990c5f5ada046d8">
        <w:r w:rsidRPr="7DFD6A50" w:rsidR="379C8384">
          <w:rPr>
            <w:rStyle w:val="Hyperlink"/>
            <w:rFonts w:ascii="Calibri" w:hAnsi="Calibri" w:eastAsia="Calibri" w:cs="Calibri"/>
            <w:noProof w:val="0"/>
            <w:sz w:val="22"/>
            <w:szCs w:val="22"/>
            <w:lang w:val="en-GB"/>
          </w:rPr>
          <w:t>https://www.acas.org.uk</w:t>
        </w:r>
      </w:hyperlink>
      <w:r w:rsidRPr="7DFD6A50" w:rsidR="379C8384">
        <w:rPr>
          <w:rFonts w:ascii="Calibri" w:hAnsi="Calibri" w:eastAsia="Calibri" w:cs="Calibri"/>
          <w:noProof w:val="0"/>
          <w:sz w:val="22"/>
          <w:szCs w:val="22"/>
          <w:lang w:val="en-GB"/>
        </w:rPr>
        <w:t xml:space="preserve"> [Accessed 4 Nov. 2025].</w:t>
      </w:r>
    </w:p>
    <w:p w:rsidRPr="00294F4F" w:rsidR="00294F4F" w:rsidP="7DFD6A50" w:rsidRDefault="00294F4F" w14:paraId="59DE817E" w14:textId="6E3B71DE">
      <w:pPr>
        <w:spacing w:before="240" w:beforeAutospacing="off" w:after="240" w:afterAutospacing="off"/>
      </w:pPr>
      <w:r w:rsidRPr="7DFD6A50" w:rsidR="379C8384">
        <w:rPr>
          <w:rFonts w:ascii="Calibri" w:hAnsi="Calibri" w:eastAsia="Calibri" w:cs="Calibri"/>
          <w:noProof w:val="0"/>
          <w:sz w:val="22"/>
          <w:szCs w:val="22"/>
          <w:lang w:val="en-GB"/>
        </w:rPr>
        <w:t>3. Stakeholder Engagement &amp; Mapping</w:t>
      </w:r>
    </w:p>
    <w:p w:rsidRPr="00294F4F" w:rsidR="00294F4F" w:rsidP="7DFD6A50" w:rsidRDefault="00294F4F" w14:paraId="128D182A" w14:textId="29452270">
      <w:pPr>
        <w:pStyle w:val="ListParagraph"/>
        <w:numPr>
          <w:ilvl w:val="0"/>
          <w:numId w:val="28"/>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Bryson, J.M., 2004. </w:t>
      </w:r>
      <w:r w:rsidRPr="7DFD6A50" w:rsidR="379C8384">
        <w:rPr>
          <w:rFonts w:ascii="Calibri" w:hAnsi="Calibri" w:eastAsia="Calibri" w:cs="Calibri"/>
          <w:i w:val="1"/>
          <w:iCs w:val="1"/>
          <w:noProof w:val="0"/>
          <w:sz w:val="22"/>
          <w:szCs w:val="22"/>
          <w:lang w:val="en-GB"/>
        </w:rPr>
        <w:t>What to do when stakeholders matter: Stakeholder identification and analysis techniques</w:t>
      </w:r>
      <w:r w:rsidRPr="7DFD6A50" w:rsidR="379C8384">
        <w:rPr>
          <w:rFonts w:ascii="Calibri" w:hAnsi="Calibri" w:eastAsia="Calibri" w:cs="Calibri"/>
          <w:noProof w:val="0"/>
          <w:sz w:val="22"/>
          <w:szCs w:val="22"/>
          <w:lang w:val="en-GB"/>
        </w:rPr>
        <w:t>. Public Management Review, 6(1), pp.21–53.</w:t>
      </w:r>
    </w:p>
    <w:p w:rsidRPr="00294F4F" w:rsidR="00294F4F" w:rsidP="7DFD6A50" w:rsidRDefault="00294F4F" w14:paraId="5EAE307C" w14:textId="7BA8C5BB">
      <w:pPr>
        <w:pStyle w:val="ListParagraph"/>
        <w:numPr>
          <w:ilvl w:val="0"/>
          <w:numId w:val="28"/>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Freeman, R.E., 1984. </w:t>
      </w:r>
      <w:r w:rsidRPr="7DFD6A50" w:rsidR="379C8384">
        <w:rPr>
          <w:rFonts w:ascii="Calibri" w:hAnsi="Calibri" w:eastAsia="Calibri" w:cs="Calibri"/>
          <w:i w:val="1"/>
          <w:iCs w:val="1"/>
          <w:noProof w:val="0"/>
          <w:sz w:val="22"/>
          <w:szCs w:val="22"/>
          <w:lang w:val="en-GB"/>
        </w:rPr>
        <w:t>Strategic Management: A Stakeholder Approach</w:t>
      </w:r>
      <w:r w:rsidRPr="7DFD6A50" w:rsidR="379C8384">
        <w:rPr>
          <w:rFonts w:ascii="Calibri" w:hAnsi="Calibri" w:eastAsia="Calibri" w:cs="Calibri"/>
          <w:noProof w:val="0"/>
          <w:sz w:val="22"/>
          <w:szCs w:val="22"/>
          <w:lang w:val="en-GB"/>
        </w:rPr>
        <w:t>. Boston: Pitman.</w:t>
      </w:r>
    </w:p>
    <w:p w:rsidRPr="00294F4F" w:rsidR="00294F4F" w:rsidP="7DFD6A50" w:rsidRDefault="00294F4F" w14:paraId="54508B27" w14:textId="340919C7">
      <w:pPr>
        <w:spacing w:before="240" w:beforeAutospacing="off" w:after="240" w:afterAutospacing="off"/>
      </w:pPr>
      <w:r w:rsidRPr="7DFD6A50" w:rsidR="379C8384">
        <w:rPr>
          <w:rFonts w:ascii="Calibri" w:hAnsi="Calibri" w:eastAsia="Calibri" w:cs="Calibri"/>
          <w:noProof w:val="0"/>
          <w:sz w:val="22"/>
          <w:szCs w:val="22"/>
          <w:lang w:val="en-GB"/>
        </w:rPr>
        <w:t>4. Referencing Tools &amp; Guides</w:t>
      </w:r>
    </w:p>
    <w:p w:rsidRPr="00294F4F" w:rsidR="00294F4F" w:rsidP="7DFD6A50" w:rsidRDefault="00294F4F" w14:paraId="1D8D1A4F" w14:textId="7713C0F4">
      <w:pPr>
        <w:pStyle w:val="ListParagraph"/>
        <w:numPr>
          <w:ilvl w:val="0"/>
          <w:numId w:val="29"/>
        </w:numPr>
        <w:spacing w:before="0" w:beforeAutospacing="off" w:after="0" w:afterAutospacing="off"/>
        <w:rPr>
          <w:rFonts w:ascii="Calibri" w:hAnsi="Calibri" w:eastAsia="Calibri" w:cs="Calibri"/>
          <w:noProof w:val="0"/>
          <w:sz w:val="22"/>
          <w:szCs w:val="22"/>
          <w:lang w:val="en-GB"/>
        </w:rPr>
      </w:pPr>
      <w:r w:rsidRPr="7DFD6A50" w:rsidR="72F518FD">
        <w:rPr>
          <w:rFonts w:ascii="Calibri" w:hAnsi="Calibri" w:eastAsia="Calibri" w:cs="Calibri"/>
          <w:noProof w:val="0"/>
          <w:sz w:val="22"/>
          <w:szCs w:val="22"/>
          <w:lang w:val="en-GB"/>
        </w:rPr>
        <w:t>MyBib</w:t>
      </w:r>
      <w:r w:rsidRPr="7DFD6A50" w:rsidR="379C8384">
        <w:rPr>
          <w:rFonts w:ascii="Calibri" w:hAnsi="Calibri" w:eastAsia="Calibri" w:cs="Calibri"/>
          <w:noProof w:val="0"/>
          <w:sz w:val="22"/>
          <w:szCs w:val="22"/>
          <w:lang w:val="en-GB"/>
        </w:rPr>
        <w:t xml:space="preserve">, 2025. </w:t>
      </w:r>
      <w:r w:rsidRPr="7DFD6A50" w:rsidR="379C8384">
        <w:rPr>
          <w:rFonts w:ascii="Calibri" w:hAnsi="Calibri" w:eastAsia="Calibri" w:cs="Calibri"/>
          <w:i w:val="1"/>
          <w:iCs w:val="1"/>
          <w:noProof w:val="0"/>
          <w:sz w:val="22"/>
          <w:szCs w:val="22"/>
          <w:lang w:val="en-GB"/>
        </w:rPr>
        <w:t>Free Harvard Referencing Generator</w:t>
      </w:r>
      <w:r w:rsidRPr="7DFD6A50" w:rsidR="379C8384">
        <w:rPr>
          <w:rFonts w:ascii="Calibri" w:hAnsi="Calibri" w:eastAsia="Calibri" w:cs="Calibri"/>
          <w:noProof w:val="0"/>
          <w:sz w:val="22"/>
          <w:szCs w:val="22"/>
          <w:lang w:val="en-GB"/>
        </w:rPr>
        <w:t xml:space="preserve">. [online] Available at: </w:t>
      </w:r>
      <w:hyperlink r:id="R0da39cc63aed4dd6">
        <w:r w:rsidRPr="7DFD6A50" w:rsidR="379C8384">
          <w:rPr>
            <w:rStyle w:val="Hyperlink"/>
            <w:rFonts w:ascii="Calibri" w:hAnsi="Calibri" w:eastAsia="Calibri" w:cs="Calibri"/>
            <w:noProof w:val="0"/>
            <w:sz w:val="22"/>
            <w:szCs w:val="22"/>
            <w:lang w:val="en-GB"/>
          </w:rPr>
          <w:t>https://www.mybib.com/tools/harvard-referencing-generator</w:t>
        </w:r>
      </w:hyperlink>
      <w:r w:rsidRPr="7DFD6A50" w:rsidR="379C8384">
        <w:rPr>
          <w:rFonts w:ascii="Calibri" w:hAnsi="Calibri" w:eastAsia="Calibri" w:cs="Calibri"/>
          <w:noProof w:val="0"/>
          <w:sz w:val="22"/>
          <w:szCs w:val="22"/>
          <w:lang w:val="en-GB"/>
        </w:rPr>
        <w:t xml:space="preserve"> [Accessed 4 Nov. 2025].</w:t>
      </w:r>
    </w:p>
    <w:p w:rsidRPr="00294F4F" w:rsidR="00294F4F" w:rsidP="7DFD6A50" w:rsidRDefault="00294F4F" w14:paraId="793C145D" w14:textId="2DD95EAE">
      <w:pPr>
        <w:pStyle w:val="ListParagraph"/>
        <w:numPr>
          <w:ilvl w:val="0"/>
          <w:numId w:val="29"/>
        </w:numPr>
        <w:spacing w:before="0" w:beforeAutospacing="off" w:after="0" w:afterAutospacing="off"/>
        <w:rPr>
          <w:rFonts w:ascii="Calibri" w:hAnsi="Calibri" w:eastAsia="Calibri" w:cs="Calibri"/>
          <w:noProof w:val="0"/>
          <w:sz w:val="22"/>
          <w:szCs w:val="22"/>
          <w:lang w:val="en-GB"/>
        </w:rPr>
      </w:pPr>
      <w:r w:rsidRPr="7DFD6A50" w:rsidR="379C8384">
        <w:rPr>
          <w:rFonts w:ascii="Calibri" w:hAnsi="Calibri" w:eastAsia="Calibri" w:cs="Calibri"/>
          <w:noProof w:val="0"/>
          <w:sz w:val="22"/>
          <w:szCs w:val="22"/>
          <w:lang w:val="en-GB"/>
        </w:rPr>
        <w:t xml:space="preserve">York St John University, 2025. </w:t>
      </w:r>
      <w:r w:rsidRPr="7DFD6A50" w:rsidR="379C8384">
        <w:rPr>
          <w:rFonts w:ascii="Calibri" w:hAnsi="Calibri" w:eastAsia="Calibri" w:cs="Calibri"/>
          <w:i w:val="1"/>
          <w:iCs w:val="1"/>
          <w:noProof w:val="0"/>
          <w:sz w:val="22"/>
          <w:szCs w:val="22"/>
          <w:lang w:val="en-GB"/>
        </w:rPr>
        <w:t>Harvard Referencing Quick Guide</w:t>
      </w:r>
      <w:r w:rsidRPr="7DFD6A50" w:rsidR="379C8384">
        <w:rPr>
          <w:rFonts w:ascii="Calibri" w:hAnsi="Calibri" w:eastAsia="Calibri" w:cs="Calibri"/>
          <w:noProof w:val="0"/>
          <w:sz w:val="22"/>
          <w:szCs w:val="22"/>
          <w:lang w:val="en-GB"/>
        </w:rPr>
        <w:t xml:space="preserve">. [pdf] Available at: </w:t>
      </w:r>
      <w:hyperlink r:id="R2a0be707eb8d4dd1">
        <w:r w:rsidRPr="7DFD6A50" w:rsidR="379C8384">
          <w:rPr>
            <w:rStyle w:val="Hyperlink"/>
            <w:rFonts w:ascii="Calibri" w:hAnsi="Calibri" w:eastAsia="Calibri" w:cs="Calibri"/>
            <w:noProof w:val="0"/>
            <w:sz w:val="22"/>
            <w:szCs w:val="22"/>
            <w:lang w:val="en-GB"/>
          </w:rPr>
          <w:t>https://www.yorksj.ac.uk/media/content-assets/ile/documents/Harvard-Referencing-quick-guide-%28online%29-2025.pdf</w:t>
        </w:r>
      </w:hyperlink>
      <w:r w:rsidRPr="7DFD6A50" w:rsidR="379C8384">
        <w:rPr>
          <w:rFonts w:ascii="Calibri" w:hAnsi="Calibri" w:eastAsia="Calibri" w:cs="Calibri"/>
          <w:noProof w:val="0"/>
          <w:sz w:val="22"/>
          <w:szCs w:val="22"/>
          <w:lang w:val="en-GB"/>
        </w:rPr>
        <w:t xml:space="preserve"> [Accessed 4 Nov. 2025].</w:t>
      </w:r>
    </w:p>
    <w:p w:rsidRPr="00294F4F" w:rsidR="00294F4F" w:rsidP="7DFD6A50" w:rsidRDefault="00294F4F" w14:paraId="2CE725D2" w14:textId="184690C6">
      <w:pPr>
        <w:rPr>
          <w:lang w:val="en-GB"/>
        </w:rPr>
      </w:pPr>
    </w:p>
    <w:p w:rsidRPr="00294F4F" w:rsidR="00294F4F" w:rsidP="7DFD6A50" w:rsidRDefault="00294F4F" w14:paraId="116FF36D" w14:textId="2D6F78EE">
      <w:pPr>
        <w:pStyle w:val="Heading2"/>
        <w:spacing w:before="240" w:beforeAutospacing="off" w:after="240" w:afterAutospacing="off"/>
        <w:rPr>
          <w:rFonts w:ascii="Calibri" w:hAnsi="Calibri" w:eastAsia="Calibri" w:cs="Calibri"/>
          <w:b w:val="1"/>
          <w:bCs w:val="1"/>
          <w:noProof w:val="0"/>
          <w:sz w:val="22"/>
          <w:szCs w:val="22"/>
          <w:lang w:val="en-GB"/>
        </w:rPr>
      </w:pPr>
    </w:p>
    <w:sectPr w:rsidRPr="00294F4F" w:rsidR="00294F4F">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6eb129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caec6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cac49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cba34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5636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e547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4c52f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d44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65B049"/>
    <w:multiLevelType w:val="hybridMultilevel"/>
    <w:tmpl w:val="FE7C65D6"/>
    <w:lvl w:ilvl="0" w:tplc="43A451E0">
      <w:start w:val="1"/>
      <w:numFmt w:val="bullet"/>
      <w:lvlText w:val=""/>
      <w:lvlJc w:val="left"/>
      <w:pPr>
        <w:ind w:left="720" w:hanging="360"/>
      </w:pPr>
      <w:rPr>
        <w:rFonts w:hint="default" w:ascii="Symbol" w:hAnsi="Symbol"/>
      </w:rPr>
    </w:lvl>
    <w:lvl w:ilvl="1" w:tplc="73EA6B90">
      <w:start w:val="1"/>
      <w:numFmt w:val="bullet"/>
      <w:lvlText w:val="o"/>
      <w:lvlJc w:val="left"/>
      <w:pPr>
        <w:ind w:left="1440" w:hanging="360"/>
      </w:pPr>
      <w:rPr>
        <w:rFonts w:hint="default" w:ascii="Courier New" w:hAnsi="Courier New"/>
      </w:rPr>
    </w:lvl>
    <w:lvl w:ilvl="2" w:tplc="03D43FFC">
      <w:start w:val="1"/>
      <w:numFmt w:val="bullet"/>
      <w:lvlText w:val=""/>
      <w:lvlJc w:val="left"/>
      <w:pPr>
        <w:ind w:left="2160" w:hanging="360"/>
      </w:pPr>
      <w:rPr>
        <w:rFonts w:hint="default" w:ascii="Wingdings" w:hAnsi="Wingdings"/>
      </w:rPr>
    </w:lvl>
    <w:lvl w:ilvl="3" w:tplc="33E40AF8">
      <w:start w:val="1"/>
      <w:numFmt w:val="bullet"/>
      <w:lvlText w:val=""/>
      <w:lvlJc w:val="left"/>
      <w:pPr>
        <w:ind w:left="2880" w:hanging="360"/>
      </w:pPr>
      <w:rPr>
        <w:rFonts w:hint="default" w:ascii="Symbol" w:hAnsi="Symbol"/>
      </w:rPr>
    </w:lvl>
    <w:lvl w:ilvl="4" w:tplc="4CFA6320">
      <w:start w:val="1"/>
      <w:numFmt w:val="bullet"/>
      <w:lvlText w:val="o"/>
      <w:lvlJc w:val="left"/>
      <w:pPr>
        <w:ind w:left="3600" w:hanging="360"/>
      </w:pPr>
      <w:rPr>
        <w:rFonts w:hint="default" w:ascii="Courier New" w:hAnsi="Courier New"/>
      </w:rPr>
    </w:lvl>
    <w:lvl w:ilvl="5" w:tplc="3F667800">
      <w:start w:val="1"/>
      <w:numFmt w:val="bullet"/>
      <w:lvlText w:val=""/>
      <w:lvlJc w:val="left"/>
      <w:pPr>
        <w:ind w:left="4320" w:hanging="360"/>
      </w:pPr>
      <w:rPr>
        <w:rFonts w:hint="default" w:ascii="Wingdings" w:hAnsi="Wingdings"/>
      </w:rPr>
    </w:lvl>
    <w:lvl w:ilvl="6" w:tplc="FF68EB36">
      <w:start w:val="1"/>
      <w:numFmt w:val="bullet"/>
      <w:lvlText w:val=""/>
      <w:lvlJc w:val="left"/>
      <w:pPr>
        <w:ind w:left="5040" w:hanging="360"/>
      </w:pPr>
      <w:rPr>
        <w:rFonts w:hint="default" w:ascii="Symbol" w:hAnsi="Symbol"/>
      </w:rPr>
    </w:lvl>
    <w:lvl w:ilvl="7" w:tplc="2DF21D2C">
      <w:start w:val="1"/>
      <w:numFmt w:val="bullet"/>
      <w:lvlText w:val="o"/>
      <w:lvlJc w:val="left"/>
      <w:pPr>
        <w:ind w:left="5760" w:hanging="360"/>
      </w:pPr>
      <w:rPr>
        <w:rFonts w:hint="default" w:ascii="Courier New" w:hAnsi="Courier New"/>
      </w:rPr>
    </w:lvl>
    <w:lvl w:ilvl="8" w:tplc="7DEEB078">
      <w:start w:val="1"/>
      <w:numFmt w:val="bullet"/>
      <w:lvlText w:val=""/>
      <w:lvlJc w:val="left"/>
      <w:pPr>
        <w:ind w:left="6480" w:hanging="360"/>
      </w:pPr>
      <w:rPr>
        <w:rFonts w:hint="default" w:ascii="Wingdings" w:hAnsi="Wingdings"/>
      </w:rPr>
    </w:lvl>
  </w:abstractNum>
  <w:abstractNum w:abstractNumId="1" w15:restartNumberingAfterBreak="0">
    <w:nsid w:val="0AD41A03"/>
    <w:multiLevelType w:val="multilevel"/>
    <w:tmpl w:val="1E62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421E3"/>
    <w:multiLevelType w:val="hybridMultilevel"/>
    <w:tmpl w:val="1BF627B0"/>
    <w:lvl w:ilvl="0" w:tplc="E7C873BA">
      <w:start w:val="1"/>
      <w:numFmt w:val="bullet"/>
      <w:lvlText w:val=""/>
      <w:lvlJc w:val="left"/>
      <w:pPr>
        <w:ind w:left="720" w:hanging="360"/>
      </w:pPr>
      <w:rPr>
        <w:rFonts w:hint="default" w:ascii="Symbol" w:hAnsi="Symbol"/>
      </w:rPr>
    </w:lvl>
    <w:lvl w:ilvl="1" w:tplc="1674A984">
      <w:start w:val="1"/>
      <w:numFmt w:val="bullet"/>
      <w:lvlText w:val="o"/>
      <w:lvlJc w:val="left"/>
      <w:pPr>
        <w:ind w:left="1440" w:hanging="360"/>
      </w:pPr>
      <w:rPr>
        <w:rFonts w:hint="default" w:ascii="Courier New" w:hAnsi="Courier New"/>
      </w:rPr>
    </w:lvl>
    <w:lvl w:ilvl="2" w:tplc="9A203E06">
      <w:start w:val="1"/>
      <w:numFmt w:val="bullet"/>
      <w:lvlText w:val=""/>
      <w:lvlJc w:val="left"/>
      <w:pPr>
        <w:ind w:left="2160" w:hanging="360"/>
      </w:pPr>
      <w:rPr>
        <w:rFonts w:hint="default" w:ascii="Wingdings" w:hAnsi="Wingdings"/>
      </w:rPr>
    </w:lvl>
    <w:lvl w:ilvl="3" w:tplc="FA88F29A">
      <w:start w:val="1"/>
      <w:numFmt w:val="bullet"/>
      <w:lvlText w:val=""/>
      <w:lvlJc w:val="left"/>
      <w:pPr>
        <w:ind w:left="2880" w:hanging="360"/>
      </w:pPr>
      <w:rPr>
        <w:rFonts w:hint="default" w:ascii="Symbol" w:hAnsi="Symbol"/>
      </w:rPr>
    </w:lvl>
    <w:lvl w:ilvl="4" w:tplc="8F02BCE4">
      <w:start w:val="1"/>
      <w:numFmt w:val="bullet"/>
      <w:lvlText w:val="o"/>
      <w:lvlJc w:val="left"/>
      <w:pPr>
        <w:ind w:left="3600" w:hanging="360"/>
      </w:pPr>
      <w:rPr>
        <w:rFonts w:hint="default" w:ascii="Courier New" w:hAnsi="Courier New"/>
      </w:rPr>
    </w:lvl>
    <w:lvl w:ilvl="5" w:tplc="0CE86D6C">
      <w:start w:val="1"/>
      <w:numFmt w:val="bullet"/>
      <w:lvlText w:val=""/>
      <w:lvlJc w:val="left"/>
      <w:pPr>
        <w:ind w:left="4320" w:hanging="360"/>
      </w:pPr>
      <w:rPr>
        <w:rFonts w:hint="default" w:ascii="Wingdings" w:hAnsi="Wingdings"/>
      </w:rPr>
    </w:lvl>
    <w:lvl w:ilvl="6" w:tplc="6736E266">
      <w:start w:val="1"/>
      <w:numFmt w:val="bullet"/>
      <w:lvlText w:val=""/>
      <w:lvlJc w:val="left"/>
      <w:pPr>
        <w:ind w:left="5040" w:hanging="360"/>
      </w:pPr>
      <w:rPr>
        <w:rFonts w:hint="default" w:ascii="Symbol" w:hAnsi="Symbol"/>
      </w:rPr>
    </w:lvl>
    <w:lvl w:ilvl="7" w:tplc="22683FFE">
      <w:start w:val="1"/>
      <w:numFmt w:val="bullet"/>
      <w:lvlText w:val="o"/>
      <w:lvlJc w:val="left"/>
      <w:pPr>
        <w:ind w:left="5760" w:hanging="360"/>
      </w:pPr>
      <w:rPr>
        <w:rFonts w:hint="default" w:ascii="Courier New" w:hAnsi="Courier New"/>
      </w:rPr>
    </w:lvl>
    <w:lvl w:ilvl="8" w:tplc="4566ECAC">
      <w:start w:val="1"/>
      <w:numFmt w:val="bullet"/>
      <w:lvlText w:val=""/>
      <w:lvlJc w:val="left"/>
      <w:pPr>
        <w:ind w:left="6480" w:hanging="360"/>
      </w:pPr>
      <w:rPr>
        <w:rFonts w:hint="default" w:ascii="Wingdings" w:hAnsi="Wingdings"/>
      </w:rPr>
    </w:lvl>
  </w:abstractNum>
  <w:abstractNum w:abstractNumId="3" w15:restartNumberingAfterBreak="0">
    <w:nsid w:val="0E464CF7"/>
    <w:multiLevelType w:val="hybridMultilevel"/>
    <w:tmpl w:val="E9145968"/>
    <w:lvl w:ilvl="0" w:tplc="524A6ABE">
      <w:start w:val="1"/>
      <w:numFmt w:val="bullet"/>
      <w:lvlText w:val=""/>
      <w:lvlJc w:val="left"/>
      <w:pPr>
        <w:ind w:left="720" w:hanging="360"/>
      </w:pPr>
      <w:rPr>
        <w:rFonts w:hint="default" w:ascii="Symbol" w:hAnsi="Symbol"/>
      </w:rPr>
    </w:lvl>
    <w:lvl w:ilvl="1" w:tplc="8078DC6E">
      <w:start w:val="1"/>
      <w:numFmt w:val="bullet"/>
      <w:lvlText w:val="o"/>
      <w:lvlJc w:val="left"/>
      <w:pPr>
        <w:ind w:left="1440" w:hanging="360"/>
      </w:pPr>
      <w:rPr>
        <w:rFonts w:hint="default" w:ascii="Courier New" w:hAnsi="Courier New"/>
      </w:rPr>
    </w:lvl>
    <w:lvl w:ilvl="2" w:tplc="1FF2D986">
      <w:start w:val="1"/>
      <w:numFmt w:val="bullet"/>
      <w:lvlText w:val=""/>
      <w:lvlJc w:val="left"/>
      <w:pPr>
        <w:ind w:left="2160" w:hanging="360"/>
      </w:pPr>
      <w:rPr>
        <w:rFonts w:hint="default" w:ascii="Wingdings" w:hAnsi="Wingdings"/>
      </w:rPr>
    </w:lvl>
    <w:lvl w:ilvl="3" w:tplc="837C98D8">
      <w:start w:val="1"/>
      <w:numFmt w:val="bullet"/>
      <w:lvlText w:val=""/>
      <w:lvlJc w:val="left"/>
      <w:pPr>
        <w:ind w:left="2880" w:hanging="360"/>
      </w:pPr>
      <w:rPr>
        <w:rFonts w:hint="default" w:ascii="Symbol" w:hAnsi="Symbol"/>
      </w:rPr>
    </w:lvl>
    <w:lvl w:ilvl="4" w:tplc="3494745A">
      <w:start w:val="1"/>
      <w:numFmt w:val="bullet"/>
      <w:lvlText w:val="o"/>
      <w:lvlJc w:val="left"/>
      <w:pPr>
        <w:ind w:left="3600" w:hanging="360"/>
      </w:pPr>
      <w:rPr>
        <w:rFonts w:hint="default" w:ascii="Courier New" w:hAnsi="Courier New"/>
      </w:rPr>
    </w:lvl>
    <w:lvl w:ilvl="5" w:tplc="283AA5EC">
      <w:start w:val="1"/>
      <w:numFmt w:val="bullet"/>
      <w:lvlText w:val=""/>
      <w:lvlJc w:val="left"/>
      <w:pPr>
        <w:ind w:left="4320" w:hanging="360"/>
      </w:pPr>
      <w:rPr>
        <w:rFonts w:hint="default" w:ascii="Wingdings" w:hAnsi="Wingdings"/>
      </w:rPr>
    </w:lvl>
    <w:lvl w:ilvl="6" w:tplc="BB122D60">
      <w:start w:val="1"/>
      <w:numFmt w:val="bullet"/>
      <w:lvlText w:val=""/>
      <w:lvlJc w:val="left"/>
      <w:pPr>
        <w:ind w:left="5040" w:hanging="360"/>
      </w:pPr>
      <w:rPr>
        <w:rFonts w:hint="default" w:ascii="Symbol" w:hAnsi="Symbol"/>
      </w:rPr>
    </w:lvl>
    <w:lvl w:ilvl="7" w:tplc="3AD46572">
      <w:start w:val="1"/>
      <w:numFmt w:val="bullet"/>
      <w:lvlText w:val="o"/>
      <w:lvlJc w:val="left"/>
      <w:pPr>
        <w:ind w:left="5760" w:hanging="360"/>
      </w:pPr>
      <w:rPr>
        <w:rFonts w:hint="default" w:ascii="Courier New" w:hAnsi="Courier New"/>
      </w:rPr>
    </w:lvl>
    <w:lvl w:ilvl="8" w:tplc="2A2068D6">
      <w:start w:val="1"/>
      <w:numFmt w:val="bullet"/>
      <w:lvlText w:val=""/>
      <w:lvlJc w:val="left"/>
      <w:pPr>
        <w:ind w:left="6480" w:hanging="360"/>
      </w:pPr>
      <w:rPr>
        <w:rFonts w:hint="default" w:ascii="Wingdings" w:hAnsi="Wingdings"/>
      </w:rPr>
    </w:lvl>
  </w:abstractNum>
  <w:abstractNum w:abstractNumId="4" w15:restartNumberingAfterBreak="0">
    <w:nsid w:val="10B05F6F"/>
    <w:multiLevelType w:val="multilevel"/>
    <w:tmpl w:val="BB24D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1D97433"/>
    <w:multiLevelType w:val="multilevel"/>
    <w:tmpl w:val="2B108F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D01B34"/>
    <w:multiLevelType w:val="multilevel"/>
    <w:tmpl w:val="C22A7D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FC04A22"/>
    <w:multiLevelType w:val="multilevel"/>
    <w:tmpl w:val="1E62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F68AC"/>
    <w:multiLevelType w:val="multilevel"/>
    <w:tmpl w:val="1E62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D14D8B"/>
    <w:multiLevelType w:val="multilevel"/>
    <w:tmpl w:val="1E62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A1DD1"/>
    <w:multiLevelType w:val="multilevel"/>
    <w:tmpl w:val="38BABA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BFE97E2"/>
    <w:multiLevelType w:val="hybridMultilevel"/>
    <w:tmpl w:val="14DC8344"/>
    <w:lvl w:ilvl="0" w:tplc="26BC4710">
      <w:start w:val="1"/>
      <w:numFmt w:val="bullet"/>
      <w:lvlText w:val=""/>
      <w:lvlJc w:val="left"/>
      <w:pPr>
        <w:ind w:left="720" w:hanging="360"/>
      </w:pPr>
      <w:rPr>
        <w:rFonts w:hint="default" w:ascii="Symbol" w:hAnsi="Symbol"/>
      </w:rPr>
    </w:lvl>
    <w:lvl w:ilvl="1" w:tplc="95FA1FC2">
      <w:start w:val="1"/>
      <w:numFmt w:val="bullet"/>
      <w:lvlText w:val="o"/>
      <w:lvlJc w:val="left"/>
      <w:pPr>
        <w:ind w:left="1440" w:hanging="360"/>
      </w:pPr>
      <w:rPr>
        <w:rFonts w:hint="default" w:ascii="Courier New" w:hAnsi="Courier New"/>
      </w:rPr>
    </w:lvl>
    <w:lvl w:ilvl="2" w:tplc="954038B6">
      <w:start w:val="1"/>
      <w:numFmt w:val="bullet"/>
      <w:lvlText w:val=""/>
      <w:lvlJc w:val="left"/>
      <w:pPr>
        <w:ind w:left="2160" w:hanging="360"/>
      </w:pPr>
      <w:rPr>
        <w:rFonts w:hint="default" w:ascii="Wingdings" w:hAnsi="Wingdings"/>
      </w:rPr>
    </w:lvl>
    <w:lvl w:ilvl="3" w:tplc="06B0F074">
      <w:start w:val="1"/>
      <w:numFmt w:val="bullet"/>
      <w:lvlText w:val=""/>
      <w:lvlJc w:val="left"/>
      <w:pPr>
        <w:ind w:left="2880" w:hanging="360"/>
      </w:pPr>
      <w:rPr>
        <w:rFonts w:hint="default" w:ascii="Symbol" w:hAnsi="Symbol"/>
      </w:rPr>
    </w:lvl>
    <w:lvl w:ilvl="4" w:tplc="5C9AF88E">
      <w:start w:val="1"/>
      <w:numFmt w:val="bullet"/>
      <w:lvlText w:val="o"/>
      <w:lvlJc w:val="left"/>
      <w:pPr>
        <w:ind w:left="3600" w:hanging="360"/>
      </w:pPr>
      <w:rPr>
        <w:rFonts w:hint="default" w:ascii="Courier New" w:hAnsi="Courier New"/>
      </w:rPr>
    </w:lvl>
    <w:lvl w:ilvl="5" w:tplc="06262416">
      <w:start w:val="1"/>
      <w:numFmt w:val="bullet"/>
      <w:lvlText w:val=""/>
      <w:lvlJc w:val="left"/>
      <w:pPr>
        <w:ind w:left="4320" w:hanging="360"/>
      </w:pPr>
      <w:rPr>
        <w:rFonts w:hint="default" w:ascii="Wingdings" w:hAnsi="Wingdings"/>
      </w:rPr>
    </w:lvl>
    <w:lvl w:ilvl="6" w:tplc="CD14305A">
      <w:start w:val="1"/>
      <w:numFmt w:val="bullet"/>
      <w:lvlText w:val=""/>
      <w:lvlJc w:val="left"/>
      <w:pPr>
        <w:ind w:left="5040" w:hanging="360"/>
      </w:pPr>
      <w:rPr>
        <w:rFonts w:hint="default" w:ascii="Symbol" w:hAnsi="Symbol"/>
      </w:rPr>
    </w:lvl>
    <w:lvl w:ilvl="7" w:tplc="63E6C45A">
      <w:start w:val="1"/>
      <w:numFmt w:val="bullet"/>
      <w:lvlText w:val="o"/>
      <w:lvlJc w:val="left"/>
      <w:pPr>
        <w:ind w:left="5760" w:hanging="360"/>
      </w:pPr>
      <w:rPr>
        <w:rFonts w:hint="default" w:ascii="Courier New" w:hAnsi="Courier New"/>
      </w:rPr>
    </w:lvl>
    <w:lvl w:ilvl="8" w:tplc="67BE3E80">
      <w:start w:val="1"/>
      <w:numFmt w:val="bullet"/>
      <w:lvlText w:val=""/>
      <w:lvlJc w:val="left"/>
      <w:pPr>
        <w:ind w:left="6480" w:hanging="360"/>
      </w:pPr>
      <w:rPr>
        <w:rFonts w:hint="default" w:ascii="Wingdings" w:hAnsi="Wingdings"/>
      </w:rPr>
    </w:lvl>
  </w:abstractNum>
  <w:abstractNum w:abstractNumId="12" w15:restartNumberingAfterBreak="0">
    <w:nsid w:val="34BEE886"/>
    <w:multiLevelType w:val="hybridMultilevel"/>
    <w:tmpl w:val="39E8E10E"/>
    <w:lvl w:ilvl="0" w:tplc="9B22EB9E">
      <w:start w:val="1"/>
      <w:numFmt w:val="bullet"/>
      <w:lvlText w:val=""/>
      <w:lvlJc w:val="left"/>
      <w:pPr>
        <w:ind w:left="720" w:hanging="360"/>
      </w:pPr>
      <w:rPr>
        <w:rFonts w:hint="default" w:ascii="Symbol" w:hAnsi="Symbol"/>
      </w:rPr>
    </w:lvl>
    <w:lvl w:ilvl="1" w:tplc="B140905C">
      <w:start w:val="1"/>
      <w:numFmt w:val="bullet"/>
      <w:lvlText w:val="o"/>
      <w:lvlJc w:val="left"/>
      <w:pPr>
        <w:ind w:left="1440" w:hanging="360"/>
      </w:pPr>
      <w:rPr>
        <w:rFonts w:hint="default" w:ascii="Courier New" w:hAnsi="Courier New"/>
      </w:rPr>
    </w:lvl>
    <w:lvl w:ilvl="2" w:tplc="9294DCBA">
      <w:start w:val="1"/>
      <w:numFmt w:val="bullet"/>
      <w:lvlText w:val=""/>
      <w:lvlJc w:val="left"/>
      <w:pPr>
        <w:ind w:left="2160" w:hanging="360"/>
      </w:pPr>
      <w:rPr>
        <w:rFonts w:hint="default" w:ascii="Wingdings" w:hAnsi="Wingdings"/>
      </w:rPr>
    </w:lvl>
    <w:lvl w:ilvl="3" w:tplc="50649FE6">
      <w:start w:val="1"/>
      <w:numFmt w:val="bullet"/>
      <w:lvlText w:val=""/>
      <w:lvlJc w:val="left"/>
      <w:pPr>
        <w:ind w:left="2880" w:hanging="360"/>
      </w:pPr>
      <w:rPr>
        <w:rFonts w:hint="default" w:ascii="Symbol" w:hAnsi="Symbol"/>
      </w:rPr>
    </w:lvl>
    <w:lvl w:ilvl="4" w:tplc="D108D392">
      <w:start w:val="1"/>
      <w:numFmt w:val="bullet"/>
      <w:lvlText w:val="o"/>
      <w:lvlJc w:val="left"/>
      <w:pPr>
        <w:ind w:left="3600" w:hanging="360"/>
      </w:pPr>
      <w:rPr>
        <w:rFonts w:hint="default" w:ascii="Courier New" w:hAnsi="Courier New"/>
      </w:rPr>
    </w:lvl>
    <w:lvl w:ilvl="5" w:tplc="33E65C52">
      <w:start w:val="1"/>
      <w:numFmt w:val="bullet"/>
      <w:lvlText w:val=""/>
      <w:lvlJc w:val="left"/>
      <w:pPr>
        <w:ind w:left="4320" w:hanging="360"/>
      </w:pPr>
      <w:rPr>
        <w:rFonts w:hint="default" w:ascii="Wingdings" w:hAnsi="Wingdings"/>
      </w:rPr>
    </w:lvl>
    <w:lvl w:ilvl="6" w:tplc="4580D318">
      <w:start w:val="1"/>
      <w:numFmt w:val="bullet"/>
      <w:lvlText w:val=""/>
      <w:lvlJc w:val="left"/>
      <w:pPr>
        <w:ind w:left="5040" w:hanging="360"/>
      </w:pPr>
      <w:rPr>
        <w:rFonts w:hint="default" w:ascii="Symbol" w:hAnsi="Symbol"/>
      </w:rPr>
    </w:lvl>
    <w:lvl w:ilvl="7" w:tplc="E676D9FC">
      <w:start w:val="1"/>
      <w:numFmt w:val="bullet"/>
      <w:lvlText w:val="o"/>
      <w:lvlJc w:val="left"/>
      <w:pPr>
        <w:ind w:left="5760" w:hanging="360"/>
      </w:pPr>
      <w:rPr>
        <w:rFonts w:hint="default" w:ascii="Courier New" w:hAnsi="Courier New"/>
      </w:rPr>
    </w:lvl>
    <w:lvl w:ilvl="8" w:tplc="566E1CE6">
      <w:start w:val="1"/>
      <w:numFmt w:val="bullet"/>
      <w:lvlText w:val=""/>
      <w:lvlJc w:val="left"/>
      <w:pPr>
        <w:ind w:left="6480" w:hanging="360"/>
      </w:pPr>
      <w:rPr>
        <w:rFonts w:hint="default" w:ascii="Wingdings" w:hAnsi="Wingdings"/>
      </w:rPr>
    </w:lvl>
  </w:abstractNum>
  <w:abstractNum w:abstractNumId="13" w15:restartNumberingAfterBreak="0">
    <w:nsid w:val="365E7772"/>
    <w:multiLevelType w:val="multilevel"/>
    <w:tmpl w:val="4E6C07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B3860F0"/>
    <w:multiLevelType w:val="hybridMultilevel"/>
    <w:tmpl w:val="C164C448"/>
    <w:lvl w:ilvl="0" w:tplc="9A58B660">
      <w:start w:val="1"/>
      <w:numFmt w:val="bullet"/>
      <w:lvlText w:val=""/>
      <w:lvlJc w:val="left"/>
      <w:pPr>
        <w:ind w:left="720" w:hanging="360"/>
      </w:pPr>
      <w:rPr>
        <w:rFonts w:hint="default" w:ascii="Symbol" w:hAnsi="Symbol"/>
      </w:rPr>
    </w:lvl>
    <w:lvl w:ilvl="1" w:tplc="365E1AC8">
      <w:start w:val="1"/>
      <w:numFmt w:val="bullet"/>
      <w:lvlText w:val="o"/>
      <w:lvlJc w:val="left"/>
      <w:pPr>
        <w:ind w:left="1440" w:hanging="360"/>
      </w:pPr>
      <w:rPr>
        <w:rFonts w:hint="default" w:ascii="Courier New" w:hAnsi="Courier New"/>
      </w:rPr>
    </w:lvl>
    <w:lvl w:ilvl="2" w:tplc="E8FA534E">
      <w:start w:val="1"/>
      <w:numFmt w:val="bullet"/>
      <w:lvlText w:val=""/>
      <w:lvlJc w:val="left"/>
      <w:pPr>
        <w:ind w:left="2160" w:hanging="360"/>
      </w:pPr>
      <w:rPr>
        <w:rFonts w:hint="default" w:ascii="Wingdings" w:hAnsi="Wingdings"/>
      </w:rPr>
    </w:lvl>
    <w:lvl w:ilvl="3" w:tplc="3E744F04">
      <w:start w:val="1"/>
      <w:numFmt w:val="bullet"/>
      <w:lvlText w:val=""/>
      <w:lvlJc w:val="left"/>
      <w:pPr>
        <w:ind w:left="2880" w:hanging="360"/>
      </w:pPr>
      <w:rPr>
        <w:rFonts w:hint="default" w:ascii="Symbol" w:hAnsi="Symbol"/>
      </w:rPr>
    </w:lvl>
    <w:lvl w:ilvl="4" w:tplc="B23299E6">
      <w:start w:val="1"/>
      <w:numFmt w:val="bullet"/>
      <w:lvlText w:val="o"/>
      <w:lvlJc w:val="left"/>
      <w:pPr>
        <w:ind w:left="3600" w:hanging="360"/>
      </w:pPr>
      <w:rPr>
        <w:rFonts w:hint="default" w:ascii="Courier New" w:hAnsi="Courier New"/>
      </w:rPr>
    </w:lvl>
    <w:lvl w:ilvl="5" w:tplc="87D8E550">
      <w:start w:val="1"/>
      <w:numFmt w:val="bullet"/>
      <w:lvlText w:val=""/>
      <w:lvlJc w:val="left"/>
      <w:pPr>
        <w:ind w:left="4320" w:hanging="360"/>
      </w:pPr>
      <w:rPr>
        <w:rFonts w:hint="default" w:ascii="Wingdings" w:hAnsi="Wingdings"/>
      </w:rPr>
    </w:lvl>
    <w:lvl w:ilvl="6" w:tplc="BACEE680">
      <w:start w:val="1"/>
      <w:numFmt w:val="bullet"/>
      <w:lvlText w:val=""/>
      <w:lvlJc w:val="left"/>
      <w:pPr>
        <w:ind w:left="5040" w:hanging="360"/>
      </w:pPr>
      <w:rPr>
        <w:rFonts w:hint="default" w:ascii="Symbol" w:hAnsi="Symbol"/>
      </w:rPr>
    </w:lvl>
    <w:lvl w:ilvl="7" w:tplc="4A74AF12">
      <w:start w:val="1"/>
      <w:numFmt w:val="bullet"/>
      <w:lvlText w:val="o"/>
      <w:lvlJc w:val="left"/>
      <w:pPr>
        <w:ind w:left="5760" w:hanging="360"/>
      </w:pPr>
      <w:rPr>
        <w:rFonts w:hint="default" w:ascii="Courier New" w:hAnsi="Courier New"/>
      </w:rPr>
    </w:lvl>
    <w:lvl w:ilvl="8" w:tplc="C6FAF9DE">
      <w:start w:val="1"/>
      <w:numFmt w:val="bullet"/>
      <w:lvlText w:val=""/>
      <w:lvlJc w:val="left"/>
      <w:pPr>
        <w:ind w:left="6480" w:hanging="360"/>
      </w:pPr>
      <w:rPr>
        <w:rFonts w:hint="default" w:ascii="Wingdings" w:hAnsi="Wingdings"/>
      </w:rPr>
    </w:lvl>
  </w:abstractNum>
  <w:abstractNum w:abstractNumId="15" w15:restartNumberingAfterBreak="0">
    <w:nsid w:val="5517417C"/>
    <w:multiLevelType w:val="hybridMultilevel"/>
    <w:tmpl w:val="65C21ACE"/>
    <w:lvl w:ilvl="0" w:tplc="9A180F5C">
      <w:start w:val="1"/>
      <w:numFmt w:val="bullet"/>
      <w:lvlText w:val=""/>
      <w:lvlJc w:val="left"/>
      <w:pPr>
        <w:ind w:left="720" w:hanging="360"/>
      </w:pPr>
      <w:rPr>
        <w:rFonts w:hint="default" w:ascii="Symbol" w:hAnsi="Symbol"/>
      </w:rPr>
    </w:lvl>
    <w:lvl w:ilvl="1" w:tplc="B23C2A84">
      <w:start w:val="1"/>
      <w:numFmt w:val="bullet"/>
      <w:lvlText w:val="o"/>
      <w:lvlJc w:val="left"/>
      <w:pPr>
        <w:ind w:left="1440" w:hanging="360"/>
      </w:pPr>
      <w:rPr>
        <w:rFonts w:hint="default" w:ascii="Courier New" w:hAnsi="Courier New"/>
      </w:rPr>
    </w:lvl>
    <w:lvl w:ilvl="2" w:tplc="54F4AEFA">
      <w:start w:val="1"/>
      <w:numFmt w:val="bullet"/>
      <w:lvlText w:val=""/>
      <w:lvlJc w:val="left"/>
      <w:pPr>
        <w:ind w:left="2160" w:hanging="360"/>
      </w:pPr>
      <w:rPr>
        <w:rFonts w:hint="default" w:ascii="Wingdings" w:hAnsi="Wingdings"/>
      </w:rPr>
    </w:lvl>
    <w:lvl w:ilvl="3" w:tplc="2B76942A">
      <w:start w:val="1"/>
      <w:numFmt w:val="bullet"/>
      <w:lvlText w:val=""/>
      <w:lvlJc w:val="left"/>
      <w:pPr>
        <w:ind w:left="2880" w:hanging="360"/>
      </w:pPr>
      <w:rPr>
        <w:rFonts w:hint="default" w:ascii="Symbol" w:hAnsi="Symbol"/>
      </w:rPr>
    </w:lvl>
    <w:lvl w:ilvl="4" w:tplc="7F6E13D4">
      <w:start w:val="1"/>
      <w:numFmt w:val="bullet"/>
      <w:lvlText w:val="o"/>
      <w:lvlJc w:val="left"/>
      <w:pPr>
        <w:ind w:left="3600" w:hanging="360"/>
      </w:pPr>
      <w:rPr>
        <w:rFonts w:hint="default" w:ascii="Courier New" w:hAnsi="Courier New"/>
      </w:rPr>
    </w:lvl>
    <w:lvl w:ilvl="5" w:tplc="2F0AEE04">
      <w:start w:val="1"/>
      <w:numFmt w:val="bullet"/>
      <w:lvlText w:val=""/>
      <w:lvlJc w:val="left"/>
      <w:pPr>
        <w:ind w:left="4320" w:hanging="360"/>
      </w:pPr>
      <w:rPr>
        <w:rFonts w:hint="default" w:ascii="Wingdings" w:hAnsi="Wingdings"/>
      </w:rPr>
    </w:lvl>
    <w:lvl w:ilvl="6" w:tplc="B8901B52">
      <w:start w:val="1"/>
      <w:numFmt w:val="bullet"/>
      <w:lvlText w:val=""/>
      <w:lvlJc w:val="left"/>
      <w:pPr>
        <w:ind w:left="5040" w:hanging="360"/>
      </w:pPr>
      <w:rPr>
        <w:rFonts w:hint="default" w:ascii="Symbol" w:hAnsi="Symbol"/>
      </w:rPr>
    </w:lvl>
    <w:lvl w:ilvl="7" w:tplc="59C06CDA">
      <w:start w:val="1"/>
      <w:numFmt w:val="bullet"/>
      <w:lvlText w:val="o"/>
      <w:lvlJc w:val="left"/>
      <w:pPr>
        <w:ind w:left="5760" w:hanging="360"/>
      </w:pPr>
      <w:rPr>
        <w:rFonts w:hint="default" w:ascii="Courier New" w:hAnsi="Courier New"/>
      </w:rPr>
    </w:lvl>
    <w:lvl w:ilvl="8" w:tplc="680C2798">
      <w:start w:val="1"/>
      <w:numFmt w:val="bullet"/>
      <w:lvlText w:val=""/>
      <w:lvlJc w:val="left"/>
      <w:pPr>
        <w:ind w:left="6480" w:hanging="360"/>
      </w:pPr>
      <w:rPr>
        <w:rFonts w:hint="default" w:ascii="Wingdings" w:hAnsi="Wingdings"/>
      </w:rPr>
    </w:lvl>
  </w:abstractNum>
  <w:abstractNum w:abstractNumId="16" w15:restartNumberingAfterBreak="0">
    <w:nsid w:val="5B1FDE15"/>
    <w:multiLevelType w:val="hybridMultilevel"/>
    <w:tmpl w:val="3CCE2B56"/>
    <w:lvl w:ilvl="0" w:tplc="EE5AAE9E">
      <w:start w:val="1"/>
      <w:numFmt w:val="bullet"/>
      <w:lvlText w:val=""/>
      <w:lvlJc w:val="left"/>
      <w:pPr>
        <w:ind w:left="720" w:hanging="360"/>
      </w:pPr>
      <w:rPr>
        <w:rFonts w:hint="default" w:ascii="Symbol" w:hAnsi="Symbol"/>
      </w:rPr>
    </w:lvl>
    <w:lvl w:ilvl="1" w:tplc="86922B9C">
      <w:start w:val="1"/>
      <w:numFmt w:val="bullet"/>
      <w:lvlText w:val="o"/>
      <w:lvlJc w:val="left"/>
      <w:pPr>
        <w:ind w:left="1440" w:hanging="360"/>
      </w:pPr>
      <w:rPr>
        <w:rFonts w:hint="default" w:ascii="Courier New" w:hAnsi="Courier New"/>
      </w:rPr>
    </w:lvl>
    <w:lvl w:ilvl="2" w:tplc="7DAA4FCA">
      <w:start w:val="1"/>
      <w:numFmt w:val="bullet"/>
      <w:lvlText w:val=""/>
      <w:lvlJc w:val="left"/>
      <w:pPr>
        <w:ind w:left="2160" w:hanging="360"/>
      </w:pPr>
      <w:rPr>
        <w:rFonts w:hint="default" w:ascii="Wingdings" w:hAnsi="Wingdings"/>
      </w:rPr>
    </w:lvl>
    <w:lvl w:ilvl="3" w:tplc="696CAC02">
      <w:start w:val="1"/>
      <w:numFmt w:val="bullet"/>
      <w:lvlText w:val=""/>
      <w:lvlJc w:val="left"/>
      <w:pPr>
        <w:ind w:left="2880" w:hanging="360"/>
      </w:pPr>
      <w:rPr>
        <w:rFonts w:hint="default" w:ascii="Symbol" w:hAnsi="Symbol"/>
      </w:rPr>
    </w:lvl>
    <w:lvl w:ilvl="4" w:tplc="3446D0BC">
      <w:start w:val="1"/>
      <w:numFmt w:val="bullet"/>
      <w:lvlText w:val="o"/>
      <w:lvlJc w:val="left"/>
      <w:pPr>
        <w:ind w:left="3600" w:hanging="360"/>
      </w:pPr>
      <w:rPr>
        <w:rFonts w:hint="default" w:ascii="Courier New" w:hAnsi="Courier New"/>
      </w:rPr>
    </w:lvl>
    <w:lvl w:ilvl="5" w:tplc="55841A28">
      <w:start w:val="1"/>
      <w:numFmt w:val="bullet"/>
      <w:lvlText w:val=""/>
      <w:lvlJc w:val="left"/>
      <w:pPr>
        <w:ind w:left="4320" w:hanging="360"/>
      </w:pPr>
      <w:rPr>
        <w:rFonts w:hint="default" w:ascii="Wingdings" w:hAnsi="Wingdings"/>
      </w:rPr>
    </w:lvl>
    <w:lvl w:ilvl="6" w:tplc="E65AD28A">
      <w:start w:val="1"/>
      <w:numFmt w:val="bullet"/>
      <w:lvlText w:val=""/>
      <w:lvlJc w:val="left"/>
      <w:pPr>
        <w:ind w:left="5040" w:hanging="360"/>
      </w:pPr>
      <w:rPr>
        <w:rFonts w:hint="default" w:ascii="Symbol" w:hAnsi="Symbol"/>
      </w:rPr>
    </w:lvl>
    <w:lvl w:ilvl="7" w:tplc="83E2EDDE">
      <w:start w:val="1"/>
      <w:numFmt w:val="bullet"/>
      <w:lvlText w:val="o"/>
      <w:lvlJc w:val="left"/>
      <w:pPr>
        <w:ind w:left="5760" w:hanging="360"/>
      </w:pPr>
      <w:rPr>
        <w:rFonts w:hint="default" w:ascii="Courier New" w:hAnsi="Courier New"/>
      </w:rPr>
    </w:lvl>
    <w:lvl w:ilvl="8" w:tplc="08DC243E">
      <w:start w:val="1"/>
      <w:numFmt w:val="bullet"/>
      <w:lvlText w:val=""/>
      <w:lvlJc w:val="left"/>
      <w:pPr>
        <w:ind w:left="6480" w:hanging="360"/>
      </w:pPr>
      <w:rPr>
        <w:rFonts w:hint="default" w:ascii="Wingdings" w:hAnsi="Wingdings"/>
      </w:rPr>
    </w:lvl>
  </w:abstractNum>
  <w:abstractNum w:abstractNumId="17" w15:restartNumberingAfterBreak="0">
    <w:nsid w:val="60875777"/>
    <w:multiLevelType w:val="multilevel"/>
    <w:tmpl w:val="4BBCC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84F7DC1"/>
    <w:multiLevelType w:val="multilevel"/>
    <w:tmpl w:val="3EDA84C0"/>
    <w:lvl w:ilvl="0">
      <w:start w:val="1"/>
      <w:numFmt w:val="bullet"/>
      <w:lvlText w:val=""/>
      <w:lvlJc w:val="left"/>
      <w:pPr>
        <w:tabs>
          <w:tab w:val="num" w:pos="927"/>
        </w:tabs>
        <w:ind w:left="927"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CD25151"/>
    <w:multiLevelType w:val="multilevel"/>
    <w:tmpl w:val="BC6C1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CF7666E"/>
    <w:multiLevelType w:val="multilevel"/>
    <w:tmpl w:val="8932C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1" w16cid:durableId="2128810779">
    <w:abstractNumId w:val="0"/>
  </w:num>
  <w:num w:numId="2" w16cid:durableId="1459299265">
    <w:abstractNumId w:val="3"/>
  </w:num>
  <w:num w:numId="3" w16cid:durableId="774834553">
    <w:abstractNumId w:val="16"/>
  </w:num>
  <w:num w:numId="4" w16cid:durableId="1571499673">
    <w:abstractNumId w:val="14"/>
  </w:num>
  <w:num w:numId="5" w16cid:durableId="1157958467">
    <w:abstractNumId w:val="2"/>
  </w:num>
  <w:num w:numId="6" w16cid:durableId="2087336435">
    <w:abstractNumId w:val="15"/>
  </w:num>
  <w:num w:numId="7" w16cid:durableId="284120658">
    <w:abstractNumId w:val="12"/>
  </w:num>
  <w:num w:numId="8" w16cid:durableId="287275671">
    <w:abstractNumId w:val="11"/>
  </w:num>
  <w:num w:numId="9" w16cid:durableId="996954811">
    <w:abstractNumId w:val="17"/>
  </w:num>
  <w:num w:numId="10" w16cid:durableId="640230701">
    <w:abstractNumId w:val="4"/>
  </w:num>
  <w:num w:numId="11" w16cid:durableId="834951871">
    <w:abstractNumId w:val="18"/>
  </w:num>
  <w:num w:numId="12" w16cid:durableId="909728937">
    <w:abstractNumId w:val="6"/>
  </w:num>
  <w:num w:numId="13" w16cid:durableId="1210337652">
    <w:abstractNumId w:val="5"/>
  </w:num>
  <w:num w:numId="14" w16cid:durableId="1409494101">
    <w:abstractNumId w:val="13"/>
  </w:num>
  <w:num w:numId="15" w16cid:durableId="1165710050">
    <w:abstractNumId w:val="10"/>
  </w:num>
  <w:num w:numId="16" w16cid:durableId="1255674003">
    <w:abstractNumId w:val="20"/>
  </w:num>
  <w:num w:numId="17" w16cid:durableId="1631593290">
    <w:abstractNumId w:val="19"/>
  </w:num>
  <w:num w:numId="18" w16cid:durableId="504054089">
    <w:abstractNumId w:val="1"/>
  </w:num>
  <w:num w:numId="19" w16cid:durableId="74863620">
    <w:abstractNumId w:val="9"/>
  </w:num>
  <w:num w:numId="20" w16cid:durableId="1380475120">
    <w:abstractNumId w:val="8"/>
  </w:num>
  <w:num w:numId="21" w16cid:durableId="9956496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F97C3C"/>
    <w:rsid w:val="001617A7"/>
    <w:rsid w:val="00175E44"/>
    <w:rsid w:val="00294F4F"/>
    <w:rsid w:val="002E4D32"/>
    <w:rsid w:val="002E7FA2"/>
    <w:rsid w:val="00322B7F"/>
    <w:rsid w:val="00326FED"/>
    <w:rsid w:val="00396EA3"/>
    <w:rsid w:val="003C4146"/>
    <w:rsid w:val="004C026A"/>
    <w:rsid w:val="0059157A"/>
    <w:rsid w:val="006818C3"/>
    <w:rsid w:val="00734D97"/>
    <w:rsid w:val="00B36907"/>
    <w:rsid w:val="00B95387"/>
    <w:rsid w:val="00E344CA"/>
    <w:rsid w:val="00EE154B"/>
    <w:rsid w:val="00EF6D2C"/>
    <w:rsid w:val="00F23AED"/>
    <w:rsid w:val="00F625C7"/>
    <w:rsid w:val="00F97C3C"/>
    <w:rsid w:val="03F8617C"/>
    <w:rsid w:val="05BDC2E9"/>
    <w:rsid w:val="0ACC14D2"/>
    <w:rsid w:val="0DF3302B"/>
    <w:rsid w:val="10D36244"/>
    <w:rsid w:val="17FBA03B"/>
    <w:rsid w:val="19FA2732"/>
    <w:rsid w:val="1D0B0E41"/>
    <w:rsid w:val="1E445EAF"/>
    <w:rsid w:val="1EF1EAD5"/>
    <w:rsid w:val="1FCC0544"/>
    <w:rsid w:val="20E1E111"/>
    <w:rsid w:val="21533A43"/>
    <w:rsid w:val="234C0613"/>
    <w:rsid w:val="23A98CDB"/>
    <w:rsid w:val="26DB1450"/>
    <w:rsid w:val="281BD980"/>
    <w:rsid w:val="2BDF8D2D"/>
    <w:rsid w:val="2BED0415"/>
    <w:rsid w:val="2C5C218F"/>
    <w:rsid w:val="2F16ED00"/>
    <w:rsid w:val="2F1AD9D8"/>
    <w:rsid w:val="318CC913"/>
    <w:rsid w:val="33D275CF"/>
    <w:rsid w:val="35EB3B50"/>
    <w:rsid w:val="379C8384"/>
    <w:rsid w:val="3A1DF0FA"/>
    <w:rsid w:val="400BE863"/>
    <w:rsid w:val="43704335"/>
    <w:rsid w:val="4A17E8B2"/>
    <w:rsid w:val="4F047203"/>
    <w:rsid w:val="50A1E1B1"/>
    <w:rsid w:val="52928C33"/>
    <w:rsid w:val="5358CA92"/>
    <w:rsid w:val="5A7E7EFD"/>
    <w:rsid w:val="600EF568"/>
    <w:rsid w:val="6156B88C"/>
    <w:rsid w:val="62AB5747"/>
    <w:rsid w:val="6592A71A"/>
    <w:rsid w:val="65FDB0CC"/>
    <w:rsid w:val="67E596E0"/>
    <w:rsid w:val="6881CBFC"/>
    <w:rsid w:val="68AA54DE"/>
    <w:rsid w:val="69C91E89"/>
    <w:rsid w:val="6B00621B"/>
    <w:rsid w:val="6B6BE5B3"/>
    <w:rsid w:val="6F8EB5DA"/>
    <w:rsid w:val="7102E71A"/>
    <w:rsid w:val="72F518FD"/>
    <w:rsid w:val="769423B4"/>
    <w:rsid w:val="777FA924"/>
    <w:rsid w:val="7A0A0B48"/>
    <w:rsid w:val="7B9CD026"/>
    <w:rsid w:val="7BEB1CC7"/>
    <w:rsid w:val="7DFD6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B3DB"/>
  <w15:chartTrackingRefBased/>
  <w15:docId w15:val="{468FFA2F-9BE0-4EB1-88EC-9B96E2B2E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97C3C"/>
    <w:pPr>
      <w:keepNext/>
      <w:keepLines/>
      <w:spacing w:before="360" w:after="80"/>
      <w:outlineLvl w:val="0"/>
    </w:pPr>
    <w:rPr>
      <w:rFonts w:asciiTheme="majorHAnsi" w:hAnsiTheme="majorHAnsi" w:eastAsiaTheme="majorEastAsia"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97C3C"/>
    <w:pPr>
      <w:keepNext/>
      <w:keepLines/>
      <w:spacing w:before="160" w:after="80"/>
      <w:outlineLvl w:val="1"/>
    </w:pPr>
    <w:rPr>
      <w:rFonts w:asciiTheme="majorHAnsi" w:hAnsiTheme="majorHAnsi" w:eastAsiaTheme="majorEastAsia"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97C3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97C3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97C3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97C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C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C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C3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97C3C"/>
    <w:rPr>
      <w:rFonts w:asciiTheme="majorHAnsi" w:hAnsiTheme="majorHAnsi" w:eastAsiaTheme="majorEastAsia" w:cstheme="majorBidi"/>
      <w:color w:val="365F91" w:themeColor="accent1" w:themeShade="BF"/>
      <w:sz w:val="40"/>
      <w:szCs w:val="40"/>
    </w:rPr>
  </w:style>
  <w:style w:type="character" w:styleId="Heading2Char" w:customStyle="1">
    <w:name w:val="Heading 2 Char"/>
    <w:basedOn w:val="DefaultParagraphFont"/>
    <w:link w:val="Heading2"/>
    <w:uiPriority w:val="9"/>
    <w:semiHidden/>
    <w:rsid w:val="00F97C3C"/>
    <w:rPr>
      <w:rFonts w:asciiTheme="majorHAnsi" w:hAnsiTheme="majorHAnsi" w:eastAsiaTheme="majorEastAsia" w:cstheme="majorBidi"/>
      <w:color w:val="365F91" w:themeColor="accent1" w:themeShade="BF"/>
      <w:sz w:val="32"/>
      <w:szCs w:val="32"/>
    </w:rPr>
  </w:style>
  <w:style w:type="character" w:styleId="Heading3Char" w:customStyle="1">
    <w:name w:val="Heading 3 Char"/>
    <w:basedOn w:val="DefaultParagraphFont"/>
    <w:link w:val="Heading3"/>
    <w:uiPriority w:val="9"/>
    <w:semiHidden/>
    <w:rsid w:val="00F97C3C"/>
    <w:rPr>
      <w:rFonts w:eastAsiaTheme="majorEastAsia" w:cstheme="majorBidi"/>
      <w:color w:val="365F91" w:themeColor="accent1" w:themeShade="BF"/>
      <w:sz w:val="28"/>
      <w:szCs w:val="28"/>
    </w:rPr>
  </w:style>
  <w:style w:type="character" w:styleId="Heading4Char" w:customStyle="1">
    <w:name w:val="Heading 4 Char"/>
    <w:basedOn w:val="DefaultParagraphFont"/>
    <w:link w:val="Heading4"/>
    <w:uiPriority w:val="9"/>
    <w:semiHidden/>
    <w:rsid w:val="00F97C3C"/>
    <w:rPr>
      <w:rFonts w:eastAsiaTheme="majorEastAsia" w:cstheme="majorBidi"/>
      <w:i/>
      <w:iCs/>
      <w:color w:val="365F91" w:themeColor="accent1" w:themeShade="BF"/>
    </w:rPr>
  </w:style>
  <w:style w:type="character" w:styleId="Heading5Char" w:customStyle="1">
    <w:name w:val="Heading 5 Char"/>
    <w:basedOn w:val="DefaultParagraphFont"/>
    <w:link w:val="Heading5"/>
    <w:uiPriority w:val="9"/>
    <w:semiHidden/>
    <w:rsid w:val="00F97C3C"/>
    <w:rPr>
      <w:rFonts w:eastAsiaTheme="majorEastAsia" w:cstheme="majorBidi"/>
      <w:color w:val="365F91" w:themeColor="accent1" w:themeShade="BF"/>
    </w:rPr>
  </w:style>
  <w:style w:type="character" w:styleId="Heading6Char" w:customStyle="1">
    <w:name w:val="Heading 6 Char"/>
    <w:basedOn w:val="DefaultParagraphFont"/>
    <w:link w:val="Heading6"/>
    <w:uiPriority w:val="9"/>
    <w:semiHidden/>
    <w:rsid w:val="00F97C3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97C3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97C3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97C3C"/>
    <w:rPr>
      <w:rFonts w:eastAsiaTheme="majorEastAsia" w:cstheme="majorBidi"/>
      <w:color w:val="272727" w:themeColor="text1" w:themeTint="D8"/>
    </w:rPr>
  </w:style>
  <w:style w:type="paragraph" w:styleId="Title">
    <w:name w:val="Title"/>
    <w:basedOn w:val="Normal"/>
    <w:next w:val="Normal"/>
    <w:link w:val="TitleChar"/>
    <w:uiPriority w:val="10"/>
    <w:qFormat/>
    <w:rsid w:val="00F97C3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7C3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97C3C"/>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97C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C3C"/>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F97C3C"/>
    <w:rPr>
      <w:i/>
      <w:iCs/>
      <w:color w:val="404040" w:themeColor="text1" w:themeTint="BF"/>
    </w:rPr>
  </w:style>
  <w:style w:type="paragraph" w:styleId="ListParagraph">
    <w:name w:val="List Paragraph"/>
    <w:basedOn w:val="Normal"/>
    <w:uiPriority w:val="34"/>
    <w:qFormat/>
    <w:rsid w:val="00F97C3C"/>
    <w:pPr>
      <w:ind w:left="720"/>
      <w:contextualSpacing/>
    </w:pPr>
  </w:style>
  <w:style w:type="character" w:styleId="IntenseEmphasis">
    <w:name w:val="Intense Emphasis"/>
    <w:basedOn w:val="DefaultParagraphFont"/>
    <w:uiPriority w:val="21"/>
    <w:qFormat/>
    <w:rsid w:val="00F97C3C"/>
    <w:rPr>
      <w:i/>
      <w:iCs/>
      <w:color w:val="365F91" w:themeColor="accent1" w:themeShade="BF"/>
    </w:rPr>
  </w:style>
  <w:style w:type="paragraph" w:styleId="IntenseQuote">
    <w:name w:val="Intense Quote"/>
    <w:basedOn w:val="Normal"/>
    <w:next w:val="Normal"/>
    <w:link w:val="IntenseQuoteChar"/>
    <w:uiPriority w:val="30"/>
    <w:qFormat/>
    <w:rsid w:val="00F97C3C"/>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IntenseQuoteChar" w:customStyle="1">
    <w:name w:val="Intense Quote Char"/>
    <w:basedOn w:val="DefaultParagraphFont"/>
    <w:link w:val="IntenseQuote"/>
    <w:uiPriority w:val="30"/>
    <w:rsid w:val="00F97C3C"/>
    <w:rPr>
      <w:i/>
      <w:iCs/>
      <w:color w:val="365F91" w:themeColor="accent1" w:themeShade="BF"/>
    </w:rPr>
  </w:style>
  <w:style w:type="character" w:styleId="IntenseReference">
    <w:name w:val="Intense Reference"/>
    <w:basedOn w:val="DefaultParagraphFont"/>
    <w:uiPriority w:val="32"/>
    <w:qFormat/>
    <w:rsid w:val="00F97C3C"/>
    <w:rPr>
      <w:b/>
      <w:bCs/>
      <w:smallCaps/>
      <w:color w:val="365F91" w:themeColor="accent1" w:themeShade="BF"/>
      <w:spacing w:val="5"/>
    </w:rPr>
  </w:style>
  <w:style w:type="character" w:styleId="Hyperlink">
    <w:uiPriority w:val="99"/>
    <w:name w:val="Hyperlink"/>
    <w:basedOn w:val="DefaultParagraphFont"/>
    <w:unhideWhenUsed/>
    <w:rsid w:val="7DFD6A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hrmguide.io/essentials/hrm-approaches/harvard-model-hrm" TargetMode="External" Id="Raa236ab222ae4f1e" /><Relationship Type="http://schemas.openxmlformats.org/officeDocument/2006/relationships/hyperlink" Target="https://www.acas.org.uk/" TargetMode="External" Id="R7990c5f5ada046d8" /><Relationship Type="http://schemas.openxmlformats.org/officeDocument/2006/relationships/hyperlink" Target="https://www.mybib.com/tools/harvard-referencing-generator" TargetMode="External" Id="R0da39cc63aed4dd6" /><Relationship Type="http://schemas.openxmlformats.org/officeDocument/2006/relationships/hyperlink" Target="https://www.yorksj.ac.uk/media/content-assets/ile/documents/Harvard-Referencing-quick-guide-%28online%29-2025.pdf" TargetMode="External" Id="R2a0be707eb8d4d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Adnan Rasheed Khan (2408399)</dc:creator>
  <keywords/>
  <dc:description/>
  <lastModifiedBy>Adnan Rasheed Khan (2408399)</lastModifiedBy>
  <revision>17</revision>
  <dcterms:created xsi:type="dcterms:W3CDTF">2025-10-28T15:03:00.0000000Z</dcterms:created>
  <dcterms:modified xsi:type="dcterms:W3CDTF">2025-11-04T14:31:36.5479925Z</dcterms:modified>
</coreProperties>
</file>