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478D1" w14:textId="2C39C510" w:rsidR="00CB7334" w:rsidRDefault="007944FC" w:rsidP="007944FC">
      <w:pPr>
        <w:pStyle w:val="BodyText"/>
        <w:jc w:val="center"/>
        <w:rPr>
          <w:b/>
          <w:sz w:val="48"/>
          <w:szCs w:val="48"/>
        </w:rPr>
      </w:pPr>
      <w:r w:rsidRPr="007944FC">
        <w:rPr>
          <w:b/>
          <w:sz w:val="48"/>
          <w:szCs w:val="48"/>
        </w:rPr>
        <w:t>Project Management</w:t>
      </w:r>
    </w:p>
    <w:p w14:paraId="3F49C676" w14:textId="77777777" w:rsidR="007944FC" w:rsidRPr="007944FC" w:rsidRDefault="007944FC" w:rsidP="007944FC">
      <w:pPr>
        <w:pStyle w:val="BodyText"/>
        <w:jc w:val="center"/>
        <w:rPr>
          <w:b/>
          <w:sz w:val="48"/>
          <w:szCs w:val="48"/>
        </w:rPr>
      </w:pPr>
    </w:p>
    <w:p w14:paraId="0B2BE004" w14:textId="0B5B16BD" w:rsidR="00CB7334" w:rsidRPr="00D13C31" w:rsidRDefault="00CB7334" w:rsidP="00CB7334">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5005</w:t>
      </w:r>
    </w:p>
    <w:p w14:paraId="2D3DB71F" w14:textId="77777777" w:rsidR="00CB7334" w:rsidRPr="00D13C31" w:rsidRDefault="00CB7334" w:rsidP="00CB7334">
      <w:pPr>
        <w:pStyle w:val="NoSpacing"/>
        <w:jc w:val="center"/>
        <w:rPr>
          <w:rFonts w:ascii="Times New Roman" w:hAnsi="Times New Roman" w:cs="Times New Roman"/>
          <w:color w:val="000000"/>
          <w:sz w:val="40"/>
          <w:szCs w:val="40"/>
        </w:rPr>
      </w:pPr>
    </w:p>
    <w:p w14:paraId="33A6E68C" w14:textId="77777777" w:rsidR="00CB7334" w:rsidRPr="00D13C31" w:rsidRDefault="00CB7334" w:rsidP="00CB7334">
      <w:pPr>
        <w:pStyle w:val="NoSpacing"/>
        <w:jc w:val="center"/>
        <w:rPr>
          <w:rFonts w:ascii="Times New Roman" w:hAnsi="Times New Roman" w:cs="Times New Roman"/>
          <w:color w:val="000000"/>
          <w:sz w:val="40"/>
          <w:szCs w:val="40"/>
        </w:rPr>
      </w:pPr>
    </w:p>
    <w:p w14:paraId="24E74AE0" w14:textId="77777777" w:rsidR="00CB7334" w:rsidRPr="00D13C31" w:rsidRDefault="00CB7334" w:rsidP="00CB7334">
      <w:pPr>
        <w:pStyle w:val="NoSpacing"/>
        <w:jc w:val="center"/>
        <w:rPr>
          <w:rFonts w:ascii="Times New Roman" w:hAnsi="Times New Roman" w:cs="Times New Roman"/>
          <w:color w:val="000000"/>
          <w:sz w:val="40"/>
          <w:szCs w:val="40"/>
        </w:rPr>
      </w:pPr>
    </w:p>
    <w:p w14:paraId="583027D3" w14:textId="77777777" w:rsidR="00CB7334" w:rsidRPr="00D13C31" w:rsidRDefault="00CB7334" w:rsidP="00CB7334">
      <w:pPr>
        <w:pStyle w:val="NoSpacing"/>
        <w:jc w:val="center"/>
        <w:rPr>
          <w:rFonts w:ascii="Times New Roman" w:hAnsi="Times New Roman" w:cs="Times New Roman"/>
          <w:color w:val="000000"/>
          <w:sz w:val="40"/>
          <w:szCs w:val="40"/>
        </w:rPr>
      </w:pPr>
    </w:p>
    <w:p w14:paraId="4A74A930" w14:textId="1E541DBA" w:rsidR="00CB7334" w:rsidRPr="00D13C31" w:rsidRDefault="00CB7334" w:rsidP="00CB7334">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Assessment </w:t>
      </w:r>
      <w:r>
        <w:rPr>
          <w:rFonts w:ascii="Times New Roman" w:hAnsi="Times New Roman" w:cs="Times New Roman"/>
          <w:color w:val="000000"/>
          <w:sz w:val="40"/>
          <w:szCs w:val="40"/>
        </w:rPr>
        <w:t>1</w:t>
      </w:r>
      <w:r w:rsidRPr="00D13C31">
        <w:rPr>
          <w:rFonts w:ascii="Times New Roman" w:hAnsi="Times New Roman" w:cs="Times New Roman"/>
          <w:color w:val="000000"/>
          <w:sz w:val="40"/>
          <w:szCs w:val="40"/>
        </w:rPr>
        <w:t xml:space="preserve"> – </w:t>
      </w:r>
      <w:r>
        <w:rPr>
          <w:rFonts w:ascii="Times New Roman" w:hAnsi="Times New Roman" w:cs="Times New Roman"/>
          <w:color w:val="000000"/>
          <w:sz w:val="40"/>
          <w:szCs w:val="40"/>
        </w:rPr>
        <w:t>Project Management</w:t>
      </w:r>
    </w:p>
    <w:p w14:paraId="788B609D" w14:textId="77777777" w:rsidR="00CB7334" w:rsidRPr="00D13C31" w:rsidRDefault="00CB7334" w:rsidP="00CB7334">
      <w:pPr>
        <w:pStyle w:val="NoSpacing"/>
        <w:jc w:val="center"/>
        <w:rPr>
          <w:rFonts w:ascii="Times New Roman" w:hAnsi="Times New Roman" w:cs="Times New Roman"/>
          <w:color w:val="000000"/>
          <w:sz w:val="40"/>
          <w:szCs w:val="40"/>
        </w:rPr>
      </w:pPr>
    </w:p>
    <w:p w14:paraId="1606607F" w14:textId="77777777" w:rsidR="00CB7334" w:rsidRPr="00D13C31" w:rsidRDefault="00CB7334" w:rsidP="00CB7334">
      <w:pPr>
        <w:pStyle w:val="NoSpacing"/>
        <w:jc w:val="center"/>
        <w:rPr>
          <w:rFonts w:ascii="Times New Roman" w:hAnsi="Times New Roman" w:cs="Times New Roman"/>
          <w:color w:val="000000"/>
          <w:sz w:val="40"/>
          <w:szCs w:val="40"/>
        </w:rPr>
      </w:pPr>
    </w:p>
    <w:p w14:paraId="0DB0AC8D" w14:textId="77777777" w:rsidR="00CB7334" w:rsidRPr="00D13C31" w:rsidRDefault="00CB7334" w:rsidP="00CB7334">
      <w:pPr>
        <w:pStyle w:val="NoSpacing"/>
        <w:jc w:val="center"/>
        <w:rPr>
          <w:rFonts w:ascii="Times New Roman" w:hAnsi="Times New Roman" w:cs="Times New Roman"/>
          <w:color w:val="000000"/>
          <w:sz w:val="40"/>
          <w:szCs w:val="40"/>
        </w:rPr>
      </w:pPr>
    </w:p>
    <w:p w14:paraId="4DD84A7B" w14:textId="77777777" w:rsidR="00CB7334" w:rsidRPr="00D13C31" w:rsidRDefault="00CB7334" w:rsidP="00CB7334">
      <w:pPr>
        <w:pStyle w:val="NoSpacing"/>
        <w:jc w:val="center"/>
        <w:rPr>
          <w:rFonts w:ascii="Times New Roman" w:hAnsi="Times New Roman" w:cs="Times New Roman"/>
          <w:color w:val="000000"/>
          <w:sz w:val="40"/>
          <w:szCs w:val="40"/>
        </w:rPr>
      </w:pPr>
    </w:p>
    <w:p w14:paraId="7DAE1F6E" w14:textId="77777777" w:rsidR="00CB7334" w:rsidRPr="00D13C31" w:rsidRDefault="00CB7334" w:rsidP="00CB7334">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1BF8BB7F" w14:textId="77777777" w:rsidR="00CB7334" w:rsidRPr="00D13C31" w:rsidRDefault="00CB7334" w:rsidP="00CB7334">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303DA66B" w14:textId="77777777" w:rsidR="00CB7334" w:rsidRDefault="00CB7334" w:rsidP="00CB7334">
      <w:pPr>
        <w:pStyle w:val="BodyText"/>
        <w:jc w:val="center"/>
        <w:rPr>
          <w:bCs/>
          <w:sz w:val="21"/>
          <w:szCs w:val="72"/>
          <w:u w:val="single"/>
        </w:rPr>
      </w:pPr>
    </w:p>
    <w:p w14:paraId="482621F3" w14:textId="77777777" w:rsidR="00CB7334" w:rsidRDefault="00CB7334" w:rsidP="00CB7334">
      <w:pPr>
        <w:pStyle w:val="BodyText"/>
        <w:jc w:val="center"/>
        <w:rPr>
          <w:bCs/>
          <w:color w:val="333333"/>
          <w:sz w:val="21"/>
          <w:szCs w:val="72"/>
          <w:u w:val="single"/>
        </w:rPr>
      </w:pPr>
    </w:p>
    <w:p w14:paraId="77194EFB" w14:textId="16A25CF2" w:rsidR="008A1FD3" w:rsidRDefault="008A1FD3" w:rsidP="008A1FD3">
      <w:pPr>
        <w:jc w:val="center"/>
        <w:rPr>
          <w:rFonts w:ascii="Times New Roman" w:eastAsia="Times New Roman" w:hAnsi="Times New Roman" w:cs="Times New Roman"/>
          <w:b/>
          <w:sz w:val="24"/>
          <w:szCs w:val="24"/>
        </w:rPr>
      </w:pPr>
      <w:r w:rsidRPr="008A1FD3">
        <w:rPr>
          <w:sz w:val="32"/>
        </w:rPr>
        <w:t xml:space="preserve"> </w:t>
      </w: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IN" w:eastAsia="en-IN"/>
        </w:rPr>
        <w:id w:val="-1193993522"/>
        <w:docPartObj>
          <w:docPartGallery w:val="Table of Contents"/>
          <w:docPartUnique/>
        </w:docPartObj>
      </w:sdtPr>
      <w:sdtEndPr>
        <w:rPr>
          <w:b/>
          <w:bCs/>
          <w:noProof/>
        </w:rPr>
      </w:sdtEndPr>
      <w:sdtContent>
        <w:p w14:paraId="20F7E6CD" w14:textId="77777777" w:rsidR="008A1FD3" w:rsidRPr="008A1FD3" w:rsidRDefault="008A1FD3" w:rsidP="008A1FD3">
          <w:pPr>
            <w:pStyle w:val="TOCHeading"/>
            <w:jc w:val="center"/>
            <w:rPr>
              <w:rFonts w:ascii="Times New Roman" w:hAnsi="Times New Roman" w:cs="Times New Roman"/>
              <w:color w:val="000000" w:themeColor="text1"/>
              <w:sz w:val="24"/>
              <w:szCs w:val="24"/>
            </w:rPr>
          </w:pPr>
          <w:r w:rsidRPr="008A1FD3">
            <w:rPr>
              <w:rFonts w:ascii="Times New Roman" w:hAnsi="Times New Roman" w:cs="Times New Roman"/>
              <w:color w:val="000000" w:themeColor="text1"/>
              <w:sz w:val="24"/>
              <w:szCs w:val="24"/>
            </w:rPr>
            <w:t>Table of Contents</w:t>
          </w:r>
        </w:p>
        <w:p w14:paraId="585E94AE" w14:textId="0E0931BB" w:rsidR="006F2FA2" w:rsidRDefault="008A1FD3">
          <w:pPr>
            <w:pStyle w:val="TOC1"/>
            <w:tabs>
              <w:tab w:val="right" w:leader="dot" w:pos="9350"/>
            </w:tabs>
            <w:rPr>
              <w:rFonts w:asciiTheme="minorHAnsi" w:eastAsiaTheme="minorEastAsia" w:hAnsiTheme="minorHAnsi" w:cstheme="minorBidi"/>
              <w:noProof/>
              <w:sz w:val="24"/>
              <w:szCs w:val="24"/>
              <w:lang w:val="en-GB" w:eastAsia="en-GB"/>
            </w:rPr>
          </w:pPr>
          <w:r w:rsidRPr="008A1FD3">
            <w:rPr>
              <w:rFonts w:ascii="Times New Roman" w:hAnsi="Times New Roman" w:cs="Times New Roman"/>
              <w:color w:val="000000" w:themeColor="text1"/>
              <w:sz w:val="24"/>
              <w:szCs w:val="24"/>
            </w:rPr>
            <w:fldChar w:fldCharType="begin"/>
          </w:r>
          <w:r w:rsidRPr="008A1FD3">
            <w:rPr>
              <w:rFonts w:ascii="Times New Roman" w:hAnsi="Times New Roman" w:cs="Times New Roman"/>
              <w:color w:val="000000" w:themeColor="text1"/>
              <w:sz w:val="24"/>
              <w:szCs w:val="24"/>
            </w:rPr>
            <w:instrText xml:space="preserve"> TOC \o "1-3" \h \z \u </w:instrText>
          </w:r>
          <w:r w:rsidRPr="008A1FD3">
            <w:rPr>
              <w:rFonts w:ascii="Times New Roman" w:hAnsi="Times New Roman" w:cs="Times New Roman"/>
              <w:color w:val="000000" w:themeColor="text1"/>
              <w:sz w:val="24"/>
              <w:szCs w:val="24"/>
            </w:rPr>
            <w:fldChar w:fldCharType="separate"/>
          </w:r>
          <w:hyperlink w:anchor="_Toc121325294" w:history="1">
            <w:r w:rsidR="006F2FA2" w:rsidRPr="00026D6B">
              <w:rPr>
                <w:rStyle w:val="Hyperlink"/>
                <w:noProof/>
              </w:rPr>
              <w:t>Introduction</w:t>
            </w:r>
            <w:r w:rsidR="006F2FA2">
              <w:rPr>
                <w:noProof/>
                <w:webHidden/>
              </w:rPr>
              <w:tab/>
            </w:r>
            <w:r w:rsidR="006F2FA2">
              <w:rPr>
                <w:noProof/>
                <w:webHidden/>
              </w:rPr>
              <w:fldChar w:fldCharType="begin"/>
            </w:r>
            <w:r w:rsidR="006F2FA2">
              <w:rPr>
                <w:noProof/>
                <w:webHidden/>
              </w:rPr>
              <w:instrText xml:space="preserve"> PAGEREF _Toc121325294 \h </w:instrText>
            </w:r>
            <w:r w:rsidR="006F2FA2">
              <w:rPr>
                <w:noProof/>
                <w:webHidden/>
              </w:rPr>
            </w:r>
            <w:r w:rsidR="006F2FA2">
              <w:rPr>
                <w:noProof/>
                <w:webHidden/>
              </w:rPr>
              <w:fldChar w:fldCharType="separate"/>
            </w:r>
            <w:r w:rsidR="006F2FA2">
              <w:rPr>
                <w:noProof/>
                <w:webHidden/>
              </w:rPr>
              <w:t>3</w:t>
            </w:r>
            <w:r w:rsidR="006F2FA2">
              <w:rPr>
                <w:noProof/>
                <w:webHidden/>
              </w:rPr>
              <w:fldChar w:fldCharType="end"/>
            </w:r>
          </w:hyperlink>
        </w:p>
        <w:p w14:paraId="3F7AC069" w14:textId="71395EEE" w:rsidR="006F2FA2" w:rsidRDefault="006F2FA2">
          <w:pPr>
            <w:pStyle w:val="TOC1"/>
            <w:tabs>
              <w:tab w:val="right" w:leader="dot" w:pos="9350"/>
            </w:tabs>
            <w:rPr>
              <w:rFonts w:asciiTheme="minorHAnsi" w:eastAsiaTheme="minorEastAsia" w:hAnsiTheme="minorHAnsi" w:cstheme="minorBidi"/>
              <w:noProof/>
              <w:sz w:val="24"/>
              <w:szCs w:val="24"/>
              <w:lang w:val="en-GB" w:eastAsia="en-GB"/>
            </w:rPr>
          </w:pPr>
          <w:hyperlink w:anchor="_Toc121325295" w:history="1">
            <w:r w:rsidRPr="00026D6B">
              <w:rPr>
                <w:rStyle w:val="Hyperlink"/>
                <w:noProof/>
              </w:rPr>
              <w:t>Body</w:t>
            </w:r>
            <w:r>
              <w:rPr>
                <w:noProof/>
                <w:webHidden/>
              </w:rPr>
              <w:tab/>
            </w:r>
            <w:r>
              <w:rPr>
                <w:noProof/>
                <w:webHidden/>
              </w:rPr>
              <w:fldChar w:fldCharType="begin"/>
            </w:r>
            <w:r>
              <w:rPr>
                <w:noProof/>
                <w:webHidden/>
              </w:rPr>
              <w:instrText xml:space="preserve"> PAGEREF _Toc121325295 \h </w:instrText>
            </w:r>
            <w:r>
              <w:rPr>
                <w:noProof/>
                <w:webHidden/>
              </w:rPr>
            </w:r>
            <w:r>
              <w:rPr>
                <w:noProof/>
                <w:webHidden/>
              </w:rPr>
              <w:fldChar w:fldCharType="separate"/>
            </w:r>
            <w:r>
              <w:rPr>
                <w:noProof/>
                <w:webHidden/>
              </w:rPr>
              <w:t>3</w:t>
            </w:r>
            <w:r>
              <w:rPr>
                <w:noProof/>
                <w:webHidden/>
              </w:rPr>
              <w:fldChar w:fldCharType="end"/>
            </w:r>
          </w:hyperlink>
        </w:p>
        <w:p w14:paraId="633456E2" w14:textId="5BD2EE34" w:rsidR="006F2FA2" w:rsidRDefault="006F2FA2">
          <w:pPr>
            <w:pStyle w:val="TOC1"/>
            <w:tabs>
              <w:tab w:val="right" w:leader="dot" w:pos="9350"/>
            </w:tabs>
            <w:rPr>
              <w:rFonts w:asciiTheme="minorHAnsi" w:eastAsiaTheme="minorEastAsia" w:hAnsiTheme="minorHAnsi" w:cstheme="minorBidi"/>
              <w:noProof/>
              <w:sz w:val="24"/>
              <w:szCs w:val="24"/>
              <w:lang w:val="en-GB" w:eastAsia="en-GB"/>
            </w:rPr>
          </w:pPr>
          <w:hyperlink w:anchor="_Toc121325296" w:history="1">
            <w:r w:rsidRPr="00026D6B">
              <w:rPr>
                <w:rStyle w:val="Hyperlink"/>
                <w:noProof/>
              </w:rPr>
              <w:t>Conclusion</w:t>
            </w:r>
            <w:r>
              <w:rPr>
                <w:noProof/>
                <w:webHidden/>
              </w:rPr>
              <w:tab/>
            </w:r>
            <w:r>
              <w:rPr>
                <w:noProof/>
                <w:webHidden/>
              </w:rPr>
              <w:fldChar w:fldCharType="begin"/>
            </w:r>
            <w:r>
              <w:rPr>
                <w:noProof/>
                <w:webHidden/>
              </w:rPr>
              <w:instrText xml:space="preserve"> PAGEREF _Toc121325296 \h </w:instrText>
            </w:r>
            <w:r>
              <w:rPr>
                <w:noProof/>
                <w:webHidden/>
              </w:rPr>
            </w:r>
            <w:r>
              <w:rPr>
                <w:noProof/>
                <w:webHidden/>
              </w:rPr>
              <w:fldChar w:fldCharType="separate"/>
            </w:r>
            <w:r>
              <w:rPr>
                <w:noProof/>
                <w:webHidden/>
              </w:rPr>
              <w:t>10</w:t>
            </w:r>
            <w:r>
              <w:rPr>
                <w:noProof/>
                <w:webHidden/>
              </w:rPr>
              <w:fldChar w:fldCharType="end"/>
            </w:r>
          </w:hyperlink>
        </w:p>
        <w:p w14:paraId="69F5F4AA" w14:textId="5E8175AF" w:rsidR="006F2FA2" w:rsidRDefault="006F2FA2">
          <w:pPr>
            <w:pStyle w:val="TOC1"/>
            <w:tabs>
              <w:tab w:val="right" w:leader="dot" w:pos="9350"/>
            </w:tabs>
            <w:rPr>
              <w:rFonts w:asciiTheme="minorHAnsi" w:eastAsiaTheme="minorEastAsia" w:hAnsiTheme="minorHAnsi" w:cstheme="minorBidi"/>
              <w:noProof/>
              <w:sz w:val="24"/>
              <w:szCs w:val="24"/>
              <w:lang w:val="en-GB" w:eastAsia="en-GB"/>
            </w:rPr>
          </w:pPr>
          <w:hyperlink w:anchor="_Toc121325297" w:history="1">
            <w:r w:rsidRPr="00026D6B">
              <w:rPr>
                <w:rStyle w:val="Hyperlink"/>
                <w:noProof/>
              </w:rPr>
              <w:t>Reference List</w:t>
            </w:r>
            <w:r>
              <w:rPr>
                <w:noProof/>
                <w:webHidden/>
              </w:rPr>
              <w:tab/>
            </w:r>
            <w:r>
              <w:rPr>
                <w:noProof/>
                <w:webHidden/>
              </w:rPr>
              <w:fldChar w:fldCharType="begin"/>
            </w:r>
            <w:r>
              <w:rPr>
                <w:noProof/>
                <w:webHidden/>
              </w:rPr>
              <w:instrText xml:space="preserve"> PAGEREF _Toc121325297 \h </w:instrText>
            </w:r>
            <w:r>
              <w:rPr>
                <w:noProof/>
                <w:webHidden/>
              </w:rPr>
            </w:r>
            <w:r>
              <w:rPr>
                <w:noProof/>
                <w:webHidden/>
              </w:rPr>
              <w:fldChar w:fldCharType="separate"/>
            </w:r>
            <w:r>
              <w:rPr>
                <w:noProof/>
                <w:webHidden/>
              </w:rPr>
              <w:t>11</w:t>
            </w:r>
            <w:r>
              <w:rPr>
                <w:noProof/>
                <w:webHidden/>
              </w:rPr>
              <w:fldChar w:fldCharType="end"/>
            </w:r>
          </w:hyperlink>
        </w:p>
        <w:p w14:paraId="0D76CA9E" w14:textId="1BB8126C" w:rsidR="008A1FD3" w:rsidRDefault="008A1FD3" w:rsidP="008A1FD3">
          <w:pPr>
            <w:jc w:val="center"/>
          </w:pPr>
          <w:r w:rsidRPr="008A1FD3">
            <w:rPr>
              <w:rFonts w:ascii="Times New Roman" w:hAnsi="Times New Roman" w:cs="Times New Roman"/>
              <w:b/>
              <w:bCs/>
              <w:noProof/>
              <w:color w:val="000000" w:themeColor="text1"/>
              <w:sz w:val="24"/>
              <w:szCs w:val="24"/>
            </w:rPr>
            <w:fldChar w:fldCharType="end"/>
          </w:r>
        </w:p>
      </w:sdtContent>
    </w:sdt>
    <w:p w14:paraId="2147CFC4" w14:textId="77777777" w:rsidR="008A1FD3" w:rsidRDefault="008A1FD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AFA46CD" w14:textId="77777777" w:rsidR="00AD272F" w:rsidRPr="008A1FD3" w:rsidRDefault="00FA4376" w:rsidP="008A1FD3">
      <w:pPr>
        <w:pStyle w:val="Heading1"/>
      </w:pPr>
      <w:bookmarkStart w:id="0" w:name="_Toc121325294"/>
      <w:r w:rsidRPr="008A1FD3">
        <w:lastRenderedPageBreak/>
        <w:t>Introduction</w:t>
      </w:r>
      <w:bookmarkEnd w:id="0"/>
      <w:r w:rsidRPr="008A1FD3">
        <w:t xml:space="preserve"> </w:t>
      </w:r>
    </w:p>
    <w:p w14:paraId="4E7B13F1"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directing the project from the beginning through its lifecycle is known as what we understand as project management. The core purpose of managing a project is to complete it within the settled goals of budget, quality and time. Whether a person is having many years of experience of project management or is completely new to the profession, finishing and managing a project within the proper time and budget is not an easy thing to do. Moreover, every project is different and contains a different set of challenges. As per a survey done by the PMI (Project Management Institute), the actual importance of project management that brings benefits like efficient resource management, higher risk tolerance and flexibility, better quality, retrospective learning and many more are only realised by 58% of the organisations (</w:t>
      </w:r>
      <w:r>
        <w:rPr>
          <w:rFonts w:ascii="Times New Roman" w:eastAsia="Times New Roman" w:hAnsi="Times New Roman" w:cs="Times New Roman"/>
          <w:color w:val="222222"/>
          <w:sz w:val="24"/>
          <w:szCs w:val="24"/>
          <w:highlight w:val="white"/>
        </w:rPr>
        <w:t xml:space="preserve">Kerzner, 2018). </w:t>
      </w:r>
      <w:r>
        <w:rPr>
          <w:rFonts w:ascii="Times New Roman" w:eastAsia="Times New Roman" w:hAnsi="Times New Roman" w:cs="Times New Roman"/>
          <w:sz w:val="24"/>
          <w:szCs w:val="24"/>
        </w:rPr>
        <w:t xml:space="preserve">Henceforth, the current assignment will be evaluating one such project </w:t>
      </w:r>
      <w:r>
        <w:rPr>
          <w:rFonts w:ascii="Times New Roman" w:eastAsia="Times New Roman" w:hAnsi="Times New Roman" w:cs="Times New Roman"/>
          <w:b/>
          <w:i/>
          <w:sz w:val="24"/>
          <w:szCs w:val="24"/>
        </w:rPr>
        <w:t xml:space="preserve">(The </w:t>
      </w:r>
      <w:proofErr w:type="spellStart"/>
      <w:r>
        <w:rPr>
          <w:rFonts w:ascii="Times New Roman" w:eastAsia="Times New Roman" w:hAnsi="Times New Roman" w:cs="Times New Roman"/>
          <w:b/>
          <w:i/>
          <w:sz w:val="24"/>
          <w:szCs w:val="24"/>
        </w:rPr>
        <w:t>CrossRail</w:t>
      </w:r>
      <w:proofErr w:type="spellEnd"/>
      <w:r>
        <w:rPr>
          <w:rFonts w:ascii="Times New Roman" w:eastAsia="Times New Roman" w:hAnsi="Times New Roman" w:cs="Times New Roman"/>
          <w:b/>
          <w:i/>
          <w:sz w:val="24"/>
          <w:szCs w:val="24"/>
        </w:rPr>
        <w:t xml:space="preserve"> Project)</w:t>
      </w:r>
      <w:r>
        <w:rPr>
          <w:rFonts w:ascii="Times New Roman" w:eastAsia="Times New Roman" w:hAnsi="Times New Roman" w:cs="Times New Roman"/>
          <w:sz w:val="24"/>
          <w:szCs w:val="24"/>
        </w:rPr>
        <w:t xml:space="preserve"> and examine the reasons that led to delays and huge overruns.  Thereby, providing a strong example as to why project management is crucial for the success of any project. </w:t>
      </w:r>
    </w:p>
    <w:p w14:paraId="62B8ECD9" w14:textId="77777777" w:rsidR="00AD272F" w:rsidRDefault="00FA4376" w:rsidP="008A1FD3">
      <w:pPr>
        <w:pStyle w:val="Heading1"/>
      </w:pPr>
      <w:bookmarkStart w:id="1" w:name="_Toc121325295"/>
      <w:r>
        <w:t>Body</w:t>
      </w:r>
      <w:bookmarkEnd w:id="1"/>
    </w:p>
    <w:p w14:paraId="6B633B0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Opened on 24 May, Tuesday, 2022, the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Project, Elizabeth Line offered services between </w:t>
      </w:r>
      <w:r w:rsidR="007F593E">
        <w:rPr>
          <w:rFonts w:ascii="Times New Roman" w:eastAsia="Times New Roman" w:hAnsi="Times New Roman" w:cs="Times New Roman"/>
          <w:sz w:val="24"/>
          <w:szCs w:val="24"/>
        </w:rPr>
        <w:t>Paddington</w:t>
      </w:r>
      <w:r>
        <w:rPr>
          <w:rFonts w:ascii="Times New Roman" w:eastAsia="Times New Roman" w:hAnsi="Times New Roman" w:cs="Times New Roman"/>
          <w:sz w:val="24"/>
          <w:szCs w:val="24"/>
        </w:rPr>
        <w:t xml:space="preserve"> and Abbey Woods. On the same day, the TFL Rail Services were rebranded to the Elizabeth Line. By cutting journey times, transforming accessibility and providing additional capacity, the Elizabeth Line is transforming travel across London and South-East (Crossrail, 2022). This project has been considered to be a historic and once-in-a-generation masterpiece, added to the transport network of London to save the capital city from the pangs of the pandemic and provide new journey options to support regeneration in and around London. </w:t>
      </w:r>
    </w:p>
    <w:p w14:paraId="58DCD249"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core elements of a project vary depending on the nature of the project there are few elements that are common to all projects, comments </w:t>
      </w:r>
      <w:proofErr w:type="spellStart"/>
      <w:r>
        <w:rPr>
          <w:rFonts w:ascii="Times New Roman" w:eastAsia="Times New Roman" w:hAnsi="Times New Roman" w:cs="Times New Roman"/>
          <w:sz w:val="24"/>
          <w:szCs w:val="24"/>
        </w:rPr>
        <w:t>Puscasu</w:t>
      </w:r>
      <w:proofErr w:type="spellEnd"/>
      <w:r>
        <w:rPr>
          <w:rFonts w:ascii="Times New Roman" w:eastAsia="Times New Roman" w:hAnsi="Times New Roman" w:cs="Times New Roman"/>
          <w:sz w:val="24"/>
          <w:szCs w:val="24"/>
        </w:rPr>
        <w:t xml:space="preserve">, (2022). Penning down or assessing these key components help in overcoming unprecedented situations as well as task and team organisation. </w:t>
      </w:r>
      <w:r>
        <w:rPr>
          <w:rFonts w:ascii="Times New Roman" w:eastAsia="Times New Roman" w:hAnsi="Times New Roman" w:cs="Times New Roman"/>
          <w:i/>
          <w:sz w:val="24"/>
          <w:szCs w:val="24"/>
        </w:rPr>
        <w:t>Project goal</w:t>
      </w:r>
      <w:r>
        <w:rPr>
          <w:rFonts w:ascii="Times New Roman" w:eastAsia="Times New Roman" w:hAnsi="Times New Roman" w:cs="Times New Roman"/>
          <w:sz w:val="24"/>
          <w:szCs w:val="24"/>
        </w:rPr>
        <w:t xml:space="preserve"> is what one expects from the project and explains the reasons for undertaking the project. The main goal of this project of the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services is to connect the outer fringes to the West End of London and to the heart of the City along with providing a quick route between the Heathrow Airport and Central London. Providing an economic legacy is the main purpose of the Elizabeth Line (Gov, 2022).  The project </w:t>
      </w:r>
      <w:r>
        <w:rPr>
          <w:rFonts w:ascii="Times New Roman" w:eastAsia="Times New Roman" w:hAnsi="Times New Roman" w:cs="Times New Roman"/>
          <w:i/>
          <w:sz w:val="24"/>
          <w:szCs w:val="24"/>
        </w:rPr>
        <w:t>scope</w:t>
      </w:r>
      <w:r>
        <w:rPr>
          <w:rFonts w:ascii="Times New Roman" w:eastAsia="Times New Roman" w:hAnsi="Times New Roman" w:cs="Times New Roman"/>
          <w:sz w:val="24"/>
          <w:szCs w:val="24"/>
        </w:rPr>
        <w:t xml:space="preserve"> is the next element included in the project charter and the one that a project manager should example within the plan. A project scope is the part of the plan that documents and determines specific goals, tasks, deliverables, </w:t>
      </w:r>
      <w:r>
        <w:rPr>
          <w:rFonts w:ascii="Times New Roman" w:eastAsia="Times New Roman" w:hAnsi="Times New Roman" w:cs="Times New Roman"/>
          <w:sz w:val="24"/>
          <w:szCs w:val="24"/>
        </w:rPr>
        <w:lastRenderedPageBreak/>
        <w:t xml:space="preserve">features, deadlines, budgets and functions. The scope of the Elizabeth Line of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is to deliver a 74 mile railway. </w:t>
      </w:r>
      <w:r w:rsidR="007F593E">
        <w:rPr>
          <w:rFonts w:ascii="Times New Roman" w:eastAsia="Times New Roman" w:hAnsi="Times New Roman" w:cs="Times New Roman"/>
          <w:sz w:val="24"/>
          <w:szCs w:val="24"/>
        </w:rPr>
        <w:t>Additionally,</w:t>
      </w:r>
      <w:r>
        <w:rPr>
          <w:rFonts w:ascii="Times New Roman" w:eastAsia="Times New Roman" w:hAnsi="Times New Roman" w:cs="Times New Roman"/>
          <w:sz w:val="24"/>
          <w:szCs w:val="24"/>
        </w:rPr>
        <w:t xml:space="preserve"> the plan also includes delivering a new fleet of trains, expanded and upgraded stations along the route of Crossrail and 13 miles of new tunnels under London (</w:t>
      </w:r>
      <w:proofErr w:type="spellStart"/>
      <w:r>
        <w:rPr>
          <w:rFonts w:ascii="Times New Roman" w:eastAsia="Times New Roman" w:hAnsi="Times New Roman" w:cs="Times New Roman"/>
          <w:color w:val="222222"/>
          <w:sz w:val="24"/>
          <w:szCs w:val="24"/>
          <w:highlight w:val="white"/>
        </w:rPr>
        <w:t>Worsfold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w:t>
      </w:r>
      <w:r>
        <w:rPr>
          <w:rFonts w:ascii="Times New Roman" w:eastAsia="Times New Roman" w:hAnsi="Times New Roman" w:cs="Times New Roman"/>
          <w:sz w:val="24"/>
          <w:szCs w:val="24"/>
        </w:rPr>
        <w:t xml:space="preserve">After its competition the services will be running from Shenfield and Abbey Wood in the east to Maidenhead and Heathrow in the west. </w:t>
      </w:r>
    </w:p>
    <w:p w14:paraId="2A7C2AD7"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Identification of the quality </w:t>
      </w:r>
      <w:r>
        <w:rPr>
          <w:rFonts w:ascii="Times New Roman" w:eastAsia="Times New Roman" w:hAnsi="Times New Roman" w:cs="Times New Roman"/>
          <w:i/>
          <w:sz w:val="24"/>
          <w:szCs w:val="24"/>
        </w:rPr>
        <w:t>stakeholders</w:t>
      </w:r>
      <w:r>
        <w:rPr>
          <w:rFonts w:ascii="Times New Roman" w:eastAsia="Times New Roman" w:hAnsi="Times New Roman" w:cs="Times New Roman"/>
          <w:sz w:val="24"/>
          <w:szCs w:val="24"/>
        </w:rPr>
        <w:t xml:space="preserve"> and their needs is the next important consideration that leads to a successful project completion. A project stakeholder could be the customers, sponsors, clients, end-users and many more. The approach to stakeholder relationship management was justifiably outlined by Simon Bennett, the Head of Learning Agency of Crossrail’s, who was involved since the beginning of this project. Different stakeholders of this Crossrail project have been identified through standard napping processes and were assessed periodically through the project. To mention a few of the </w:t>
      </w:r>
      <w:r w:rsidR="007F593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include:  Future passengers, Sponsors, Partners, Local politicians, Statutory bodies, Engineers and Media.  As commented by Bailey (2017), the future passengers or the local communities have been an important part of this entire </w:t>
      </w:r>
      <w:r w:rsidR="007F593E">
        <w:rPr>
          <w:rFonts w:ascii="Times New Roman" w:eastAsia="Times New Roman" w:hAnsi="Times New Roman" w:cs="Times New Roman"/>
          <w:sz w:val="24"/>
          <w:szCs w:val="24"/>
        </w:rPr>
        <w:t>project. Even</w:t>
      </w:r>
      <w:r>
        <w:rPr>
          <w:rFonts w:ascii="Times New Roman" w:eastAsia="Times New Roman" w:hAnsi="Times New Roman" w:cs="Times New Roman"/>
          <w:sz w:val="24"/>
          <w:szCs w:val="24"/>
        </w:rPr>
        <w:t xml:space="preserve"> before the construction began, Crossrail services consulted over the choice of the public's preferred route. Leaflets were distributed at the stations to make the public aware. In order to excite the future passengers and future engineers of Crossrail, a Young Crossrail programme was designed. All these events were discussed with the planners and engineers who were developing the project scheme (</w:t>
      </w:r>
      <w:proofErr w:type="spellStart"/>
      <w:r>
        <w:rPr>
          <w:rFonts w:ascii="Times New Roman" w:eastAsia="Times New Roman" w:hAnsi="Times New Roman" w:cs="Times New Roman"/>
          <w:sz w:val="24"/>
          <w:szCs w:val="24"/>
        </w:rPr>
        <w:t>Udoagwu</w:t>
      </w:r>
      <w:proofErr w:type="spellEnd"/>
      <w:r>
        <w:rPr>
          <w:rFonts w:ascii="Times New Roman" w:eastAsia="Times New Roman" w:hAnsi="Times New Roman" w:cs="Times New Roman"/>
          <w:sz w:val="24"/>
          <w:szCs w:val="24"/>
        </w:rPr>
        <w:t xml:space="preserve">, 2022).  All were instructed beforehand by the project manager to ensure the planners and engineers had the right skills to develop and plan the entire project as well as deal with the consultee questions in an appropriate manner. </w:t>
      </w:r>
    </w:p>
    <w:p w14:paraId="7884384B"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external affairs was involved the media team that was responsible for new media and press events. The relationship with the local politicians was managed by the public affairs team involved in this project. Bailey (2017), further mentioned that, ensuring that the route MPs were always kept updated about the project proceeding was an important concern of Cross Rails so that in times of consistency enquiry, they knew where to go. Additionally, the company also arranged for Crossrail appearances at committees at London Assembly and at Westminster. The Sponsors of Crossrail are the Secretary of State for Transport through DfT (Department for Transport) and the Mayor of London through TFL (Transport for London). Some of the partners included: Berkeley Homes, Canary Wharf Group Plc and Network Rail (Crossrail, 2022).</w:t>
      </w:r>
    </w:p>
    <w:p w14:paraId="03708C50"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project schedule is the next important element to be involved in the project plan, that keeps the stakeholders informed about when to expect the final delivery. A project timeline helps the team members as well as the project manager keep the project operations in the right speed and right direction. Europe's biggest construction project, Elizabeth Line, a </w:t>
      </w:r>
      <w:r w:rsidR="007F593E">
        <w:rPr>
          <w:rFonts w:ascii="Times New Roman" w:eastAsia="Times New Roman" w:hAnsi="Times New Roman" w:cs="Times New Roman"/>
          <w:sz w:val="24"/>
          <w:szCs w:val="24"/>
        </w:rPr>
        <w:t>73-mile</w:t>
      </w:r>
      <w:r>
        <w:rPr>
          <w:rFonts w:ascii="Times New Roman" w:eastAsia="Times New Roman" w:hAnsi="Times New Roman" w:cs="Times New Roman"/>
          <w:sz w:val="24"/>
          <w:szCs w:val="24"/>
        </w:rPr>
        <w:t xml:space="preserve"> railway was first formulated in the 1980s, got cancelled the next year and was again approved in the 2000s. In 2009, the work ultimately began with 10000 workers and after many delays, budget overruns and struggles, the project took 13 years to complete. </w:t>
      </w:r>
    </w:p>
    <w:p w14:paraId="0FC37E4E" w14:textId="77777777" w:rsidR="00AD272F" w:rsidRDefault="00AD272F">
      <w:pPr>
        <w:spacing w:line="360" w:lineRule="auto"/>
        <w:jc w:val="both"/>
        <w:rPr>
          <w:rFonts w:ascii="Times New Roman" w:eastAsia="Times New Roman" w:hAnsi="Times New Roman" w:cs="Times New Roman"/>
          <w:sz w:val="24"/>
          <w:szCs w:val="24"/>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645"/>
        <w:gridCol w:w="702"/>
        <w:gridCol w:w="702"/>
        <w:gridCol w:w="687"/>
        <w:gridCol w:w="703"/>
        <w:gridCol w:w="703"/>
        <w:gridCol w:w="703"/>
        <w:gridCol w:w="703"/>
        <w:gridCol w:w="703"/>
        <w:gridCol w:w="703"/>
        <w:gridCol w:w="703"/>
        <w:gridCol w:w="703"/>
      </w:tblGrid>
      <w:tr w:rsidR="00AD272F" w14:paraId="4E343F43" w14:textId="77777777">
        <w:trPr>
          <w:trHeight w:val="495"/>
        </w:trPr>
        <w:tc>
          <w:tcPr>
            <w:tcW w:w="1644" w:type="dxa"/>
            <w:tcBorders>
              <w:top w:val="single" w:sz="8" w:space="0" w:color="000000"/>
              <w:left w:val="single" w:sz="8" w:space="0" w:color="000000"/>
              <w:bottom w:val="single" w:sz="8" w:space="0" w:color="000000"/>
              <w:right w:val="single" w:sz="8" w:space="0" w:color="000000"/>
            </w:tcBorders>
            <w:shd w:val="clear" w:color="auto" w:fill="F4B083"/>
            <w:tcMar>
              <w:top w:w="100" w:type="dxa"/>
              <w:left w:w="100" w:type="dxa"/>
              <w:bottom w:w="100" w:type="dxa"/>
              <w:right w:w="100" w:type="dxa"/>
            </w:tcMar>
          </w:tcPr>
          <w:p w14:paraId="59D13460"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Tasks </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49D33000"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2019</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45E543C5"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2010</w:t>
            </w:r>
          </w:p>
        </w:tc>
        <w:tc>
          <w:tcPr>
            <w:tcW w:w="687"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0765B942"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2011</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6480C089"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2012</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3A674460"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2013</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26B6F357"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2014</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53A209A0"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2015</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0A5821BC"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2016</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7212DE45"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2017</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58E5E704"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2018</w:t>
            </w:r>
          </w:p>
        </w:tc>
        <w:tc>
          <w:tcPr>
            <w:tcW w:w="702" w:type="dxa"/>
            <w:tcBorders>
              <w:top w:val="single" w:sz="8" w:space="0" w:color="000000"/>
              <w:left w:val="nil"/>
              <w:bottom w:val="single" w:sz="8" w:space="0" w:color="000000"/>
              <w:right w:val="single" w:sz="8" w:space="0" w:color="000000"/>
            </w:tcBorders>
            <w:shd w:val="clear" w:color="auto" w:fill="F4B083"/>
            <w:tcMar>
              <w:top w:w="100" w:type="dxa"/>
              <w:left w:w="100" w:type="dxa"/>
              <w:bottom w:w="100" w:type="dxa"/>
              <w:right w:w="100" w:type="dxa"/>
            </w:tcMar>
          </w:tcPr>
          <w:p w14:paraId="06DC584D" w14:textId="77777777" w:rsidR="00AD272F" w:rsidRDefault="00FA4376">
            <w:pPr>
              <w:spacing w:before="2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2019</w:t>
            </w:r>
          </w:p>
        </w:tc>
      </w:tr>
      <w:tr w:rsidR="00AD272F" w14:paraId="6C7C04C5" w14:textId="77777777">
        <w:trPr>
          <w:trHeight w:val="49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6BDD82"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Design</w:t>
            </w: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561D9AD8"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48CA2969"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0EA36BED"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2E70213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1EB704B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6E3C89C3"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237E014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3403584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7F5DAB8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478B165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DE3F00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60DF6829" w14:textId="77777777">
        <w:trPr>
          <w:trHeight w:val="103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CCFFDAA"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Surveys and enabling works</w:t>
            </w:r>
          </w:p>
        </w:tc>
        <w:tc>
          <w:tcPr>
            <w:tcW w:w="702" w:type="dxa"/>
            <w:tcBorders>
              <w:top w:val="nil"/>
              <w:left w:val="nil"/>
              <w:bottom w:val="single" w:sz="8" w:space="0" w:color="000000"/>
              <w:right w:val="single" w:sz="8" w:space="0" w:color="000000"/>
            </w:tcBorders>
            <w:shd w:val="clear" w:color="auto" w:fill="5B9BD5"/>
            <w:tcMar>
              <w:top w:w="100" w:type="dxa"/>
              <w:left w:w="100" w:type="dxa"/>
              <w:bottom w:w="100" w:type="dxa"/>
              <w:right w:w="100" w:type="dxa"/>
            </w:tcMar>
          </w:tcPr>
          <w:p w14:paraId="02434598"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B9BD5"/>
            <w:tcMar>
              <w:top w:w="100" w:type="dxa"/>
              <w:left w:w="100" w:type="dxa"/>
              <w:bottom w:w="100" w:type="dxa"/>
              <w:right w:w="100" w:type="dxa"/>
            </w:tcMar>
          </w:tcPr>
          <w:p w14:paraId="69D17BCF"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shd w:val="clear" w:color="auto" w:fill="5B9BD5"/>
            <w:tcMar>
              <w:top w:w="100" w:type="dxa"/>
              <w:left w:w="100" w:type="dxa"/>
              <w:bottom w:w="100" w:type="dxa"/>
              <w:right w:w="100" w:type="dxa"/>
            </w:tcMar>
          </w:tcPr>
          <w:p w14:paraId="248798C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B9BD5"/>
            <w:tcMar>
              <w:top w:w="100" w:type="dxa"/>
              <w:left w:w="100" w:type="dxa"/>
              <w:bottom w:w="100" w:type="dxa"/>
              <w:right w:w="100" w:type="dxa"/>
            </w:tcMar>
          </w:tcPr>
          <w:p w14:paraId="00FC0BD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605E1363"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141A9B3B"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5BC1D25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5AF3E6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1EF8E2D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4D23E0A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746EFCA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06C8244F" w14:textId="77777777">
        <w:trPr>
          <w:trHeight w:val="49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ABD079"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Tunnelling </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5B699B28"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7D72284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tcMar>
              <w:top w:w="100" w:type="dxa"/>
              <w:left w:w="100" w:type="dxa"/>
              <w:bottom w:w="100" w:type="dxa"/>
              <w:right w:w="100" w:type="dxa"/>
            </w:tcMar>
          </w:tcPr>
          <w:p w14:paraId="1F7FB7A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BF8F00"/>
            <w:tcMar>
              <w:top w:w="100" w:type="dxa"/>
              <w:left w:w="100" w:type="dxa"/>
              <w:bottom w:w="100" w:type="dxa"/>
              <w:right w:w="100" w:type="dxa"/>
            </w:tcMar>
          </w:tcPr>
          <w:p w14:paraId="01B4904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BF8F00"/>
            <w:tcMar>
              <w:top w:w="100" w:type="dxa"/>
              <w:left w:w="100" w:type="dxa"/>
              <w:bottom w:w="100" w:type="dxa"/>
              <w:right w:w="100" w:type="dxa"/>
            </w:tcMar>
          </w:tcPr>
          <w:p w14:paraId="0710BAA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BF8F00"/>
            <w:tcMar>
              <w:top w:w="100" w:type="dxa"/>
              <w:left w:w="100" w:type="dxa"/>
              <w:bottom w:w="100" w:type="dxa"/>
              <w:right w:w="100" w:type="dxa"/>
            </w:tcMar>
          </w:tcPr>
          <w:p w14:paraId="27D4987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BF8F00"/>
            <w:tcMar>
              <w:top w:w="100" w:type="dxa"/>
              <w:left w:w="100" w:type="dxa"/>
              <w:bottom w:w="100" w:type="dxa"/>
              <w:right w:w="100" w:type="dxa"/>
            </w:tcMar>
          </w:tcPr>
          <w:p w14:paraId="21EA063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9FDDD7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0B24E54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17C668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C759B0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6630E149" w14:textId="77777777">
        <w:trPr>
          <w:trHeight w:val="130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25A9A4"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Station construction and civil engineering </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0AE9C23C"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4CD407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112F698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2EF43E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100C6D5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7CBE24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B4635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A538DC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2737D63"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39E143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27B106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33FEFCC6" w14:textId="77777777">
        <w:trPr>
          <w:trHeight w:val="76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3F8B40"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Network rail works</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CCE1F5F"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7A96429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7184CAA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0E6067E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237FCC89"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78D66AA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54C65C1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58C6B21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59AB2C3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16CC309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538135"/>
            <w:tcMar>
              <w:top w:w="100" w:type="dxa"/>
              <w:left w:w="100" w:type="dxa"/>
              <w:bottom w:w="100" w:type="dxa"/>
              <w:right w:w="100" w:type="dxa"/>
            </w:tcMar>
          </w:tcPr>
          <w:p w14:paraId="3270FF4D"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4833FBEF" w14:textId="77777777">
        <w:trPr>
          <w:trHeight w:val="76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33FC90"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Railway systems</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5D6D08D6"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AF8E27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tcMar>
              <w:top w:w="100" w:type="dxa"/>
              <w:left w:w="100" w:type="dxa"/>
              <w:bottom w:w="100" w:type="dxa"/>
              <w:right w:w="100" w:type="dxa"/>
            </w:tcMar>
          </w:tcPr>
          <w:p w14:paraId="7915D31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554EFE1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52771DD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EC168C6"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1CDD4455"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F93208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A53EF53"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01112EF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0B43EEF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6D54B0E1" w14:textId="77777777">
        <w:trPr>
          <w:trHeight w:val="76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D54E29F"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Rolling stock and depot</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0C86A104"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3DBD339"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tcMar>
              <w:top w:w="100" w:type="dxa"/>
              <w:left w:w="100" w:type="dxa"/>
              <w:bottom w:w="100" w:type="dxa"/>
              <w:right w:w="100" w:type="dxa"/>
            </w:tcMar>
          </w:tcPr>
          <w:p w14:paraId="4342F119"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7A28192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6F5AF66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0FAB3DC3"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376D16D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6F11138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ED7D31"/>
            <w:tcMar>
              <w:top w:w="100" w:type="dxa"/>
              <w:left w:w="100" w:type="dxa"/>
              <w:bottom w:w="100" w:type="dxa"/>
              <w:right w:w="100" w:type="dxa"/>
            </w:tcMar>
          </w:tcPr>
          <w:p w14:paraId="7D265C4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43AF325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32A002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4968461B" w14:textId="77777777">
        <w:trPr>
          <w:trHeight w:val="157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12AA56"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 xml:space="preserve">Oversight development around stations and public spaces </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181D9629"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42167278"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72323BAF"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0C289D7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0D2D9F7F"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2A4C86A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54D5B0D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24EF217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04E2E25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8EAADB"/>
            <w:tcMar>
              <w:top w:w="100" w:type="dxa"/>
              <w:left w:w="100" w:type="dxa"/>
              <w:bottom w:w="100" w:type="dxa"/>
              <w:right w:w="100" w:type="dxa"/>
            </w:tcMar>
          </w:tcPr>
          <w:p w14:paraId="0F12DC5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619C6F57"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r w:rsidR="00AD272F" w14:paraId="03347ADC" w14:textId="77777777">
        <w:trPr>
          <w:trHeight w:val="1035"/>
        </w:trPr>
        <w:tc>
          <w:tcPr>
            <w:tcW w:w="164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0564A0F" w14:textId="77777777" w:rsidR="00AD272F" w:rsidRDefault="00FA4376">
            <w:pPr>
              <w:spacing w:before="240"/>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Gradual introduction of services </w:t>
            </w: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4963E988" w14:textId="77777777" w:rsidR="00AD272F" w:rsidRDefault="00AD272F">
            <w:pPr>
              <w:spacing w:line="360" w:lineRule="auto"/>
              <w:jc w:val="both"/>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1902D635"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687" w:type="dxa"/>
            <w:tcBorders>
              <w:top w:val="nil"/>
              <w:left w:val="nil"/>
              <w:bottom w:val="single" w:sz="8" w:space="0" w:color="000000"/>
              <w:right w:val="single" w:sz="8" w:space="0" w:color="000000"/>
            </w:tcBorders>
            <w:tcMar>
              <w:top w:w="100" w:type="dxa"/>
              <w:left w:w="100" w:type="dxa"/>
              <w:bottom w:w="100" w:type="dxa"/>
              <w:right w:w="100" w:type="dxa"/>
            </w:tcMar>
          </w:tcPr>
          <w:p w14:paraId="1CE073E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69CAB3FD"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067D9AA"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4B15FFB0"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25FECDDE"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tcMar>
              <w:top w:w="100" w:type="dxa"/>
              <w:left w:w="100" w:type="dxa"/>
              <w:bottom w:w="100" w:type="dxa"/>
              <w:right w:w="100" w:type="dxa"/>
            </w:tcMar>
          </w:tcPr>
          <w:p w14:paraId="3B2C89B4"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36AB7FE1"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6C55AB22"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c>
          <w:tcPr>
            <w:tcW w:w="702"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2D9333BC" w14:textId="77777777" w:rsidR="00AD272F" w:rsidRDefault="00AD272F">
            <w:pPr>
              <w:widowControl w:val="0"/>
              <w:pBdr>
                <w:top w:val="nil"/>
                <w:left w:val="nil"/>
                <w:bottom w:val="nil"/>
                <w:right w:val="nil"/>
                <w:between w:val="nil"/>
              </w:pBdr>
              <w:rPr>
                <w:rFonts w:ascii="Times New Roman" w:eastAsia="Times New Roman" w:hAnsi="Times New Roman" w:cs="Times New Roman"/>
                <w:sz w:val="24"/>
                <w:szCs w:val="24"/>
              </w:rPr>
            </w:pPr>
          </w:p>
        </w:tc>
      </w:tr>
    </w:tbl>
    <w:p w14:paraId="0F59E8F2" w14:textId="77777777" w:rsidR="00AD272F" w:rsidRDefault="00FA437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74A470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August 2020, the Transport for London took over full control of the building of the Elizabeth Line and announced a new target to be achieved by the first half of 2022. The testing of trains on the track started by May 2021. The next year in the same month, nine new stations and the underground part of the line was opened. Finally, in September 2022, first through trains started running into Central London (</w:t>
      </w:r>
      <w:proofErr w:type="spellStart"/>
      <w:r>
        <w:rPr>
          <w:rFonts w:ascii="Times New Roman" w:eastAsia="Times New Roman" w:hAnsi="Times New Roman" w:cs="Times New Roman"/>
          <w:sz w:val="24"/>
          <w:szCs w:val="24"/>
        </w:rPr>
        <w:t>Topham</w:t>
      </w:r>
      <w:proofErr w:type="spellEnd"/>
      <w:r>
        <w:rPr>
          <w:rFonts w:ascii="Times New Roman" w:eastAsia="Times New Roman" w:hAnsi="Times New Roman" w:cs="Times New Roman"/>
          <w:sz w:val="24"/>
          <w:szCs w:val="24"/>
        </w:rPr>
        <w:t xml:space="preserve">, 2022). </w:t>
      </w:r>
    </w:p>
    <w:p w14:paraId="4793FAD0"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Risk assessment</w:t>
      </w:r>
      <w:r>
        <w:rPr>
          <w:rFonts w:ascii="Times New Roman" w:eastAsia="Times New Roman" w:hAnsi="Times New Roman" w:cs="Times New Roman"/>
          <w:sz w:val="24"/>
          <w:szCs w:val="24"/>
        </w:rPr>
        <w:t xml:space="preserve"> is another important element that should be assessed while preparing a project plan. Four risks have been identified by the project managers and the team while completing the Crossrail project. </w:t>
      </w:r>
    </w:p>
    <w:p w14:paraId="1309CF8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Time crunch:</w:t>
      </w:r>
      <w:r>
        <w:rPr>
          <w:rFonts w:ascii="Times New Roman" w:eastAsia="Times New Roman" w:hAnsi="Times New Roman" w:cs="Times New Roman"/>
          <w:sz w:val="24"/>
          <w:szCs w:val="24"/>
        </w:rPr>
        <w:t xml:space="preserve"> Project schedule risk can have an impact on the delivery date, budget and on the overall project performance. The Crossrail project was delayed by six years. Initially the plan was to launch it in December 2017, but that finally came into action on 24th May 2022. </w:t>
      </w:r>
    </w:p>
    <w:p w14:paraId="7A6B89A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Low performance</w:t>
      </w:r>
      <w:r>
        <w:rPr>
          <w:rFonts w:ascii="Times New Roman" w:eastAsia="Times New Roman" w:hAnsi="Times New Roman" w:cs="Times New Roman"/>
          <w:sz w:val="24"/>
          <w:szCs w:val="24"/>
        </w:rPr>
        <w:t xml:space="preserve">: This occurs when the project does not perform as per the planning. Similar; was noticed in the Crossrail project. Many technical issues evolved like the signalling systems failed and the Bond Street Station had slipped behind (Edwards, 2022). </w:t>
      </w:r>
    </w:p>
    <w:p w14:paraId="0A8D493B"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Health and safety issues:</w:t>
      </w:r>
      <w:r>
        <w:rPr>
          <w:rFonts w:ascii="Times New Roman" w:eastAsia="Times New Roman" w:hAnsi="Times New Roman" w:cs="Times New Roman"/>
          <w:sz w:val="24"/>
          <w:szCs w:val="24"/>
        </w:rPr>
        <w:t xml:space="preserve"> Health hazards are another risk factor that the project management team can face while completing the project. Death of workers can have an impact on the overall workflow. The contractor of Cross Rails was fined an amount of </w:t>
      </w:r>
      <w:r>
        <w:rPr>
          <w:rFonts w:ascii="Times New Roman" w:eastAsia="Times New Roman" w:hAnsi="Times New Roman" w:cs="Times New Roman"/>
          <w:sz w:val="24"/>
          <w:szCs w:val="24"/>
          <w:highlight w:val="white"/>
        </w:rPr>
        <w:t xml:space="preserve">1m </w:t>
      </w:r>
      <w:r>
        <w:rPr>
          <w:rFonts w:ascii="Times New Roman" w:eastAsia="Times New Roman" w:hAnsi="Times New Roman" w:cs="Times New Roman"/>
          <w:color w:val="121212"/>
          <w:sz w:val="24"/>
          <w:szCs w:val="24"/>
          <w:highlight w:val="white"/>
        </w:rPr>
        <w:t xml:space="preserve">£ for the injuries and death occurred at the construction site. </w:t>
      </w:r>
    </w:p>
    <w:p w14:paraId="693F0352"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High costs:</w:t>
      </w:r>
      <w:r>
        <w:rPr>
          <w:rFonts w:ascii="Times New Roman" w:eastAsia="Times New Roman" w:hAnsi="Times New Roman" w:cs="Times New Roman"/>
          <w:sz w:val="24"/>
          <w:szCs w:val="24"/>
        </w:rPr>
        <w:t xml:space="preserve"> When projects go over the budget, the risk of higher costs gets involved. This can happen due to improper budget planning during the initial stages. The project cost of </w:t>
      </w:r>
      <w:proofErr w:type="spellStart"/>
      <w:r>
        <w:rPr>
          <w:rFonts w:ascii="Times New Roman" w:eastAsia="Times New Roman" w:hAnsi="Times New Roman" w:cs="Times New Roman"/>
          <w:sz w:val="24"/>
          <w:szCs w:val="24"/>
        </w:rPr>
        <w:t>CrossRails</w:t>
      </w:r>
      <w:proofErr w:type="spellEnd"/>
      <w:r>
        <w:rPr>
          <w:rFonts w:ascii="Times New Roman" w:eastAsia="Times New Roman" w:hAnsi="Times New Roman" w:cs="Times New Roman"/>
          <w:sz w:val="24"/>
          <w:szCs w:val="24"/>
        </w:rPr>
        <w:t xml:space="preserve"> exceeded from 15.9 bn </w:t>
      </w:r>
      <w:r>
        <w:rPr>
          <w:rFonts w:ascii="Times New Roman" w:eastAsia="Times New Roman" w:hAnsi="Times New Roman" w:cs="Times New Roman"/>
          <w:color w:val="121212"/>
          <w:sz w:val="24"/>
          <w:szCs w:val="24"/>
          <w:highlight w:val="white"/>
        </w:rPr>
        <w:t xml:space="preserve">£ to 18.25 bn £. </w:t>
      </w:r>
    </w:p>
    <w:p w14:paraId="316F450B" w14:textId="77777777" w:rsidR="00AD272F" w:rsidRDefault="00AD272F">
      <w:pPr>
        <w:spacing w:line="360" w:lineRule="auto"/>
        <w:jc w:val="both"/>
        <w:rPr>
          <w:rFonts w:ascii="Times New Roman" w:eastAsia="Times New Roman" w:hAnsi="Times New Roman" w:cs="Times New Roman"/>
          <w:color w:val="2A2B2C"/>
          <w:sz w:val="24"/>
          <w:szCs w:val="24"/>
        </w:rPr>
      </w:pPr>
    </w:p>
    <w:tbl>
      <w:tblPr>
        <w:tblStyle w:val="a0"/>
        <w:tblW w:w="892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000" w:firstRow="0" w:lastRow="0" w:firstColumn="0" w:lastColumn="0" w:noHBand="0" w:noVBand="0"/>
      </w:tblPr>
      <w:tblGrid>
        <w:gridCol w:w="3120"/>
        <w:gridCol w:w="1973"/>
        <w:gridCol w:w="1418"/>
        <w:gridCol w:w="1417"/>
        <w:gridCol w:w="993"/>
      </w:tblGrid>
      <w:tr w:rsidR="008A1FD3" w14:paraId="07CCF117" w14:textId="77777777" w:rsidTr="008A1FD3">
        <w:trPr>
          <w:gridBefore w:val="2"/>
          <w:wBefore w:w="5093" w:type="dxa"/>
          <w:trHeight w:val="232"/>
        </w:trPr>
        <w:tc>
          <w:tcPr>
            <w:tcW w:w="3828" w:type="dxa"/>
            <w:gridSpan w:val="3"/>
            <w:shd w:val="clear" w:color="auto" w:fill="CCC0D9" w:themeFill="accent4" w:themeFillTint="66"/>
          </w:tcPr>
          <w:p w14:paraId="14B89230" w14:textId="77777777" w:rsidR="008A1FD3" w:rsidRPr="008A1FD3" w:rsidRDefault="008A1FD3" w:rsidP="008A1FD3">
            <w:pPr>
              <w:widowControl w:val="0"/>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 xml:space="preserve">                        Impact </w:t>
            </w:r>
          </w:p>
        </w:tc>
      </w:tr>
      <w:tr w:rsidR="008A1FD3" w14:paraId="79E041A6" w14:textId="77777777" w:rsidTr="008A1FD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c>
          <w:tcPr>
            <w:tcW w:w="3120" w:type="dxa"/>
            <w:shd w:val="clear" w:color="auto" w:fill="FFFF00"/>
            <w:tcMar>
              <w:top w:w="100" w:type="dxa"/>
              <w:left w:w="100" w:type="dxa"/>
              <w:bottom w:w="100" w:type="dxa"/>
              <w:right w:w="100" w:type="dxa"/>
            </w:tcMar>
          </w:tcPr>
          <w:p w14:paraId="5C49B4EE"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 xml:space="preserve">Risks </w:t>
            </w:r>
          </w:p>
        </w:tc>
        <w:tc>
          <w:tcPr>
            <w:tcW w:w="1973" w:type="dxa"/>
            <w:shd w:val="clear" w:color="auto" w:fill="FFFF00"/>
            <w:tcMar>
              <w:top w:w="100" w:type="dxa"/>
              <w:left w:w="100" w:type="dxa"/>
              <w:bottom w:w="100" w:type="dxa"/>
              <w:right w:w="100" w:type="dxa"/>
            </w:tcMar>
          </w:tcPr>
          <w:p w14:paraId="12AEE36F"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 xml:space="preserve">Likelihood </w:t>
            </w:r>
          </w:p>
        </w:tc>
        <w:tc>
          <w:tcPr>
            <w:tcW w:w="1418" w:type="dxa"/>
            <w:tcBorders>
              <w:right w:val="single" w:sz="4" w:space="0" w:color="auto"/>
            </w:tcBorders>
            <w:shd w:val="clear" w:color="auto" w:fill="FFFF00"/>
            <w:tcMar>
              <w:top w:w="100" w:type="dxa"/>
              <w:left w:w="100" w:type="dxa"/>
              <w:bottom w:w="100" w:type="dxa"/>
              <w:right w:w="100" w:type="dxa"/>
            </w:tcMar>
          </w:tcPr>
          <w:p w14:paraId="5A57CC0D"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High</w:t>
            </w:r>
          </w:p>
        </w:tc>
        <w:tc>
          <w:tcPr>
            <w:tcW w:w="1417" w:type="dxa"/>
            <w:tcBorders>
              <w:left w:val="single" w:sz="4" w:space="0" w:color="auto"/>
              <w:right w:val="single" w:sz="4" w:space="0" w:color="auto"/>
            </w:tcBorders>
            <w:shd w:val="clear" w:color="auto" w:fill="FFFF00"/>
          </w:tcPr>
          <w:p w14:paraId="753BE76F"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Medium</w:t>
            </w:r>
          </w:p>
        </w:tc>
        <w:tc>
          <w:tcPr>
            <w:tcW w:w="993" w:type="dxa"/>
            <w:tcBorders>
              <w:left w:val="single" w:sz="4" w:space="0" w:color="auto"/>
              <w:right w:val="single" w:sz="4" w:space="0" w:color="auto"/>
            </w:tcBorders>
            <w:shd w:val="clear" w:color="auto" w:fill="FFFF00"/>
          </w:tcPr>
          <w:p w14:paraId="162A8FED"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b/>
                <w:i/>
                <w:color w:val="2A2B2C"/>
                <w:sz w:val="24"/>
                <w:szCs w:val="24"/>
              </w:rPr>
            </w:pPr>
            <w:r w:rsidRPr="008A1FD3">
              <w:rPr>
                <w:rFonts w:ascii="Times New Roman" w:eastAsia="Times New Roman" w:hAnsi="Times New Roman" w:cs="Times New Roman"/>
                <w:b/>
                <w:i/>
                <w:color w:val="2A2B2C"/>
                <w:sz w:val="24"/>
                <w:szCs w:val="24"/>
              </w:rPr>
              <w:t>Low</w:t>
            </w:r>
          </w:p>
        </w:tc>
      </w:tr>
      <w:tr w:rsidR="008A1FD3" w14:paraId="19E67EEA" w14:textId="77777777" w:rsidTr="008A1FD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trHeight w:val="428"/>
        </w:trPr>
        <w:tc>
          <w:tcPr>
            <w:tcW w:w="3120" w:type="dxa"/>
            <w:tcBorders>
              <w:right w:val="single" w:sz="4" w:space="0" w:color="auto"/>
            </w:tcBorders>
            <w:shd w:val="clear" w:color="auto" w:fill="auto"/>
            <w:tcMar>
              <w:top w:w="100" w:type="dxa"/>
              <w:left w:w="100" w:type="dxa"/>
              <w:bottom w:w="100" w:type="dxa"/>
              <w:right w:w="100" w:type="dxa"/>
            </w:tcMar>
          </w:tcPr>
          <w:p w14:paraId="2B43733E" w14:textId="77777777" w:rsidR="008A1FD3" w:rsidRPr="007F593E"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Time crunch</w:t>
            </w:r>
          </w:p>
        </w:tc>
        <w:tc>
          <w:tcPr>
            <w:tcW w:w="1973" w:type="dxa"/>
            <w:tcBorders>
              <w:left w:val="single" w:sz="4" w:space="0" w:color="auto"/>
              <w:bottom w:val="single" w:sz="4" w:space="0" w:color="auto"/>
            </w:tcBorders>
            <w:shd w:val="clear" w:color="auto" w:fill="76923C" w:themeFill="accent3" w:themeFillShade="BF"/>
          </w:tcPr>
          <w:p w14:paraId="55A8E7C4" w14:textId="77777777" w:rsidR="008A1FD3" w:rsidRPr="007F593E"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p>
        </w:tc>
        <w:tc>
          <w:tcPr>
            <w:tcW w:w="1418" w:type="dxa"/>
            <w:tcBorders>
              <w:bottom w:val="single" w:sz="4" w:space="0" w:color="auto"/>
              <w:right w:val="single" w:sz="4" w:space="0" w:color="auto"/>
            </w:tcBorders>
            <w:shd w:val="clear" w:color="auto" w:fill="FF0000"/>
            <w:tcMar>
              <w:top w:w="100" w:type="dxa"/>
              <w:left w:w="100" w:type="dxa"/>
              <w:bottom w:w="100" w:type="dxa"/>
              <w:right w:w="100" w:type="dxa"/>
            </w:tcMar>
          </w:tcPr>
          <w:p w14:paraId="4BD026AA"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7" w:type="dxa"/>
            <w:tcBorders>
              <w:left w:val="single" w:sz="4" w:space="0" w:color="auto"/>
              <w:bottom w:val="single" w:sz="4" w:space="0" w:color="auto"/>
              <w:right w:val="single" w:sz="4" w:space="0" w:color="auto"/>
            </w:tcBorders>
            <w:shd w:val="clear" w:color="auto" w:fill="auto"/>
          </w:tcPr>
          <w:p w14:paraId="0B682725"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993" w:type="dxa"/>
            <w:tcBorders>
              <w:left w:val="single" w:sz="4" w:space="0" w:color="auto"/>
              <w:bottom w:val="single" w:sz="4" w:space="0" w:color="auto"/>
            </w:tcBorders>
            <w:shd w:val="clear" w:color="auto" w:fill="auto"/>
          </w:tcPr>
          <w:p w14:paraId="35B272AF"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r>
      <w:tr w:rsidR="008A1FD3" w14:paraId="36EC81B1" w14:textId="77777777" w:rsidTr="008A1FD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c>
          <w:tcPr>
            <w:tcW w:w="3120" w:type="dxa"/>
            <w:tcBorders>
              <w:right w:val="single" w:sz="4" w:space="0" w:color="auto"/>
            </w:tcBorders>
            <w:shd w:val="clear" w:color="auto" w:fill="auto"/>
            <w:tcMar>
              <w:top w:w="100" w:type="dxa"/>
              <w:left w:w="100" w:type="dxa"/>
              <w:bottom w:w="100" w:type="dxa"/>
              <w:right w:w="100" w:type="dxa"/>
            </w:tcMar>
          </w:tcPr>
          <w:p w14:paraId="3A9F9A98"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r>
              <w:rPr>
                <w:rFonts w:ascii="Times New Roman" w:eastAsia="Times New Roman" w:hAnsi="Times New Roman" w:cs="Times New Roman"/>
                <w:color w:val="2A2B2C"/>
                <w:sz w:val="24"/>
                <w:szCs w:val="24"/>
              </w:rPr>
              <w:t>Low performance</w:t>
            </w:r>
          </w:p>
        </w:tc>
        <w:tc>
          <w:tcPr>
            <w:tcW w:w="1973" w:type="dxa"/>
            <w:tcBorders>
              <w:left w:val="single" w:sz="4" w:space="0" w:color="auto"/>
              <w:bottom w:val="single" w:sz="4" w:space="0" w:color="auto"/>
            </w:tcBorders>
            <w:shd w:val="clear" w:color="auto" w:fill="943634" w:themeFill="accent2" w:themeFillShade="BF"/>
          </w:tcPr>
          <w:p w14:paraId="17FA8CEB"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8" w:type="dxa"/>
            <w:tcBorders>
              <w:top w:val="single" w:sz="4" w:space="0" w:color="auto"/>
              <w:bottom w:val="single" w:sz="4" w:space="0" w:color="auto"/>
              <w:right w:val="single" w:sz="4" w:space="0" w:color="auto"/>
            </w:tcBorders>
            <w:shd w:val="clear" w:color="auto" w:fill="auto"/>
            <w:tcMar>
              <w:top w:w="100" w:type="dxa"/>
              <w:left w:w="100" w:type="dxa"/>
              <w:bottom w:w="100" w:type="dxa"/>
              <w:right w:w="100" w:type="dxa"/>
            </w:tcMar>
          </w:tcPr>
          <w:p w14:paraId="01FCC2BB"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7" w:type="dxa"/>
            <w:tcBorders>
              <w:top w:val="single" w:sz="4" w:space="0" w:color="auto"/>
              <w:left w:val="single" w:sz="4" w:space="0" w:color="auto"/>
              <w:bottom w:val="single" w:sz="4" w:space="0" w:color="auto"/>
              <w:right w:val="single" w:sz="4" w:space="0" w:color="auto"/>
            </w:tcBorders>
            <w:shd w:val="clear" w:color="auto" w:fill="00B050"/>
          </w:tcPr>
          <w:p w14:paraId="58C72B9E"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993" w:type="dxa"/>
            <w:tcBorders>
              <w:top w:val="single" w:sz="4" w:space="0" w:color="auto"/>
              <w:left w:val="single" w:sz="4" w:space="0" w:color="auto"/>
              <w:bottom w:val="single" w:sz="4" w:space="0" w:color="auto"/>
            </w:tcBorders>
            <w:shd w:val="clear" w:color="auto" w:fill="auto"/>
          </w:tcPr>
          <w:p w14:paraId="6BE12244"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r>
      <w:tr w:rsidR="008A1FD3" w14:paraId="2158C5E8" w14:textId="77777777" w:rsidTr="008A1FD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c>
          <w:tcPr>
            <w:tcW w:w="3120" w:type="dxa"/>
            <w:tcBorders>
              <w:right w:val="single" w:sz="4" w:space="0" w:color="auto"/>
            </w:tcBorders>
            <w:shd w:val="clear" w:color="auto" w:fill="auto"/>
            <w:tcMar>
              <w:top w:w="100" w:type="dxa"/>
              <w:left w:w="100" w:type="dxa"/>
              <w:bottom w:w="100" w:type="dxa"/>
              <w:right w:w="100" w:type="dxa"/>
            </w:tcMar>
          </w:tcPr>
          <w:p w14:paraId="2A3827DD"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r>
              <w:rPr>
                <w:rFonts w:ascii="Times New Roman" w:eastAsia="Times New Roman" w:hAnsi="Times New Roman" w:cs="Times New Roman"/>
                <w:color w:val="2A2B2C"/>
                <w:sz w:val="24"/>
                <w:szCs w:val="24"/>
              </w:rPr>
              <w:t>Health and safety issues</w:t>
            </w:r>
          </w:p>
        </w:tc>
        <w:tc>
          <w:tcPr>
            <w:tcW w:w="1973" w:type="dxa"/>
            <w:tcBorders>
              <w:left w:val="single" w:sz="4" w:space="0" w:color="auto"/>
            </w:tcBorders>
            <w:shd w:val="clear" w:color="auto" w:fill="E36C0A" w:themeFill="accent6" w:themeFillShade="BF"/>
          </w:tcPr>
          <w:p w14:paraId="475E047A"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8" w:type="dxa"/>
            <w:tcBorders>
              <w:top w:val="single" w:sz="4" w:space="0" w:color="auto"/>
              <w:bottom w:val="single" w:sz="4" w:space="0" w:color="auto"/>
              <w:right w:val="single" w:sz="4" w:space="0" w:color="auto"/>
            </w:tcBorders>
            <w:shd w:val="clear" w:color="auto" w:fill="auto"/>
            <w:tcMar>
              <w:top w:w="100" w:type="dxa"/>
              <w:left w:w="100" w:type="dxa"/>
              <w:bottom w:w="100" w:type="dxa"/>
              <w:right w:w="100" w:type="dxa"/>
            </w:tcMar>
          </w:tcPr>
          <w:p w14:paraId="7CDEA930"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7" w:type="dxa"/>
            <w:tcBorders>
              <w:top w:val="single" w:sz="4" w:space="0" w:color="auto"/>
              <w:left w:val="single" w:sz="4" w:space="0" w:color="auto"/>
              <w:bottom w:val="single" w:sz="4" w:space="0" w:color="auto"/>
              <w:right w:val="single" w:sz="4" w:space="0" w:color="auto"/>
            </w:tcBorders>
            <w:shd w:val="clear" w:color="auto" w:fill="00B050"/>
          </w:tcPr>
          <w:p w14:paraId="050D93B9"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993" w:type="dxa"/>
            <w:tcBorders>
              <w:top w:val="single" w:sz="4" w:space="0" w:color="auto"/>
              <w:left w:val="single" w:sz="4" w:space="0" w:color="auto"/>
              <w:bottom w:val="single" w:sz="4" w:space="0" w:color="auto"/>
            </w:tcBorders>
            <w:shd w:val="clear" w:color="auto" w:fill="auto"/>
          </w:tcPr>
          <w:p w14:paraId="74E8C84A"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r>
      <w:tr w:rsidR="008A1FD3" w14:paraId="285A6557" w14:textId="77777777" w:rsidTr="008A1FD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c>
          <w:tcPr>
            <w:tcW w:w="3120" w:type="dxa"/>
            <w:tcBorders>
              <w:right w:val="single" w:sz="4" w:space="0" w:color="auto"/>
            </w:tcBorders>
            <w:shd w:val="clear" w:color="auto" w:fill="auto"/>
            <w:tcMar>
              <w:top w:w="100" w:type="dxa"/>
              <w:left w:w="100" w:type="dxa"/>
              <w:bottom w:w="100" w:type="dxa"/>
              <w:right w:w="100" w:type="dxa"/>
            </w:tcMar>
          </w:tcPr>
          <w:p w14:paraId="65AD150B"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r>
              <w:rPr>
                <w:rFonts w:ascii="Times New Roman" w:eastAsia="Times New Roman" w:hAnsi="Times New Roman" w:cs="Times New Roman"/>
                <w:color w:val="2A2B2C"/>
                <w:sz w:val="24"/>
                <w:szCs w:val="24"/>
              </w:rPr>
              <w:t xml:space="preserve">High costs </w:t>
            </w:r>
          </w:p>
        </w:tc>
        <w:tc>
          <w:tcPr>
            <w:tcW w:w="1973" w:type="dxa"/>
            <w:tcBorders>
              <w:left w:val="single" w:sz="4" w:space="0" w:color="auto"/>
            </w:tcBorders>
            <w:shd w:val="clear" w:color="auto" w:fill="FABF8F" w:themeFill="accent6" w:themeFillTint="99"/>
          </w:tcPr>
          <w:p w14:paraId="3C0D36F1"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1418" w:type="dxa"/>
            <w:tcBorders>
              <w:top w:val="single" w:sz="4" w:space="0" w:color="auto"/>
              <w:right w:val="single" w:sz="4" w:space="0" w:color="auto"/>
            </w:tcBorders>
            <w:shd w:val="clear" w:color="auto" w:fill="FF0000"/>
            <w:tcMar>
              <w:top w:w="100" w:type="dxa"/>
              <w:left w:w="100" w:type="dxa"/>
              <w:bottom w:w="100" w:type="dxa"/>
              <w:right w:w="100" w:type="dxa"/>
            </w:tcMar>
          </w:tcPr>
          <w:p w14:paraId="62017D43" w14:textId="77777777" w:rsidR="008A1FD3" w:rsidRP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FF0000"/>
                <w:sz w:val="24"/>
                <w:szCs w:val="24"/>
              </w:rPr>
            </w:pPr>
          </w:p>
        </w:tc>
        <w:tc>
          <w:tcPr>
            <w:tcW w:w="1417" w:type="dxa"/>
            <w:tcBorders>
              <w:top w:val="single" w:sz="4" w:space="0" w:color="auto"/>
              <w:left w:val="single" w:sz="4" w:space="0" w:color="auto"/>
              <w:right w:val="single" w:sz="4" w:space="0" w:color="auto"/>
            </w:tcBorders>
            <w:shd w:val="clear" w:color="auto" w:fill="auto"/>
          </w:tcPr>
          <w:p w14:paraId="6E2F58A4"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c>
          <w:tcPr>
            <w:tcW w:w="993" w:type="dxa"/>
            <w:tcBorders>
              <w:top w:val="single" w:sz="4" w:space="0" w:color="auto"/>
              <w:left w:val="single" w:sz="4" w:space="0" w:color="auto"/>
            </w:tcBorders>
            <w:shd w:val="clear" w:color="auto" w:fill="auto"/>
          </w:tcPr>
          <w:p w14:paraId="29687B99" w14:textId="77777777" w:rsidR="008A1FD3" w:rsidRDefault="008A1FD3" w:rsidP="008A1FD3">
            <w:pPr>
              <w:widowControl w:val="0"/>
              <w:pBdr>
                <w:top w:val="nil"/>
                <w:left w:val="nil"/>
                <w:bottom w:val="nil"/>
                <w:right w:val="nil"/>
                <w:between w:val="nil"/>
              </w:pBdr>
              <w:spacing w:line="240" w:lineRule="auto"/>
              <w:rPr>
                <w:rFonts w:ascii="Times New Roman" w:eastAsia="Times New Roman" w:hAnsi="Times New Roman" w:cs="Times New Roman"/>
                <w:color w:val="2A2B2C"/>
                <w:sz w:val="24"/>
                <w:szCs w:val="24"/>
              </w:rPr>
            </w:pPr>
          </w:p>
        </w:tc>
      </w:tr>
    </w:tbl>
    <w:p w14:paraId="2EEE7C65" w14:textId="77777777" w:rsidR="00AD272F" w:rsidRDefault="00AD272F">
      <w:pPr>
        <w:spacing w:line="360" w:lineRule="auto"/>
        <w:jc w:val="both"/>
        <w:rPr>
          <w:rFonts w:ascii="Times New Roman" w:eastAsia="Times New Roman" w:hAnsi="Times New Roman" w:cs="Times New Roman"/>
          <w:color w:val="2A2B2C"/>
          <w:sz w:val="24"/>
          <w:szCs w:val="24"/>
        </w:rPr>
      </w:pPr>
    </w:p>
    <w:p w14:paraId="0E26F49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Deciding the project budget is the next important element included in a project management plan. The budget is the money allotted to complete the project and the project manager is given the responsibility to ensure that the financial resources are utilised properly. In September 2003, the Transport for London, Department for Transport and the Cross London Railway Links Ltd, had proposed the decision of investing in the project (</w:t>
      </w:r>
      <w:proofErr w:type="spellStart"/>
      <w:r>
        <w:rPr>
          <w:rFonts w:ascii="Times New Roman" w:eastAsia="Times New Roman" w:hAnsi="Times New Roman" w:cs="Times New Roman"/>
          <w:sz w:val="24"/>
          <w:szCs w:val="24"/>
        </w:rPr>
        <w:t>Haylen</w:t>
      </w:r>
      <w:proofErr w:type="spellEnd"/>
      <w:r>
        <w:rPr>
          <w:rFonts w:ascii="Times New Roman" w:eastAsia="Times New Roman" w:hAnsi="Times New Roman" w:cs="Times New Roman"/>
          <w:sz w:val="24"/>
          <w:szCs w:val="24"/>
        </w:rPr>
        <w:t xml:space="preserve">, 2019). The Crossrail project has been expected to have a benefit-cost-ratio of 1.80 including user benefits of around 16 billion Euros delivered through </w:t>
      </w:r>
    </w:p>
    <w:p w14:paraId="07827D7C" w14:textId="77777777" w:rsidR="00AD272F" w:rsidRDefault="00FA437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to mobility disabled passengers</w:t>
      </w:r>
    </w:p>
    <w:p w14:paraId="3414A0BD" w14:textId="77777777" w:rsidR="00AD272F" w:rsidRDefault="00FA437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savings</w:t>
      </w:r>
    </w:p>
    <w:p w14:paraId="16675053" w14:textId="77777777" w:rsidR="00AD272F" w:rsidRDefault="00FA437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Reduction in crowding and increased comfort</w:t>
      </w:r>
    </w:p>
    <w:p w14:paraId="14813594" w14:textId="77777777" w:rsidR="00AD272F" w:rsidRDefault="00FA437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savings of operating highway vehicles</w:t>
      </w:r>
    </w:p>
    <w:p w14:paraId="3BF135CC" w14:textId="77777777" w:rsidR="00AD272F" w:rsidRDefault="00FA437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Reduction in accidents</w:t>
      </w:r>
    </w:p>
    <w:p w14:paraId="2FA9B471"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2014, the business case was reviewed by the Secretariat of the State and then confirmed the requirement for the project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although with a concern over the deliverability of this project. </w:t>
      </w:r>
    </w:p>
    <w:p w14:paraId="1C7C2B05" w14:textId="77777777" w:rsidR="00AD272F" w:rsidRDefault="00AD272F">
      <w:pPr>
        <w:spacing w:line="360" w:lineRule="auto"/>
        <w:jc w:val="both"/>
        <w:rPr>
          <w:rFonts w:ascii="Times New Roman" w:eastAsia="Times New Roman" w:hAnsi="Times New Roman" w:cs="Times New Roman"/>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AD272F" w14:paraId="31D6FBBA" w14:textId="77777777">
        <w:tc>
          <w:tcPr>
            <w:tcW w:w="9360" w:type="dxa"/>
            <w:shd w:val="clear" w:color="auto" w:fill="auto"/>
            <w:tcMar>
              <w:top w:w="100" w:type="dxa"/>
              <w:left w:w="100" w:type="dxa"/>
              <w:bottom w:w="100" w:type="dxa"/>
              <w:right w:w="100" w:type="dxa"/>
            </w:tcMar>
          </w:tcPr>
          <w:p w14:paraId="628B1BBB" w14:textId="77777777" w:rsidR="00AD272F" w:rsidRDefault="00FA4376">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Expenditure and Funding </w:t>
            </w:r>
            <w:r w:rsidR="007F593E">
              <w:rPr>
                <w:rFonts w:ascii="Times New Roman" w:eastAsia="Times New Roman" w:hAnsi="Times New Roman" w:cs="Times New Roman"/>
                <w:b/>
                <w:sz w:val="24"/>
                <w:szCs w:val="24"/>
              </w:rPr>
              <w:t>for</w:t>
            </w:r>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CrossRail</w:t>
            </w:r>
            <w:proofErr w:type="spellEnd"/>
            <w:r>
              <w:rPr>
                <w:rFonts w:ascii="Times New Roman" w:eastAsia="Times New Roman" w:hAnsi="Times New Roman" w:cs="Times New Roman"/>
                <w:b/>
                <w:sz w:val="24"/>
                <w:szCs w:val="24"/>
              </w:rPr>
              <w:t xml:space="preserve"> (£bn)</w:t>
            </w:r>
          </w:p>
          <w:tbl>
            <w:tblPr>
              <w:tblStyle w:val="a2"/>
              <w:tblW w:w="9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0"/>
              <w:gridCol w:w="2290"/>
              <w:gridCol w:w="2290"/>
              <w:gridCol w:w="2290"/>
            </w:tblGrid>
            <w:tr w:rsidR="00AD272F" w14:paraId="55D9E6A6" w14:textId="77777777">
              <w:tc>
                <w:tcPr>
                  <w:tcW w:w="2290" w:type="dxa"/>
                  <w:shd w:val="clear" w:color="auto" w:fill="auto"/>
                  <w:tcMar>
                    <w:top w:w="100" w:type="dxa"/>
                    <w:left w:w="100" w:type="dxa"/>
                    <w:bottom w:w="100" w:type="dxa"/>
                    <w:right w:w="100" w:type="dxa"/>
                  </w:tcMar>
                </w:tcPr>
                <w:p w14:paraId="0DB3C8A0" w14:textId="77777777" w:rsidR="00AD272F" w:rsidRDefault="00AD272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290" w:type="dxa"/>
                  <w:shd w:val="clear" w:color="auto" w:fill="auto"/>
                  <w:tcMar>
                    <w:top w:w="100" w:type="dxa"/>
                    <w:left w:w="100" w:type="dxa"/>
                    <w:bottom w:w="100" w:type="dxa"/>
                    <w:right w:w="100" w:type="dxa"/>
                  </w:tcMar>
                </w:tcPr>
                <w:p w14:paraId="452466FC"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Total funding amounts provided to Crossrail Ltd by the Department for Transport (DfT) and TfL in relation to the </w:t>
                  </w:r>
                  <w:r>
                    <w:rPr>
                      <w:rFonts w:ascii="Times New Roman" w:eastAsia="Times New Roman" w:hAnsi="Times New Roman" w:cs="Times New Roman"/>
                      <w:b/>
                      <w:i/>
                      <w:sz w:val="24"/>
                      <w:szCs w:val="24"/>
                    </w:rPr>
                    <w:lastRenderedPageBreak/>
                    <w:t>construction of Crossrail</w:t>
                  </w:r>
                </w:p>
              </w:tc>
              <w:tc>
                <w:tcPr>
                  <w:tcW w:w="2290" w:type="dxa"/>
                  <w:shd w:val="clear" w:color="auto" w:fill="auto"/>
                  <w:tcMar>
                    <w:top w:w="100" w:type="dxa"/>
                    <w:left w:w="100" w:type="dxa"/>
                    <w:bottom w:w="100" w:type="dxa"/>
                    <w:right w:w="100" w:type="dxa"/>
                  </w:tcMar>
                </w:tcPr>
                <w:p w14:paraId="208FA89E"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Expenditure incurred by Crossrail Ltd in relation to the construction of Crossrail (excluding </w:t>
                  </w:r>
                  <w:r>
                    <w:rPr>
                      <w:rFonts w:ascii="Times New Roman" w:eastAsia="Times New Roman" w:hAnsi="Times New Roman" w:cs="Times New Roman"/>
                      <w:b/>
                      <w:i/>
                      <w:sz w:val="24"/>
                      <w:szCs w:val="24"/>
                    </w:rPr>
                    <w:lastRenderedPageBreak/>
                    <w:t>recoverable VAT on Land and Property purchases)</w:t>
                  </w:r>
                </w:p>
              </w:tc>
              <w:tc>
                <w:tcPr>
                  <w:tcW w:w="2290" w:type="dxa"/>
                  <w:shd w:val="clear" w:color="auto" w:fill="auto"/>
                  <w:tcMar>
                    <w:top w:w="100" w:type="dxa"/>
                    <w:left w:w="100" w:type="dxa"/>
                    <w:bottom w:w="100" w:type="dxa"/>
                    <w:right w:w="100" w:type="dxa"/>
                  </w:tcMar>
                </w:tcPr>
                <w:p w14:paraId="42446B6C"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Total expenditure incurred by Crossrail Limited in relation to the construction of Crossrail (excluding </w:t>
                  </w:r>
                  <w:r>
                    <w:rPr>
                      <w:rFonts w:ascii="Times New Roman" w:eastAsia="Times New Roman" w:hAnsi="Times New Roman" w:cs="Times New Roman"/>
                      <w:b/>
                      <w:i/>
                      <w:sz w:val="24"/>
                      <w:szCs w:val="24"/>
                    </w:rPr>
                    <w:lastRenderedPageBreak/>
                    <w:t>recoverable VAT on Land and Property purchases)</w:t>
                  </w:r>
                </w:p>
              </w:tc>
            </w:tr>
            <w:tr w:rsidR="00AD272F" w14:paraId="0EDBAB3F" w14:textId="77777777">
              <w:tc>
                <w:tcPr>
                  <w:tcW w:w="2290" w:type="dxa"/>
                  <w:shd w:val="clear" w:color="auto" w:fill="auto"/>
                  <w:tcMar>
                    <w:top w:w="100" w:type="dxa"/>
                    <w:left w:w="100" w:type="dxa"/>
                    <w:bottom w:w="100" w:type="dxa"/>
                    <w:right w:w="100" w:type="dxa"/>
                  </w:tcMar>
                </w:tcPr>
                <w:p w14:paraId="23725509"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2008/09 </w:t>
                  </w:r>
                </w:p>
              </w:tc>
              <w:tc>
                <w:tcPr>
                  <w:tcW w:w="2290" w:type="dxa"/>
                  <w:shd w:val="clear" w:color="auto" w:fill="auto"/>
                  <w:tcMar>
                    <w:top w:w="100" w:type="dxa"/>
                    <w:left w:w="100" w:type="dxa"/>
                    <w:bottom w:w="100" w:type="dxa"/>
                    <w:right w:w="100" w:type="dxa"/>
                  </w:tcMar>
                </w:tcPr>
                <w:p w14:paraId="7434EEDE"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0.20 </w:t>
                  </w:r>
                </w:p>
              </w:tc>
              <w:tc>
                <w:tcPr>
                  <w:tcW w:w="2290" w:type="dxa"/>
                  <w:shd w:val="clear" w:color="auto" w:fill="auto"/>
                  <w:tcMar>
                    <w:top w:w="100" w:type="dxa"/>
                    <w:left w:w="100" w:type="dxa"/>
                    <w:bottom w:w="100" w:type="dxa"/>
                    <w:right w:w="100" w:type="dxa"/>
                  </w:tcMar>
                </w:tcPr>
                <w:p w14:paraId="2DBCA81F"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0.20</w:t>
                  </w:r>
                </w:p>
              </w:tc>
              <w:tc>
                <w:tcPr>
                  <w:tcW w:w="2290" w:type="dxa"/>
                  <w:shd w:val="clear" w:color="auto" w:fill="auto"/>
                  <w:tcMar>
                    <w:top w:w="100" w:type="dxa"/>
                    <w:left w:w="100" w:type="dxa"/>
                    <w:bottom w:w="100" w:type="dxa"/>
                    <w:right w:w="100" w:type="dxa"/>
                  </w:tcMar>
                </w:tcPr>
                <w:p w14:paraId="398A6F46" w14:textId="77777777" w:rsidR="00AD272F" w:rsidRDefault="00AD272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AD272F" w14:paraId="5CDAA8AA" w14:textId="77777777">
              <w:tc>
                <w:tcPr>
                  <w:tcW w:w="2290" w:type="dxa"/>
                  <w:shd w:val="clear" w:color="auto" w:fill="auto"/>
                  <w:tcMar>
                    <w:top w:w="100" w:type="dxa"/>
                    <w:left w:w="100" w:type="dxa"/>
                    <w:bottom w:w="100" w:type="dxa"/>
                    <w:right w:w="100" w:type="dxa"/>
                  </w:tcMar>
                </w:tcPr>
                <w:p w14:paraId="1C45490F"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2009/10</w:t>
                  </w:r>
                </w:p>
              </w:tc>
              <w:tc>
                <w:tcPr>
                  <w:tcW w:w="2290" w:type="dxa"/>
                  <w:shd w:val="clear" w:color="auto" w:fill="auto"/>
                  <w:tcMar>
                    <w:top w:w="100" w:type="dxa"/>
                    <w:left w:w="100" w:type="dxa"/>
                    <w:bottom w:w="100" w:type="dxa"/>
                    <w:right w:w="100" w:type="dxa"/>
                  </w:tcMar>
                </w:tcPr>
                <w:p w14:paraId="29108EA1"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0.77</w:t>
                  </w:r>
                </w:p>
              </w:tc>
              <w:tc>
                <w:tcPr>
                  <w:tcW w:w="2290" w:type="dxa"/>
                  <w:shd w:val="clear" w:color="auto" w:fill="auto"/>
                  <w:tcMar>
                    <w:top w:w="100" w:type="dxa"/>
                    <w:left w:w="100" w:type="dxa"/>
                    <w:bottom w:w="100" w:type="dxa"/>
                    <w:right w:w="100" w:type="dxa"/>
                  </w:tcMar>
                </w:tcPr>
                <w:p w14:paraId="7B3C8995"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0.96</w:t>
                  </w:r>
                </w:p>
              </w:tc>
              <w:tc>
                <w:tcPr>
                  <w:tcW w:w="2290" w:type="dxa"/>
                  <w:shd w:val="clear" w:color="auto" w:fill="auto"/>
                  <w:tcMar>
                    <w:top w:w="100" w:type="dxa"/>
                    <w:left w:w="100" w:type="dxa"/>
                    <w:bottom w:w="100" w:type="dxa"/>
                    <w:right w:w="100" w:type="dxa"/>
                  </w:tcMar>
                </w:tcPr>
                <w:p w14:paraId="5C7703D3"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1.16</w:t>
                  </w:r>
                </w:p>
              </w:tc>
            </w:tr>
            <w:tr w:rsidR="00AD272F" w14:paraId="60EF2537" w14:textId="77777777">
              <w:tc>
                <w:tcPr>
                  <w:tcW w:w="2290" w:type="dxa"/>
                  <w:shd w:val="clear" w:color="auto" w:fill="auto"/>
                  <w:tcMar>
                    <w:top w:w="100" w:type="dxa"/>
                    <w:left w:w="100" w:type="dxa"/>
                    <w:bottom w:w="100" w:type="dxa"/>
                    <w:right w:w="100" w:type="dxa"/>
                  </w:tcMar>
                </w:tcPr>
                <w:p w14:paraId="4B857AFE"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2010/11</w:t>
                  </w:r>
                </w:p>
              </w:tc>
              <w:tc>
                <w:tcPr>
                  <w:tcW w:w="2290" w:type="dxa"/>
                  <w:shd w:val="clear" w:color="auto" w:fill="auto"/>
                  <w:tcMar>
                    <w:top w:w="100" w:type="dxa"/>
                    <w:left w:w="100" w:type="dxa"/>
                    <w:bottom w:w="100" w:type="dxa"/>
                    <w:right w:w="100" w:type="dxa"/>
                  </w:tcMar>
                </w:tcPr>
                <w:p w14:paraId="5ACC3811"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1.48</w:t>
                  </w:r>
                </w:p>
              </w:tc>
              <w:tc>
                <w:tcPr>
                  <w:tcW w:w="2290" w:type="dxa"/>
                  <w:shd w:val="clear" w:color="auto" w:fill="auto"/>
                  <w:tcMar>
                    <w:top w:w="100" w:type="dxa"/>
                    <w:left w:w="100" w:type="dxa"/>
                    <w:bottom w:w="100" w:type="dxa"/>
                    <w:right w:w="100" w:type="dxa"/>
                  </w:tcMar>
                </w:tcPr>
                <w:p w14:paraId="678FBD30"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0.72</w:t>
                  </w:r>
                </w:p>
              </w:tc>
              <w:tc>
                <w:tcPr>
                  <w:tcW w:w="2290" w:type="dxa"/>
                  <w:shd w:val="clear" w:color="auto" w:fill="auto"/>
                  <w:tcMar>
                    <w:top w:w="100" w:type="dxa"/>
                    <w:left w:w="100" w:type="dxa"/>
                    <w:bottom w:w="100" w:type="dxa"/>
                    <w:right w:w="100" w:type="dxa"/>
                  </w:tcMar>
                </w:tcPr>
                <w:p w14:paraId="1059D28D"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1.88</w:t>
                  </w:r>
                </w:p>
              </w:tc>
            </w:tr>
            <w:tr w:rsidR="00AD272F" w14:paraId="20B19195" w14:textId="77777777">
              <w:tc>
                <w:tcPr>
                  <w:tcW w:w="2290" w:type="dxa"/>
                  <w:shd w:val="clear" w:color="auto" w:fill="auto"/>
                  <w:tcMar>
                    <w:top w:w="100" w:type="dxa"/>
                    <w:left w:w="100" w:type="dxa"/>
                    <w:bottom w:w="100" w:type="dxa"/>
                    <w:right w:w="100" w:type="dxa"/>
                  </w:tcMar>
                </w:tcPr>
                <w:p w14:paraId="51739F72"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2011/12</w:t>
                  </w:r>
                </w:p>
              </w:tc>
              <w:tc>
                <w:tcPr>
                  <w:tcW w:w="2290" w:type="dxa"/>
                  <w:shd w:val="clear" w:color="auto" w:fill="auto"/>
                  <w:tcMar>
                    <w:top w:w="100" w:type="dxa"/>
                    <w:left w:w="100" w:type="dxa"/>
                    <w:bottom w:w="100" w:type="dxa"/>
                    <w:right w:w="100" w:type="dxa"/>
                  </w:tcMar>
                </w:tcPr>
                <w:p w14:paraId="5BB8CAE7"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2.75 </w:t>
                  </w:r>
                </w:p>
              </w:tc>
              <w:tc>
                <w:tcPr>
                  <w:tcW w:w="2290" w:type="dxa"/>
                  <w:shd w:val="clear" w:color="auto" w:fill="auto"/>
                  <w:tcMar>
                    <w:top w:w="100" w:type="dxa"/>
                    <w:left w:w="100" w:type="dxa"/>
                    <w:bottom w:w="100" w:type="dxa"/>
                    <w:right w:w="100" w:type="dxa"/>
                  </w:tcMar>
                </w:tcPr>
                <w:p w14:paraId="5B4CEEBC"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1.04</w:t>
                  </w:r>
                </w:p>
              </w:tc>
              <w:tc>
                <w:tcPr>
                  <w:tcW w:w="2290" w:type="dxa"/>
                  <w:shd w:val="clear" w:color="auto" w:fill="auto"/>
                  <w:tcMar>
                    <w:top w:w="100" w:type="dxa"/>
                    <w:left w:w="100" w:type="dxa"/>
                    <w:bottom w:w="100" w:type="dxa"/>
                    <w:right w:w="100" w:type="dxa"/>
                  </w:tcMar>
                </w:tcPr>
                <w:p w14:paraId="316F94F0"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2.93</w:t>
                  </w:r>
                </w:p>
              </w:tc>
            </w:tr>
            <w:tr w:rsidR="00AD272F" w14:paraId="1A960ACB" w14:textId="77777777">
              <w:tc>
                <w:tcPr>
                  <w:tcW w:w="2290" w:type="dxa"/>
                  <w:shd w:val="clear" w:color="auto" w:fill="auto"/>
                  <w:tcMar>
                    <w:top w:w="100" w:type="dxa"/>
                    <w:left w:w="100" w:type="dxa"/>
                    <w:bottom w:w="100" w:type="dxa"/>
                    <w:right w:w="100" w:type="dxa"/>
                  </w:tcMar>
                </w:tcPr>
                <w:p w14:paraId="572AC52A"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2012/13</w:t>
                  </w:r>
                </w:p>
              </w:tc>
              <w:tc>
                <w:tcPr>
                  <w:tcW w:w="2290" w:type="dxa"/>
                  <w:shd w:val="clear" w:color="auto" w:fill="auto"/>
                  <w:tcMar>
                    <w:top w:w="100" w:type="dxa"/>
                    <w:left w:w="100" w:type="dxa"/>
                    <w:bottom w:w="100" w:type="dxa"/>
                    <w:right w:w="100" w:type="dxa"/>
                  </w:tcMar>
                </w:tcPr>
                <w:p w14:paraId="1EDAB367"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4.26</w:t>
                  </w:r>
                </w:p>
              </w:tc>
              <w:tc>
                <w:tcPr>
                  <w:tcW w:w="2290" w:type="dxa"/>
                  <w:shd w:val="clear" w:color="auto" w:fill="auto"/>
                  <w:tcMar>
                    <w:top w:w="100" w:type="dxa"/>
                    <w:left w:w="100" w:type="dxa"/>
                    <w:bottom w:w="100" w:type="dxa"/>
                    <w:right w:w="100" w:type="dxa"/>
                  </w:tcMar>
                </w:tcPr>
                <w:p w14:paraId="47213369"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1.51</w:t>
                  </w:r>
                </w:p>
              </w:tc>
              <w:tc>
                <w:tcPr>
                  <w:tcW w:w="2290" w:type="dxa"/>
                  <w:shd w:val="clear" w:color="auto" w:fill="auto"/>
                  <w:tcMar>
                    <w:top w:w="100" w:type="dxa"/>
                    <w:left w:w="100" w:type="dxa"/>
                    <w:bottom w:w="100" w:type="dxa"/>
                    <w:right w:w="100" w:type="dxa"/>
                  </w:tcMar>
                </w:tcPr>
                <w:p w14:paraId="5FBE1770"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4.43</w:t>
                  </w:r>
                </w:p>
              </w:tc>
            </w:tr>
            <w:tr w:rsidR="00AD272F" w14:paraId="47DFF14C" w14:textId="77777777">
              <w:tc>
                <w:tcPr>
                  <w:tcW w:w="2290" w:type="dxa"/>
                  <w:shd w:val="clear" w:color="auto" w:fill="auto"/>
                  <w:tcMar>
                    <w:top w:w="100" w:type="dxa"/>
                    <w:left w:w="100" w:type="dxa"/>
                    <w:bottom w:w="100" w:type="dxa"/>
                    <w:right w:w="100" w:type="dxa"/>
                  </w:tcMar>
                </w:tcPr>
                <w:p w14:paraId="0928BED4"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2013/14</w:t>
                  </w:r>
                </w:p>
              </w:tc>
              <w:tc>
                <w:tcPr>
                  <w:tcW w:w="2290" w:type="dxa"/>
                  <w:shd w:val="clear" w:color="auto" w:fill="auto"/>
                  <w:tcMar>
                    <w:top w:w="100" w:type="dxa"/>
                    <w:left w:w="100" w:type="dxa"/>
                    <w:bottom w:w="100" w:type="dxa"/>
                    <w:right w:w="100" w:type="dxa"/>
                  </w:tcMar>
                </w:tcPr>
                <w:p w14:paraId="7B2D7D84"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5.98</w:t>
                  </w:r>
                </w:p>
              </w:tc>
              <w:tc>
                <w:tcPr>
                  <w:tcW w:w="2290" w:type="dxa"/>
                  <w:shd w:val="clear" w:color="auto" w:fill="auto"/>
                  <w:tcMar>
                    <w:top w:w="100" w:type="dxa"/>
                    <w:left w:w="100" w:type="dxa"/>
                    <w:bottom w:w="100" w:type="dxa"/>
                    <w:right w:w="100" w:type="dxa"/>
                  </w:tcMar>
                </w:tcPr>
                <w:p w14:paraId="1B351B21"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1.58</w:t>
                  </w:r>
                </w:p>
              </w:tc>
              <w:tc>
                <w:tcPr>
                  <w:tcW w:w="2290" w:type="dxa"/>
                  <w:shd w:val="clear" w:color="auto" w:fill="auto"/>
                  <w:tcMar>
                    <w:top w:w="100" w:type="dxa"/>
                    <w:left w:w="100" w:type="dxa"/>
                    <w:bottom w:w="100" w:type="dxa"/>
                    <w:right w:w="100" w:type="dxa"/>
                  </w:tcMar>
                </w:tcPr>
                <w:p w14:paraId="5F5E834C"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6.01</w:t>
                  </w:r>
                </w:p>
              </w:tc>
            </w:tr>
            <w:tr w:rsidR="00AD272F" w14:paraId="1F198A3C" w14:textId="77777777">
              <w:tc>
                <w:tcPr>
                  <w:tcW w:w="2290" w:type="dxa"/>
                  <w:shd w:val="clear" w:color="auto" w:fill="auto"/>
                  <w:tcMar>
                    <w:top w:w="100" w:type="dxa"/>
                    <w:left w:w="100" w:type="dxa"/>
                    <w:bottom w:w="100" w:type="dxa"/>
                    <w:right w:w="100" w:type="dxa"/>
                  </w:tcMar>
                </w:tcPr>
                <w:p w14:paraId="7538BFA8"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2014/15</w:t>
                  </w:r>
                </w:p>
              </w:tc>
              <w:tc>
                <w:tcPr>
                  <w:tcW w:w="2290" w:type="dxa"/>
                  <w:shd w:val="clear" w:color="auto" w:fill="auto"/>
                  <w:tcMar>
                    <w:top w:w="100" w:type="dxa"/>
                    <w:left w:w="100" w:type="dxa"/>
                    <w:bottom w:w="100" w:type="dxa"/>
                    <w:right w:w="100" w:type="dxa"/>
                  </w:tcMar>
                </w:tcPr>
                <w:p w14:paraId="1D1D8213"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7.95</w:t>
                  </w:r>
                </w:p>
              </w:tc>
              <w:tc>
                <w:tcPr>
                  <w:tcW w:w="2290" w:type="dxa"/>
                  <w:shd w:val="clear" w:color="auto" w:fill="auto"/>
                  <w:tcMar>
                    <w:top w:w="100" w:type="dxa"/>
                    <w:left w:w="100" w:type="dxa"/>
                    <w:bottom w:w="100" w:type="dxa"/>
                    <w:right w:w="100" w:type="dxa"/>
                  </w:tcMar>
                </w:tcPr>
                <w:p w14:paraId="1013D810"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1.58</w:t>
                  </w:r>
                </w:p>
              </w:tc>
              <w:tc>
                <w:tcPr>
                  <w:tcW w:w="2290" w:type="dxa"/>
                  <w:shd w:val="clear" w:color="auto" w:fill="auto"/>
                  <w:tcMar>
                    <w:top w:w="100" w:type="dxa"/>
                    <w:left w:w="100" w:type="dxa"/>
                    <w:bottom w:w="100" w:type="dxa"/>
                    <w:right w:w="100" w:type="dxa"/>
                  </w:tcMar>
                </w:tcPr>
                <w:p w14:paraId="6454AA63"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7.65</w:t>
                  </w:r>
                </w:p>
              </w:tc>
            </w:tr>
            <w:tr w:rsidR="00AD272F" w14:paraId="31BACC4B" w14:textId="77777777">
              <w:tc>
                <w:tcPr>
                  <w:tcW w:w="2290" w:type="dxa"/>
                  <w:shd w:val="clear" w:color="auto" w:fill="auto"/>
                  <w:tcMar>
                    <w:top w:w="100" w:type="dxa"/>
                    <w:left w:w="100" w:type="dxa"/>
                    <w:bottom w:w="100" w:type="dxa"/>
                    <w:right w:w="100" w:type="dxa"/>
                  </w:tcMar>
                </w:tcPr>
                <w:p w14:paraId="31D8D359"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2015/16</w:t>
                  </w:r>
                </w:p>
              </w:tc>
              <w:tc>
                <w:tcPr>
                  <w:tcW w:w="2290" w:type="dxa"/>
                  <w:shd w:val="clear" w:color="auto" w:fill="auto"/>
                  <w:tcMar>
                    <w:top w:w="100" w:type="dxa"/>
                    <w:left w:w="100" w:type="dxa"/>
                    <w:bottom w:w="100" w:type="dxa"/>
                    <w:right w:w="100" w:type="dxa"/>
                  </w:tcMar>
                </w:tcPr>
                <w:p w14:paraId="6630D5F8"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10.00 </w:t>
                  </w:r>
                </w:p>
              </w:tc>
              <w:tc>
                <w:tcPr>
                  <w:tcW w:w="2290" w:type="dxa"/>
                  <w:shd w:val="clear" w:color="auto" w:fill="auto"/>
                  <w:tcMar>
                    <w:top w:w="100" w:type="dxa"/>
                    <w:left w:w="100" w:type="dxa"/>
                    <w:bottom w:w="100" w:type="dxa"/>
                    <w:right w:w="100" w:type="dxa"/>
                  </w:tcMar>
                </w:tcPr>
                <w:p w14:paraId="7A8D86B9"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w:t>
                  </w:r>
                </w:p>
              </w:tc>
              <w:tc>
                <w:tcPr>
                  <w:tcW w:w="2290" w:type="dxa"/>
                  <w:shd w:val="clear" w:color="auto" w:fill="auto"/>
                  <w:tcMar>
                    <w:top w:w="100" w:type="dxa"/>
                    <w:left w:w="100" w:type="dxa"/>
                    <w:bottom w:w="100" w:type="dxa"/>
                    <w:right w:w="100" w:type="dxa"/>
                  </w:tcMar>
                </w:tcPr>
                <w:p w14:paraId="22765C2C"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9.25</w:t>
                  </w:r>
                </w:p>
              </w:tc>
            </w:tr>
            <w:tr w:rsidR="00AD272F" w14:paraId="4D331D3D" w14:textId="77777777">
              <w:tc>
                <w:tcPr>
                  <w:tcW w:w="2290" w:type="dxa"/>
                  <w:shd w:val="clear" w:color="auto" w:fill="auto"/>
                  <w:tcMar>
                    <w:top w:w="100" w:type="dxa"/>
                    <w:left w:w="100" w:type="dxa"/>
                    <w:bottom w:w="100" w:type="dxa"/>
                    <w:right w:w="100" w:type="dxa"/>
                  </w:tcMar>
                </w:tcPr>
                <w:p w14:paraId="663C1796"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2016/17</w:t>
                  </w:r>
                </w:p>
              </w:tc>
              <w:tc>
                <w:tcPr>
                  <w:tcW w:w="2290" w:type="dxa"/>
                  <w:shd w:val="clear" w:color="auto" w:fill="auto"/>
                  <w:tcMar>
                    <w:top w:w="100" w:type="dxa"/>
                    <w:left w:w="100" w:type="dxa"/>
                    <w:bottom w:w="100" w:type="dxa"/>
                    <w:right w:w="100" w:type="dxa"/>
                  </w:tcMar>
                </w:tcPr>
                <w:p w14:paraId="2A61B421"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10.86</w:t>
                  </w:r>
                </w:p>
              </w:tc>
              <w:tc>
                <w:tcPr>
                  <w:tcW w:w="2290" w:type="dxa"/>
                  <w:shd w:val="clear" w:color="auto" w:fill="auto"/>
                  <w:tcMar>
                    <w:top w:w="100" w:type="dxa"/>
                    <w:left w:w="100" w:type="dxa"/>
                    <w:bottom w:w="100" w:type="dxa"/>
                    <w:right w:w="100" w:type="dxa"/>
                  </w:tcMar>
                </w:tcPr>
                <w:p w14:paraId="01481947"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1.64</w:t>
                  </w:r>
                </w:p>
              </w:tc>
              <w:tc>
                <w:tcPr>
                  <w:tcW w:w="2290" w:type="dxa"/>
                  <w:shd w:val="clear" w:color="auto" w:fill="auto"/>
                  <w:tcMar>
                    <w:top w:w="100" w:type="dxa"/>
                    <w:left w:w="100" w:type="dxa"/>
                    <w:bottom w:w="100" w:type="dxa"/>
                    <w:right w:w="100" w:type="dxa"/>
                  </w:tcMar>
                </w:tcPr>
                <w:p w14:paraId="45FE709D"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10.89</w:t>
                  </w:r>
                </w:p>
              </w:tc>
            </w:tr>
            <w:tr w:rsidR="00AD272F" w14:paraId="4E50EB66" w14:textId="77777777">
              <w:tc>
                <w:tcPr>
                  <w:tcW w:w="2290" w:type="dxa"/>
                  <w:shd w:val="clear" w:color="auto" w:fill="auto"/>
                  <w:tcMar>
                    <w:top w:w="100" w:type="dxa"/>
                    <w:left w:w="100" w:type="dxa"/>
                    <w:bottom w:w="100" w:type="dxa"/>
                    <w:right w:w="100" w:type="dxa"/>
                  </w:tcMar>
                </w:tcPr>
                <w:p w14:paraId="3CF5892C"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2017/18</w:t>
                  </w:r>
                </w:p>
              </w:tc>
              <w:tc>
                <w:tcPr>
                  <w:tcW w:w="2290" w:type="dxa"/>
                  <w:shd w:val="clear" w:color="auto" w:fill="auto"/>
                  <w:tcMar>
                    <w:top w:w="100" w:type="dxa"/>
                    <w:left w:w="100" w:type="dxa"/>
                    <w:bottom w:w="100" w:type="dxa"/>
                    <w:right w:w="100" w:type="dxa"/>
                  </w:tcMar>
                </w:tcPr>
                <w:p w14:paraId="329C38EC"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11.71</w:t>
                  </w:r>
                </w:p>
              </w:tc>
              <w:tc>
                <w:tcPr>
                  <w:tcW w:w="2290" w:type="dxa"/>
                  <w:shd w:val="clear" w:color="auto" w:fill="auto"/>
                  <w:tcMar>
                    <w:top w:w="100" w:type="dxa"/>
                    <w:left w:w="100" w:type="dxa"/>
                    <w:bottom w:w="100" w:type="dxa"/>
                    <w:right w:w="100" w:type="dxa"/>
                  </w:tcMar>
                </w:tcPr>
                <w:p w14:paraId="2E408AB4" w14:textId="77777777" w:rsidR="00AD272F" w:rsidRDefault="00FA437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1.62</w:t>
                  </w:r>
                </w:p>
              </w:tc>
              <w:tc>
                <w:tcPr>
                  <w:tcW w:w="2290" w:type="dxa"/>
                  <w:shd w:val="clear" w:color="auto" w:fill="auto"/>
                  <w:tcMar>
                    <w:top w:w="100" w:type="dxa"/>
                    <w:left w:w="100" w:type="dxa"/>
                    <w:bottom w:w="100" w:type="dxa"/>
                    <w:right w:w="100" w:type="dxa"/>
                  </w:tcMar>
                </w:tcPr>
                <w:p w14:paraId="7D15F47A" w14:textId="77777777" w:rsidR="00AD272F" w:rsidRDefault="00FA437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12.51</w:t>
                  </w:r>
                </w:p>
              </w:tc>
            </w:tr>
          </w:tbl>
          <w:p w14:paraId="1163844B" w14:textId="77777777" w:rsidR="00AD272F" w:rsidRDefault="00AD272F">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1F83D72E" w14:textId="77777777" w:rsidR="00AD272F" w:rsidRDefault="00AD272F">
      <w:pPr>
        <w:spacing w:line="360" w:lineRule="auto"/>
        <w:jc w:val="both"/>
        <w:rPr>
          <w:rFonts w:ascii="Times New Roman" w:eastAsia="Times New Roman" w:hAnsi="Times New Roman" w:cs="Times New Roman"/>
          <w:sz w:val="24"/>
          <w:szCs w:val="24"/>
        </w:rPr>
      </w:pPr>
    </w:p>
    <w:p w14:paraId="1FE2B390"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proper funding formula was required for Crossrail that would reflect multitude interests and different financing and funding mechanisms. The entire funding for this project was split into three parts between the London Businesses, the taxpayers and the future fare payers of the Crossrail. The rolling stock has been largely financed by the Transport for London (TfL). Through TfL and GLA (Greater London Authority), the Mayor of London contributed 7.1 billion euros for the project (</w:t>
      </w:r>
      <w:proofErr w:type="spellStart"/>
      <w:r>
        <w:rPr>
          <w:rFonts w:ascii="Times New Roman" w:eastAsia="Times New Roman" w:hAnsi="Times New Roman" w:cs="Times New Roman"/>
          <w:sz w:val="24"/>
          <w:szCs w:val="24"/>
        </w:rPr>
        <w:t>Haylen</w:t>
      </w:r>
      <w:proofErr w:type="spellEnd"/>
      <w:r>
        <w:rPr>
          <w:rFonts w:ascii="Times New Roman" w:eastAsia="Times New Roman" w:hAnsi="Times New Roman" w:cs="Times New Roman"/>
          <w:sz w:val="24"/>
          <w:szCs w:val="24"/>
        </w:rPr>
        <w:t xml:space="preserve">, 2019). A grant of 4.8 billion Euros was provided by the UK government. Additionally, other contributions to this project came from </w:t>
      </w:r>
      <w:r w:rsidR="007F593E">
        <w:rPr>
          <w:rFonts w:ascii="Times New Roman" w:eastAsia="Times New Roman" w:hAnsi="Times New Roman" w:cs="Times New Roman"/>
          <w:sz w:val="24"/>
          <w:szCs w:val="24"/>
        </w:rPr>
        <w:t>Heathrow</w:t>
      </w:r>
      <w:r>
        <w:rPr>
          <w:rFonts w:ascii="Times New Roman" w:eastAsia="Times New Roman" w:hAnsi="Times New Roman" w:cs="Times New Roman"/>
          <w:sz w:val="24"/>
          <w:szCs w:val="24"/>
        </w:rPr>
        <w:t xml:space="preserve">, Berkeley’s Homes, Canary Wharf and many more. The Network Rail contributed 2.3 billion Euros that was spent on improving the infrastructure of the east-west of the central tunnelled section.  </w:t>
      </w:r>
    </w:p>
    <w:p w14:paraId="570F6976" w14:textId="77777777" w:rsidR="00AD272F" w:rsidRDefault="00AD272F">
      <w:pPr>
        <w:spacing w:line="360" w:lineRule="auto"/>
        <w:jc w:val="both"/>
        <w:rPr>
          <w:rFonts w:ascii="Times New Roman" w:eastAsia="Times New Roman" w:hAnsi="Times New Roman" w:cs="Times New Roman"/>
          <w:sz w:val="24"/>
          <w:szCs w:val="24"/>
        </w:rPr>
      </w:pPr>
    </w:p>
    <w:p w14:paraId="054DBF05"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entire project management process of Crossrail was divided into five different stages:</w:t>
      </w:r>
    </w:p>
    <w:p w14:paraId="12A5CC8E" w14:textId="77777777" w:rsidR="00AD272F" w:rsidRDefault="00FA4376" w:rsidP="007F59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Initiation:</w:t>
      </w:r>
      <w:r>
        <w:rPr>
          <w:rFonts w:ascii="Times New Roman" w:eastAsia="Times New Roman" w:hAnsi="Times New Roman" w:cs="Times New Roman"/>
          <w:sz w:val="24"/>
          <w:szCs w:val="24"/>
        </w:rPr>
        <w:t xml:space="preserve"> This is the first step of the project where the purpose is stated along with declaring the pr</w:t>
      </w:r>
      <w:r w:rsidR="007F593E">
        <w:rPr>
          <w:rFonts w:ascii="Times New Roman" w:eastAsia="Times New Roman" w:hAnsi="Times New Roman" w:cs="Times New Roman"/>
          <w:sz w:val="24"/>
          <w:szCs w:val="24"/>
        </w:rPr>
        <w:t>oposed budget (</w:t>
      </w:r>
      <w:proofErr w:type="spellStart"/>
      <w:r w:rsidR="007F593E">
        <w:rPr>
          <w:rFonts w:ascii="Times New Roman" w:eastAsia="Times New Roman" w:hAnsi="Times New Roman" w:cs="Times New Roman"/>
          <w:sz w:val="24"/>
          <w:szCs w:val="24"/>
        </w:rPr>
        <w:t>Worsfold</w:t>
      </w:r>
      <w:proofErr w:type="spellEnd"/>
      <w:r w:rsidR="007F593E">
        <w:rPr>
          <w:rFonts w:ascii="Times New Roman" w:eastAsia="Times New Roman" w:hAnsi="Times New Roman" w:cs="Times New Roman"/>
          <w:sz w:val="24"/>
          <w:szCs w:val="24"/>
        </w:rPr>
        <w:t xml:space="preserve"> </w:t>
      </w:r>
      <w:r w:rsidR="007F593E" w:rsidRPr="007F593E">
        <w:rPr>
          <w:rFonts w:ascii="Times New Roman" w:eastAsia="Times New Roman" w:hAnsi="Times New Roman" w:cs="Times New Roman"/>
          <w:i/>
          <w:sz w:val="24"/>
          <w:szCs w:val="24"/>
        </w:rPr>
        <w:t>et al</w:t>
      </w:r>
      <w:r w:rsidR="007F593E">
        <w:rPr>
          <w:rFonts w:ascii="Times New Roman" w:eastAsia="Times New Roman" w:hAnsi="Times New Roman" w:cs="Times New Roman"/>
          <w:sz w:val="24"/>
          <w:szCs w:val="24"/>
        </w:rPr>
        <w:t xml:space="preserve">., 2018). </w:t>
      </w:r>
      <w:r>
        <w:rPr>
          <w:rFonts w:ascii="Times New Roman" w:eastAsia="Times New Roman" w:hAnsi="Times New Roman" w:cs="Times New Roman"/>
          <w:sz w:val="24"/>
          <w:szCs w:val="24"/>
        </w:rPr>
        <w:t xml:space="preserve"> In January 2002, with the Cross London Rail Links Ltd being established as a joint venture between the Transport for London and Strategic Rail authority, the project was proposed. Between 2005-2008 a budget of 15.9billion Euros was declared by TfL </w:t>
      </w:r>
      <w:r>
        <w:rPr>
          <w:rFonts w:ascii="Times New Roman" w:eastAsia="Times New Roman" w:hAnsi="Times New Roman" w:cs="Times New Roman"/>
          <w:sz w:val="24"/>
          <w:szCs w:val="24"/>
        </w:rPr>
        <w:lastRenderedPageBreak/>
        <w:t xml:space="preserve">and the government as needed to complete the entire project. The expected opening date for the railways was declared to be December 2017. </w:t>
      </w:r>
    </w:p>
    <w:p w14:paraId="7DA51DBA"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Planning</w:t>
      </w:r>
      <w:r>
        <w:rPr>
          <w:rFonts w:ascii="Times New Roman" w:eastAsia="Times New Roman" w:hAnsi="Times New Roman" w:cs="Times New Roman"/>
          <w:sz w:val="24"/>
          <w:szCs w:val="24"/>
        </w:rPr>
        <w:t xml:space="preserve">:  This is the second and the most important step to a successful project management. In May 2009, Boris Johnson and Lord </w:t>
      </w:r>
      <w:r w:rsidR="007F593E">
        <w:rPr>
          <w:rFonts w:ascii="Times New Roman" w:eastAsia="Times New Roman" w:hAnsi="Times New Roman" w:cs="Times New Roman"/>
          <w:sz w:val="24"/>
          <w:szCs w:val="24"/>
        </w:rPr>
        <w:t>Adonis</w:t>
      </w:r>
      <w:r>
        <w:rPr>
          <w:rFonts w:ascii="Times New Roman" w:eastAsia="Times New Roman" w:hAnsi="Times New Roman" w:cs="Times New Roman"/>
          <w:sz w:val="24"/>
          <w:szCs w:val="24"/>
        </w:rPr>
        <w:t xml:space="preserve"> marked the beginning of the construction. The next year (2010) there was a reduction in the project budget by 1.1 billion Euros, which was a total of 14.8 billion Euros. Moreover, the opening date was shifted to a year later in December 2018. </w:t>
      </w:r>
    </w:p>
    <w:p w14:paraId="427266F9"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Execution:</w:t>
      </w:r>
      <w:r>
        <w:rPr>
          <w:rFonts w:ascii="Times New Roman" w:eastAsia="Times New Roman" w:hAnsi="Times New Roman" w:cs="Times New Roman"/>
          <w:sz w:val="24"/>
          <w:szCs w:val="24"/>
        </w:rPr>
        <w:t xml:space="preserve"> Implementation or execution is the step where the project plan is put into action. The local communities and residents were informed about the project to build an outstanding reputation and trust with the stakeholders. The community relations representatives acted as the first line of communication for the local residents (</w:t>
      </w:r>
      <w:r>
        <w:rPr>
          <w:rFonts w:ascii="Times New Roman" w:eastAsia="Times New Roman" w:hAnsi="Times New Roman" w:cs="Times New Roman"/>
          <w:color w:val="222222"/>
          <w:sz w:val="24"/>
          <w:szCs w:val="24"/>
          <w:highlight w:val="white"/>
        </w:rPr>
        <w:t xml:space="preserve">Field, 2021). </w:t>
      </w:r>
      <w:r>
        <w:rPr>
          <w:rFonts w:ascii="Times New Roman" w:eastAsia="Times New Roman" w:hAnsi="Times New Roman" w:cs="Times New Roman"/>
          <w:sz w:val="24"/>
          <w:szCs w:val="24"/>
        </w:rPr>
        <w:t>In 2012, under Central London, the boring machines started drilling 13 miles of tunnel. By 2015, the tunnelling work was completed using eight tunn</w:t>
      </w:r>
      <w:r w:rsidR="007F593E">
        <w:rPr>
          <w:rFonts w:ascii="Times New Roman" w:eastAsia="Times New Roman" w:hAnsi="Times New Roman" w:cs="Times New Roman"/>
          <w:sz w:val="24"/>
          <w:szCs w:val="24"/>
        </w:rPr>
        <w:t>el boring machines to dig 41 km</w:t>
      </w:r>
      <w:r>
        <w:rPr>
          <w:rFonts w:ascii="Times New Roman" w:eastAsia="Times New Roman" w:hAnsi="Times New Roman" w:cs="Times New Roman"/>
          <w:sz w:val="24"/>
          <w:szCs w:val="24"/>
        </w:rPr>
        <w:t xml:space="preserve"> of tunnels. In 2016, the Queens </w:t>
      </w:r>
      <w:r w:rsidR="007F593E">
        <w:rPr>
          <w:rFonts w:ascii="Times New Roman" w:eastAsia="Times New Roman" w:hAnsi="Times New Roman" w:cs="Times New Roman"/>
          <w:sz w:val="24"/>
          <w:szCs w:val="24"/>
        </w:rPr>
        <w:t>made a</w:t>
      </w:r>
      <w:r>
        <w:rPr>
          <w:rFonts w:ascii="Times New Roman" w:eastAsia="Times New Roman" w:hAnsi="Times New Roman" w:cs="Times New Roman"/>
          <w:sz w:val="24"/>
          <w:szCs w:val="24"/>
        </w:rPr>
        <w:t xml:space="preserve"> visit to the site and announced that the project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will be named after her and hence came to be known as the Elizabeth Line.  </w:t>
      </w:r>
    </w:p>
    <w:p w14:paraId="39E548C8"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Monitoring and Control:</w:t>
      </w:r>
      <w:r>
        <w:rPr>
          <w:rFonts w:ascii="Times New Roman" w:eastAsia="Times New Roman" w:hAnsi="Times New Roman" w:cs="Times New Roman"/>
          <w:sz w:val="24"/>
          <w:szCs w:val="24"/>
        </w:rPr>
        <w:t xml:space="preserve"> This step involves monitoring the project progression as well as the performance of the workers and dealing with any issues that aris</w:t>
      </w:r>
      <w:r w:rsidR="007F593E">
        <w:rPr>
          <w:rFonts w:ascii="Times New Roman" w:eastAsia="Times New Roman" w:hAnsi="Times New Roman" w:cs="Times New Roman"/>
          <w:sz w:val="24"/>
          <w:szCs w:val="24"/>
        </w:rPr>
        <w:t xml:space="preserve">e mid-way. </w:t>
      </w:r>
      <w:r>
        <w:rPr>
          <w:rFonts w:ascii="Times New Roman" w:eastAsia="Times New Roman" w:hAnsi="Times New Roman" w:cs="Times New Roman"/>
          <w:sz w:val="24"/>
          <w:szCs w:val="24"/>
        </w:rPr>
        <w:t xml:space="preserve">In 2017, the first sign of construction issues </w:t>
      </w:r>
      <w:r w:rsidR="007F593E">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noticed as an electrical explosion in the Pudding Mill substation occurred. The Crossrail bosses in 2018 announced that the project is going to face further delays along with an increase in the project by 0.6 billion Euros. This was because of the increasing cost pressures across the project and hindrances faced while installing difficult signalling systems. When TfL executives took over the lead, it predicted that the project would require an addition of another 2 billion Euros taking the total cost to 17.6 billion Euros.  The opening date was delayed beyond 2021. In November 2021, Crossrail Ltd estimated a budget hike of 650 million Euros, which became a total of 18.25 billion Euros. </w:t>
      </w:r>
    </w:p>
    <w:p w14:paraId="2C25F0D5"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Closure:</w:t>
      </w:r>
      <w:r>
        <w:rPr>
          <w:rFonts w:ascii="Times New Roman" w:eastAsia="Times New Roman" w:hAnsi="Times New Roman" w:cs="Times New Roman"/>
          <w:sz w:val="24"/>
          <w:szCs w:val="24"/>
        </w:rPr>
        <w:t xml:space="preserve"> </w:t>
      </w:r>
      <w:r w:rsidR="007F593E">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his is the final step of a project that involves releasing staff and resources or </w:t>
      </w:r>
      <w:r w:rsidR="007F593E">
        <w:rPr>
          <w:rFonts w:ascii="Times New Roman" w:eastAsia="Times New Roman" w:hAnsi="Times New Roman" w:cs="Times New Roman"/>
          <w:sz w:val="24"/>
          <w:szCs w:val="24"/>
        </w:rPr>
        <w:t>handling over the deliverables (</w:t>
      </w:r>
      <w:proofErr w:type="spellStart"/>
      <w:r w:rsidR="007F593E" w:rsidRPr="007F593E">
        <w:rPr>
          <w:rFonts w:ascii="Times New Roman" w:eastAsia="Times New Roman" w:hAnsi="Times New Roman" w:cs="Times New Roman"/>
          <w:sz w:val="24"/>
          <w:szCs w:val="24"/>
        </w:rPr>
        <w:t>Herausgeber</w:t>
      </w:r>
      <w:proofErr w:type="spellEnd"/>
      <w:r w:rsidR="007F593E" w:rsidRPr="007F593E">
        <w:rPr>
          <w:rFonts w:ascii="Times New Roman" w:eastAsia="Times New Roman" w:hAnsi="Times New Roman" w:cs="Times New Roman"/>
          <w:sz w:val="24"/>
          <w:szCs w:val="24"/>
        </w:rPr>
        <w:t xml:space="preserve"> Project Management Institute, 2017</w:t>
      </w:r>
      <w:r w:rsidR="007F59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August 2022, finally TfL took full control of the construction and the testing of</w:t>
      </w:r>
      <w:r w:rsidR="007F593E">
        <w:rPr>
          <w:rFonts w:ascii="Times New Roman" w:eastAsia="Times New Roman" w:hAnsi="Times New Roman" w:cs="Times New Roman"/>
          <w:sz w:val="24"/>
          <w:szCs w:val="24"/>
        </w:rPr>
        <w:t xml:space="preserve"> the trains started by 2022. TfL</w:t>
      </w:r>
      <w:r>
        <w:rPr>
          <w:rFonts w:ascii="Times New Roman" w:eastAsia="Times New Roman" w:hAnsi="Times New Roman" w:cs="Times New Roman"/>
          <w:sz w:val="24"/>
          <w:szCs w:val="24"/>
        </w:rPr>
        <w:t xml:space="preserve"> announced that on 24 May 2022 the Central part of the Elizabeth Line will be opened. The through trains started running into Central London from September 2022. </w:t>
      </w:r>
    </w:p>
    <w:p w14:paraId="4694DC7E"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reviewing the core elements of the project, it can be said that the main reasons behind the project delays and exceeding the budget are:</w:t>
      </w:r>
    </w:p>
    <w:p w14:paraId="57DBA1B1"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Temporary pause in construction and work slowdown due to the pandemic</w:t>
      </w:r>
    </w:p>
    <w:p w14:paraId="1FD6EDED"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Issues with energisation tunnel</w:t>
      </w:r>
    </w:p>
    <w:p w14:paraId="137262C9"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Problems arises while testing the </w:t>
      </w:r>
      <w:r w:rsidR="007F593E">
        <w:rPr>
          <w:rFonts w:ascii="Times New Roman" w:eastAsia="Times New Roman" w:hAnsi="Times New Roman" w:cs="Times New Roman"/>
          <w:sz w:val="24"/>
          <w:szCs w:val="24"/>
        </w:rPr>
        <w:t>software</w:t>
      </w:r>
      <w:r>
        <w:rPr>
          <w:rFonts w:ascii="Times New Roman" w:eastAsia="Times New Roman" w:hAnsi="Times New Roman" w:cs="Times New Roman"/>
          <w:sz w:val="24"/>
          <w:szCs w:val="24"/>
        </w:rPr>
        <w:t xml:space="preserve"> in the new trains during phase 3</w:t>
      </w:r>
    </w:p>
    <w:p w14:paraId="264469A6"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Onsite accidents, deaths and injuries of the construction workers</w:t>
      </w:r>
    </w:p>
    <w:p w14:paraId="2995DABA"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Failure in the signalling systems</w:t>
      </w:r>
    </w:p>
    <w:p w14:paraId="74F4C7BE" w14:textId="77777777" w:rsidR="00AD272F" w:rsidRDefault="00FA437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accountability among the project sponsors and political disagreements</w:t>
      </w:r>
    </w:p>
    <w:p w14:paraId="6D9FAA5F"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These delays have further exceeded the actual budget cost that had a negative impact on the sponsors and partners. Moreover, as the UK economy shrinks in March 2020 by 0.8% along with a 7% inflation hit, it also delays the project (Milliken and </w:t>
      </w:r>
      <w:proofErr w:type="spellStart"/>
      <w:r>
        <w:rPr>
          <w:rFonts w:ascii="Times New Roman" w:eastAsia="Times New Roman" w:hAnsi="Times New Roman" w:cs="Times New Roman"/>
          <w:sz w:val="24"/>
          <w:szCs w:val="24"/>
        </w:rPr>
        <w:t>Schomberg</w:t>
      </w:r>
      <w:proofErr w:type="spellEnd"/>
      <w:r>
        <w:rPr>
          <w:rFonts w:ascii="Times New Roman" w:eastAsia="Times New Roman" w:hAnsi="Times New Roman" w:cs="Times New Roman"/>
          <w:sz w:val="24"/>
          <w:szCs w:val="24"/>
        </w:rPr>
        <w:t xml:space="preserve">, 2022). </w:t>
      </w:r>
    </w:p>
    <w:p w14:paraId="21580383" w14:textId="77777777" w:rsidR="00AD272F"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88B7BF3" w14:textId="77777777" w:rsidR="00AD272F" w:rsidRDefault="00FA4376" w:rsidP="008A1FD3">
      <w:pPr>
        <w:pStyle w:val="Heading1"/>
      </w:pPr>
      <w:bookmarkStart w:id="2" w:name="_Toc121325296"/>
      <w:r>
        <w:t>Conclusion</w:t>
      </w:r>
      <w:bookmarkEnd w:id="2"/>
      <w:r>
        <w:t xml:space="preserve"> </w:t>
      </w:r>
    </w:p>
    <w:p w14:paraId="2A1EFE6F" w14:textId="77777777" w:rsidR="00AD272F" w:rsidRDefault="007F59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w:t>
      </w:r>
      <w:r w:rsidR="00FA4376">
        <w:rPr>
          <w:rFonts w:ascii="Times New Roman" w:eastAsia="Times New Roman" w:hAnsi="Times New Roman" w:cs="Times New Roman"/>
          <w:sz w:val="24"/>
          <w:szCs w:val="24"/>
        </w:rPr>
        <w:t xml:space="preserve"> after a delay of four and five months with an exceeding budget of 3bn Euros, the doors of the train were finally opened and the project Crossrail became a dream come true for the </w:t>
      </w:r>
      <w:r>
        <w:rPr>
          <w:rFonts w:ascii="Times New Roman" w:eastAsia="Times New Roman" w:hAnsi="Times New Roman" w:cs="Times New Roman"/>
          <w:sz w:val="24"/>
          <w:szCs w:val="24"/>
        </w:rPr>
        <w:t>Londoners</w:t>
      </w:r>
      <w:r w:rsidR="00FA4376">
        <w:rPr>
          <w:rFonts w:ascii="Times New Roman" w:eastAsia="Times New Roman" w:hAnsi="Times New Roman" w:cs="Times New Roman"/>
          <w:sz w:val="24"/>
          <w:szCs w:val="24"/>
        </w:rPr>
        <w:t xml:space="preserve">. Although it has cost billions to the taxpayers and disrupted the lives of the people in and around London, as claimed by Andy Byford, this east-west rail link will be an envy of the world. However, the project team can follow these recommended strategies to avoid any further delays and help Cross Rails operate fully by 2023.  </w:t>
      </w:r>
    </w:p>
    <w:p w14:paraId="0213A40C" w14:textId="77777777" w:rsidR="008A1FD3" w:rsidRDefault="00FA43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Proper scheduling</w:t>
      </w:r>
      <w:r>
        <w:rPr>
          <w:rFonts w:ascii="Times New Roman" w:eastAsia="Times New Roman" w:hAnsi="Times New Roman" w:cs="Times New Roman"/>
          <w:sz w:val="24"/>
          <w:szCs w:val="24"/>
        </w:rPr>
        <w:t xml:space="preserve"> can help avoid further delays and higher costs. The project team should </w:t>
      </w:r>
      <w:r w:rsidR="007F593E">
        <w:rPr>
          <w:rFonts w:ascii="Times New Roman" w:eastAsia="Times New Roman" w:hAnsi="Times New Roman" w:cs="Times New Roman"/>
          <w:sz w:val="24"/>
          <w:szCs w:val="24"/>
        </w:rPr>
        <w:t>have a clarity</w:t>
      </w:r>
      <w:r>
        <w:rPr>
          <w:rFonts w:ascii="Times New Roman" w:eastAsia="Times New Roman" w:hAnsi="Times New Roman" w:cs="Times New Roman"/>
          <w:sz w:val="24"/>
          <w:szCs w:val="24"/>
        </w:rPr>
        <w:t xml:space="preserve"> of the timelines and the project resources. Some project scheduling tools such as Liquid Planner or </w:t>
      </w:r>
      <w:proofErr w:type="spellStart"/>
      <w:r>
        <w:rPr>
          <w:rFonts w:ascii="Times New Roman" w:eastAsia="Times New Roman" w:hAnsi="Times New Roman" w:cs="Times New Roman"/>
          <w:sz w:val="24"/>
          <w:szCs w:val="24"/>
        </w:rPr>
        <w:t>WorkflowMax</w:t>
      </w:r>
      <w:proofErr w:type="spellEnd"/>
      <w:r>
        <w:rPr>
          <w:rFonts w:ascii="Times New Roman" w:eastAsia="Times New Roman" w:hAnsi="Times New Roman" w:cs="Times New Roman"/>
          <w:sz w:val="24"/>
          <w:szCs w:val="24"/>
        </w:rPr>
        <w:t xml:space="preserve"> can be used to ensure proper scheduling. Another strategy that can be followed to ensure project success is </w:t>
      </w:r>
      <w:r>
        <w:rPr>
          <w:rFonts w:ascii="Times New Roman" w:eastAsia="Times New Roman" w:hAnsi="Times New Roman" w:cs="Times New Roman"/>
          <w:b/>
          <w:i/>
          <w:sz w:val="24"/>
          <w:szCs w:val="24"/>
        </w:rPr>
        <w:t>encouraging accountability</w:t>
      </w:r>
      <w:r>
        <w:rPr>
          <w:rFonts w:ascii="Times New Roman" w:eastAsia="Times New Roman" w:hAnsi="Times New Roman" w:cs="Times New Roman"/>
          <w:sz w:val="24"/>
          <w:szCs w:val="24"/>
        </w:rPr>
        <w:t xml:space="preserve">. All the investors or the sponsors should be held accountable to complete work related to the project within the deadline. </w:t>
      </w:r>
    </w:p>
    <w:p w14:paraId="46890AEB" w14:textId="77777777" w:rsidR="008A1FD3" w:rsidRDefault="008A1FD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274B9CF" w14:textId="77777777" w:rsidR="008A1FD3" w:rsidRPr="008A1FD3" w:rsidRDefault="008A1FD3" w:rsidP="008A1FD3">
      <w:pPr>
        <w:pStyle w:val="Heading1"/>
      </w:pPr>
      <w:bookmarkStart w:id="3" w:name="_Toc121325297"/>
      <w:r>
        <w:lastRenderedPageBreak/>
        <w:t>Reference List</w:t>
      </w:r>
      <w:bookmarkEnd w:id="3"/>
    </w:p>
    <w:p w14:paraId="2308FBEA"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Alex </w:t>
      </w:r>
      <w:proofErr w:type="spellStart"/>
      <w:r w:rsidRPr="008A1FD3">
        <w:rPr>
          <w:rFonts w:ascii="Times New Roman" w:hAnsi="Times New Roman" w:cs="Times New Roman"/>
          <w:sz w:val="24"/>
          <w:szCs w:val="24"/>
          <w:lang w:val="en-US"/>
        </w:rPr>
        <w:t>Puscasu</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What is a project? Definition, Elements, Stages</w:t>
      </w:r>
      <w:r w:rsidRPr="008A1FD3">
        <w:rPr>
          <w:rFonts w:ascii="Times New Roman" w:hAnsi="Times New Roman" w:cs="Times New Roman"/>
          <w:sz w:val="24"/>
          <w:szCs w:val="24"/>
          <w:lang w:val="en-US"/>
        </w:rPr>
        <w:t xml:space="preserve">. Available at: http://apepm.co.uk/what-is-a-project/ [Accessed on: 28 November 2022] </w:t>
      </w:r>
    </w:p>
    <w:p w14:paraId="2AB4FEF3"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rPr>
        <w:t xml:space="preserve">Andrew </w:t>
      </w:r>
      <w:proofErr w:type="spellStart"/>
      <w:r w:rsidRPr="008A1FD3">
        <w:rPr>
          <w:rFonts w:ascii="Times New Roman" w:hAnsi="Times New Roman" w:cs="Times New Roman"/>
          <w:sz w:val="24"/>
          <w:szCs w:val="24"/>
        </w:rPr>
        <w:t>Haylen</w:t>
      </w:r>
      <w:proofErr w:type="spellEnd"/>
      <w:r w:rsidRPr="008A1FD3">
        <w:rPr>
          <w:rFonts w:ascii="Times New Roman" w:hAnsi="Times New Roman" w:cs="Times New Roman"/>
          <w:sz w:val="24"/>
          <w:szCs w:val="24"/>
        </w:rPr>
        <w:t xml:space="preserve">, (2019). </w:t>
      </w:r>
      <w:proofErr w:type="spellStart"/>
      <w:r w:rsidRPr="008A1FD3">
        <w:rPr>
          <w:rFonts w:ascii="Times New Roman" w:hAnsi="Times New Roman" w:cs="Times New Roman"/>
          <w:i/>
          <w:sz w:val="24"/>
          <w:szCs w:val="24"/>
          <w:lang w:val="en-US"/>
        </w:rPr>
        <w:t>Crossrail</w:t>
      </w:r>
      <w:proofErr w:type="spellEnd"/>
      <w:r w:rsidRPr="008A1FD3">
        <w:rPr>
          <w:rFonts w:ascii="Times New Roman" w:hAnsi="Times New Roman" w:cs="Times New Roman"/>
          <w:i/>
          <w:sz w:val="24"/>
          <w:szCs w:val="24"/>
          <w:lang w:val="en-US"/>
        </w:rPr>
        <w:t xml:space="preserve"> (Elizabeth Line).</w:t>
      </w:r>
      <w:r w:rsidRPr="008A1FD3">
        <w:rPr>
          <w:rFonts w:ascii="Times New Roman" w:hAnsi="Times New Roman" w:cs="Times New Roman"/>
          <w:sz w:val="24"/>
          <w:szCs w:val="24"/>
          <w:lang w:val="en-US"/>
        </w:rPr>
        <w:t xml:space="preserve"> Available at: https://researchbriefings.files.parliament.uk/documents/SN00876/SN00876.pdf [Accessed on: 28 November 2022] </w:t>
      </w:r>
    </w:p>
    <w:p w14:paraId="7CA579EE" w14:textId="77777777" w:rsidR="008A1FD3" w:rsidRPr="008A1FD3" w:rsidRDefault="008A1FD3" w:rsidP="008A1FD3">
      <w:pPr>
        <w:spacing w:before="240" w:line="360" w:lineRule="auto"/>
        <w:jc w:val="both"/>
        <w:rPr>
          <w:rFonts w:ascii="Times New Roman" w:hAnsi="Times New Roman" w:cs="Times New Roman"/>
          <w:sz w:val="24"/>
          <w:szCs w:val="24"/>
          <w:lang w:val="en-US"/>
        </w:rPr>
      </w:pPr>
      <w:proofErr w:type="spellStart"/>
      <w:r w:rsidRPr="008A1FD3">
        <w:rPr>
          <w:rFonts w:ascii="Times New Roman" w:hAnsi="Times New Roman" w:cs="Times New Roman"/>
          <w:sz w:val="24"/>
          <w:szCs w:val="24"/>
          <w:lang w:val="en-US"/>
        </w:rPr>
        <w:t>Crossrail</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DELIVERING THE ELIZABETH LINE.</w:t>
      </w:r>
      <w:r w:rsidRPr="008A1FD3">
        <w:rPr>
          <w:rFonts w:ascii="Times New Roman" w:hAnsi="Times New Roman" w:cs="Times New Roman"/>
          <w:sz w:val="24"/>
          <w:szCs w:val="24"/>
          <w:lang w:val="en-US"/>
        </w:rPr>
        <w:t xml:space="preserve"> Available at:</w:t>
      </w:r>
      <w:r w:rsidRPr="008A1FD3">
        <w:rPr>
          <w:rFonts w:ascii="Times New Roman" w:hAnsi="Times New Roman" w:cs="Times New Roman"/>
          <w:sz w:val="24"/>
          <w:szCs w:val="24"/>
        </w:rPr>
        <w:t xml:space="preserve"> </w:t>
      </w:r>
      <w:r w:rsidRPr="008A1FD3">
        <w:rPr>
          <w:rFonts w:ascii="Times New Roman" w:hAnsi="Times New Roman" w:cs="Times New Roman"/>
          <w:sz w:val="24"/>
          <w:szCs w:val="24"/>
          <w:lang w:val="en-US"/>
        </w:rPr>
        <w:t>https://www.crossrail.co.uk/project/our-plan-to-complete-the-elizabeth-line/ [Accessed on: 28 November 2022]</w:t>
      </w:r>
    </w:p>
    <w:p w14:paraId="73438E80" w14:textId="77777777" w:rsidR="008A1FD3" w:rsidRPr="008A1FD3" w:rsidRDefault="008A1FD3" w:rsidP="008A1FD3">
      <w:pPr>
        <w:spacing w:before="240" w:line="360" w:lineRule="auto"/>
        <w:jc w:val="both"/>
        <w:rPr>
          <w:rFonts w:ascii="Times New Roman" w:hAnsi="Times New Roman" w:cs="Times New Roman"/>
          <w:sz w:val="24"/>
          <w:szCs w:val="24"/>
          <w:lang w:val="en-US"/>
        </w:rPr>
      </w:pPr>
      <w:proofErr w:type="spellStart"/>
      <w:r w:rsidRPr="008A1FD3">
        <w:rPr>
          <w:rFonts w:ascii="Times New Roman" w:hAnsi="Times New Roman" w:cs="Times New Roman"/>
          <w:sz w:val="24"/>
          <w:szCs w:val="24"/>
          <w:lang w:val="en-US"/>
        </w:rPr>
        <w:t>Crossrail</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SPONSORS AND PARTNERS</w:t>
      </w:r>
      <w:r w:rsidRPr="008A1FD3">
        <w:rPr>
          <w:rFonts w:ascii="Times New Roman" w:hAnsi="Times New Roman" w:cs="Times New Roman"/>
          <w:sz w:val="24"/>
          <w:szCs w:val="24"/>
          <w:lang w:val="en-US"/>
        </w:rPr>
        <w:t>. Available at:</w:t>
      </w:r>
      <w:r w:rsidRPr="008A1FD3">
        <w:rPr>
          <w:rFonts w:ascii="Times New Roman" w:hAnsi="Times New Roman" w:cs="Times New Roman"/>
          <w:sz w:val="24"/>
          <w:szCs w:val="24"/>
        </w:rPr>
        <w:t xml:space="preserve"> </w:t>
      </w:r>
      <w:r w:rsidRPr="008A1FD3">
        <w:rPr>
          <w:rFonts w:ascii="Times New Roman" w:hAnsi="Times New Roman" w:cs="Times New Roman"/>
          <w:sz w:val="24"/>
          <w:szCs w:val="24"/>
          <w:lang w:val="en-US"/>
        </w:rPr>
        <w:t xml:space="preserve">https://www.crossrail.co.uk/about-us/sponsors-partners#:~:text=Crossrail's%20Sponsors%20are%20the%20Mayor,through%20the%20Department%20for%20Transport. [Accessed on: 28 November 2022] </w:t>
      </w:r>
    </w:p>
    <w:p w14:paraId="01BECC33"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David Milliken and William </w:t>
      </w:r>
      <w:proofErr w:type="spellStart"/>
      <w:r w:rsidRPr="008A1FD3">
        <w:rPr>
          <w:rFonts w:ascii="Times New Roman" w:hAnsi="Times New Roman" w:cs="Times New Roman"/>
          <w:sz w:val="24"/>
          <w:szCs w:val="24"/>
          <w:lang w:val="en-US"/>
        </w:rPr>
        <w:t>Schomberg</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UK economy shrinks in March as recession risks mount</w:t>
      </w:r>
      <w:r w:rsidRPr="008A1FD3">
        <w:rPr>
          <w:rFonts w:ascii="Times New Roman" w:hAnsi="Times New Roman" w:cs="Times New Roman"/>
          <w:sz w:val="24"/>
          <w:szCs w:val="24"/>
          <w:lang w:val="en-US"/>
        </w:rPr>
        <w:t>. Available at:</w:t>
      </w:r>
      <w:r w:rsidRPr="008A1FD3">
        <w:rPr>
          <w:rFonts w:ascii="Times New Roman" w:hAnsi="Times New Roman" w:cs="Times New Roman"/>
          <w:sz w:val="24"/>
          <w:szCs w:val="24"/>
        </w:rPr>
        <w:t xml:space="preserve"> </w:t>
      </w:r>
      <w:proofErr w:type="gramStart"/>
      <w:r w:rsidRPr="008A1FD3">
        <w:rPr>
          <w:rFonts w:ascii="Times New Roman" w:hAnsi="Times New Roman" w:cs="Times New Roman"/>
          <w:sz w:val="24"/>
          <w:szCs w:val="24"/>
          <w:lang w:val="en-US"/>
        </w:rPr>
        <w:t>https://www.reuters.com/world/uk/uk-economy-shrinks-march-grows-08-q1-2022-05-12/[</w:t>
      </w:r>
      <w:proofErr w:type="gramEnd"/>
      <w:r w:rsidRPr="008A1FD3">
        <w:rPr>
          <w:rFonts w:ascii="Times New Roman" w:hAnsi="Times New Roman" w:cs="Times New Roman"/>
          <w:sz w:val="24"/>
          <w:szCs w:val="24"/>
          <w:lang w:val="en-US"/>
        </w:rPr>
        <w:t>Accessed on: 28 November 2022]</w:t>
      </w:r>
    </w:p>
    <w:p w14:paraId="0FAC7235"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color w:val="222222"/>
          <w:sz w:val="24"/>
          <w:szCs w:val="24"/>
          <w:shd w:val="clear" w:color="auto" w:fill="FFFFFF"/>
        </w:rPr>
        <w:t xml:space="preserve">Field, J., </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 Communications for infrastructure: Successful stakeholder engagement on transport and infrastructure projects. In </w:t>
      </w:r>
      <w:r w:rsidRPr="008A1FD3">
        <w:rPr>
          <w:rFonts w:ascii="Times New Roman" w:hAnsi="Times New Roman" w:cs="Times New Roman"/>
          <w:i/>
          <w:iCs/>
          <w:color w:val="222222"/>
          <w:sz w:val="24"/>
          <w:szCs w:val="24"/>
          <w:shd w:val="clear" w:color="auto" w:fill="FFFFFF"/>
        </w:rPr>
        <w:t>Communicating Construction</w:t>
      </w:r>
      <w:r w:rsidRPr="008A1FD3">
        <w:rPr>
          <w:rFonts w:ascii="Times New Roman" w:hAnsi="Times New Roman" w:cs="Times New Roman"/>
          <w:color w:val="222222"/>
          <w:sz w:val="24"/>
          <w:szCs w:val="24"/>
          <w:shd w:val="clear" w:color="auto" w:fill="FFFFFF"/>
        </w:rPr>
        <w:t> (pp. 107-130). Routledge.</w:t>
      </w:r>
    </w:p>
    <w:p w14:paraId="65A61F24"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Gov, (2022). </w:t>
      </w:r>
      <w:proofErr w:type="spellStart"/>
      <w:r w:rsidRPr="008A1FD3">
        <w:rPr>
          <w:rFonts w:ascii="Times New Roman" w:hAnsi="Times New Roman" w:cs="Times New Roman"/>
          <w:i/>
          <w:sz w:val="24"/>
          <w:szCs w:val="24"/>
          <w:lang w:val="en-US"/>
        </w:rPr>
        <w:t>Crossrail</w:t>
      </w:r>
      <w:proofErr w:type="spellEnd"/>
      <w:r w:rsidRPr="008A1FD3">
        <w:rPr>
          <w:rFonts w:ascii="Times New Roman" w:hAnsi="Times New Roman" w:cs="Times New Roman"/>
          <w:i/>
          <w:sz w:val="24"/>
          <w:szCs w:val="24"/>
          <w:lang w:val="en-US"/>
        </w:rPr>
        <w:t xml:space="preserve"> / The Elizabeth Line</w:t>
      </w:r>
      <w:r w:rsidRPr="008A1FD3">
        <w:rPr>
          <w:rFonts w:ascii="Times New Roman" w:hAnsi="Times New Roman" w:cs="Times New Roman"/>
          <w:sz w:val="24"/>
          <w:szCs w:val="24"/>
          <w:lang w:val="en-US"/>
        </w:rPr>
        <w:t>. Available at:</w:t>
      </w:r>
      <w:r w:rsidRPr="008A1FD3">
        <w:rPr>
          <w:rFonts w:ascii="Times New Roman" w:hAnsi="Times New Roman" w:cs="Times New Roman"/>
          <w:sz w:val="24"/>
          <w:szCs w:val="24"/>
        </w:rPr>
        <w:t xml:space="preserve"> </w:t>
      </w:r>
      <w:r w:rsidRPr="008A1FD3">
        <w:rPr>
          <w:rFonts w:ascii="Times New Roman" w:hAnsi="Times New Roman" w:cs="Times New Roman"/>
          <w:sz w:val="24"/>
          <w:szCs w:val="24"/>
          <w:lang w:val="en-US"/>
        </w:rPr>
        <w:t xml:space="preserve">https://www.london.gov.uk/transport/rail-and-underground/crossrail-elizabeth-line [Accessed on: 28 November 2022] </w:t>
      </w:r>
    </w:p>
    <w:p w14:paraId="3105884A"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Gwyn </w:t>
      </w:r>
      <w:proofErr w:type="spellStart"/>
      <w:r w:rsidRPr="008A1FD3">
        <w:rPr>
          <w:rFonts w:ascii="Times New Roman" w:hAnsi="Times New Roman" w:cs="Times New Roman"/>
          <w:sz w:val="24"/>
          <w:szCs w:val="24"/>
          <w:lang w:val="en-US"/>
        </w:rPr>
        <w:t>Topham</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 xml:space="preserve">Elizabeth line: almost 50 years in the planning for </w:t>
      </w:r>
      <w:proofErr w:type="spellStart"/>
      <w:r w:rsidRPr="008A1FD3">
        <w:rPr>
          <w:rFonts w:ascii="Times New Roman" w:hAnsi="Times New Roman" w:cs="Times New Roman"/>
          <w:i/>
          <w:sz w:val="24"/>
          <w:szCs w:val="24"/>
          <w:lang w:val="en-US"/>
        </w:rPr>
        <w:t>Crossrail</w:t>
      </w:r>
      <w:proofErr w:type="spellEnd"/>
      <w:r w:rsidRPr="008A1FD3">
        <w:rPr>
          <w:rFonts w:ascii="Times New Roman" w:hAnsi="Times New Roman" w:cs="Times New Roman"/>
          <w:i/>
          <w:sz w:val="24"/>
          <w:szCs w:val="24"/>
          <w:lang w:val="en-US"/>
        </w:rPr>
        <w:t xml:space="preserve"> – timeline</w:t>
      </w:r>
      <w:r w:rsidRPr="008A1FD3">
        <w:rPr>
          <w:rFonts w:ascii="Times New Roman" w:hAnsi="Times New Roman" w:cs="Times New Roman"/>
          <w:sz w:val="24"/>
          <w:szCs w:val="24"/>
          <w:lang w:val="en-US"/>
        </w:rPr>
        <w:t>. Available at:</w:t>
      </w:r>
      <w:r w:rsidRPr="008A1FD3">
        <w:rPr>
          <w:rFonts w:ascii="Times New Roman" w:hAnsi="Times New Roman" w:cs="Times New Roman"/>
          <w:sz w:val="24"/>
          <w:szCs w:val="24"/>
        </w:rPr>
        <w:t xml:space="preserve"> </w:t>
      </w:r>
      <w:r w:rsidRPr="008A1FD3">
        <w:rPr>
          <w:rFonts w:ascii="Times New Roman" w:hAnsi="Times New Roman" w:cs="Times New Roman"/>
          <w:sz w:val="24"/>
          <w:szCs w:val="24"/>
          <w:lang w:val="en-US"/>
        </w:rPr>
        <w:t xml:space="preserve">https://www.theguardian.com/uk-news/2022/may/20/elizabeth-line-almost-50-years-in-the-planning-for-crossrail-timeline [Accessed on: 28 November 2022] </w:t>
      </w:r>
    </w:p>
    <w:p w14:paraId="3C4A3B0D" w14:textId="77777777" w:rsidR="008A1FD3" w:rsidRPr="008A1FD3" w:rsidRDefault="008A1FD3" w:rsidP="008A1FD3">
      <w:pPr>
        <w:spacing w:before="240" w:line="360" w:lineRule="auto"/>
        <w:jc w:val="both"/>
        <w:rPr>
          <w:rFonts w:ascii="Times New Roman" w:hAnsi="Times New Roman" w:cs="Times New Roman"/>
          <w:sz w:val="24"/>
          <w:szCs w:val="24"/>
          <w:lang w:val="en-US"/>
        </w:rPr>
      </w:pPr>
      <w:proofErr w:type="spellStart"/>
      <w:r w:rsidRPr="008A1FD3">
        <w:rPr>
          <w:rFonts w:ascii="Times New Roman" w:hAnsi="Times New Roman" w:cs="Times New Roman"/>
          <w:sz w:val="24"/>
          <w:szCs w:val="24"/>
          <w:lang w:val="en-US"/>
        </w:rPr>
        <w:t>Herausgeber</w:t>
      </w:r>
      <w:proofErr w:type="spellEnd"/>
      <w:r w:rsidRPr="008A1FD3">
        <w:rPr>
          <w:rFonts w:ascii="Times New Roman" w:hAnsi="Times New Roman" w:cs="Times New Roman"/>
          <w:sz w:val="24"/>
          <w:szCs w:val="24"/>
          <w:lang w:val="en-US"/>
        </w:rPr>
        <w:t xml:space="preserve"> Project Management Institute, </w:t>
      </w:r>
      <w:r>
        <w:rPr>
          <w:rFonts w:ascii="Times New Roman" w:hAnsi="Times New Roman" w:cs="Times New Roman"/>
          <w:sz w:val="24"/>
          <w:szCs w:val="24"/>
          <w:lang w:val="en-US"/>
        </w:rPr>
        <w:t>(</w:t>
      </w:r>
      <w:r w:rsidRPr="008A1FD3">
        <w:rPr>
          <w:rFonts w:ascii="Times New Roman" w:hAnsi="Times New Roman" w:cs="Times New Roman"/>
          <w:sz w:val="24"/>
          <w:szCs w:val="24"/>
          <w:lang w:val="en-US"/>
        </w:rPr>
        <w:t>2017</w:t>
      </w:r>
      <w:r>
        <w:rPr>
          <w:rFonts w:ascii="Times New Roman" w:hAnsi="Times New Roman" w:cs="Times New Roman"/>
          <w:sz w:val="24"/>
          <w:szCs w:val="24"/>
          <w:lang w:val="en-US"/>
        </w:rPr>
        <w:t>)</w:t>
      </w:r>
      <w:r w:rsidRPr="008A1FD3">
        <w:rPr>
          <w:rFonts w:ascii="Times New Roman" w:hAnsi="Times New Roman" w:cs="Times New Roman"/>
          <w:sz w:val="24"/>
          <w:szCs w:val="24"/>
          <w:lang w:val="en-US"/>
        </w:rPr>
        <w:t>. A guide to the project management body of knowledge (PMBOK® guide). Project Management Institute.</w:t>
      </w:r>
    </w:p>
    <w:p w14:paraId="06C83619"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lastRenderedPageBreak/>
        <w:t xml:space="preserve">Kelechi </w:t>
      </w:r>
      <w:proofErr w:type="spellStart"/>
      <w:r w:rsidRPr="008A1FD3">
        <w:rPr>
          <w:rFonts w:ascii="Times New Roman" w:hAnsi="Times New Roman" w:cs="Times New Roman"/>
          <w:sz w:val="24"/>
          <w:szCs w:val="24"/>
          <w:lang w:val="en-US"/>
        </w:rPr>
        <w:t>Udoagwu</w:t>
      </w:r>
      <w:proofErr w:type="spellEnd"/>
      <w:r w:rsidRPr="008A1FD3">
        <w:rPr>
          <w:rFonts w:ascii="Times New Roman" w:hAnsi="Times New Roman" w:cs="Times New Roman"/>
          <w:sz w:val="24"/>
          <w:szCs w:val="24"/>
          <w:lang w:val="en-US"/>
        </w:rPr>
        <w:t xml:space="preserve">, (2022). </w:t>
      </w:r>
      <w:r w:rsidRPr="008A1FD3">
        <w:rPr>
          <w:rFonts w:ascii="Times New Roman" w:hAnsi="Times New Roman" w:cs="Times New Roman"/>
          <w:i/>
          <w:sz w:val="24"/>
          <w:szCs w:val="24"/>
          <w:lang w:val="en-US"/>
        </w:rPr>
        <w:t>Project Planning Essential Elements (With Infographic).</w:t>
      </w:r>
      <w:r w:rsidRPr="008A1FD3">
        <w:rPr>
          <w:rFonts w:ascii="Times New Roman" w:hAnsi="Times New Roman" w:cs="Times New Roman"/>
          <w:sz w:val="24"/>
          <w:szCs w:val="24"/>
          <w:lang w:val="en-US"/>
        </w:rPr>
        <w:t xml:space="preserve"> Available at: https://www.wrike.com/blog/essential-elements-perfect-project-plan-infographic/ [Accessed on: 28 November 2022] </w:t>
      </w:r>
    </w:p>
    <w:p w14:paraId="49CFFE6D"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color w:val="222222"/>
          <w:sz w:val="24"/>
          <w:szCs w:val="24"/>
          <w:shd w:val="clear" w:color="auto" w:fill="FFFFFF"/>
        </w:rPr>
        <w:t xml:space="preserve">Kerzner, H., </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 </w:t>
      </w:r>
      <w:r w:rsidRPr="008A1FD3">
        <w:rPr>
          <w:rFonts w:ascii="Times New Roman" w:hAnsi="Times New Roman" w:cs="Times New Roman"/>
          <w:i/>
          <w:iCs/>
          <w:color w:val="222222"/>
          <w:sz w:val="24"/>
          <w:szCs w:val="24"/>
          <w:shd w:val="clear" w:color="auto" w:fill="FFFFFF"/>
        </w:rPr>
        <w:t>Project management best practices: Achieving global excellence</w:t>
      </w:r>
      <w:r w:rsidRPr="008A1FD3">
        <w:rPr>
          <w:rFonts w:ascii="Times New Roman" w:hAnsi="Times New Roman" w:cs="Times New Roman"/>
          <w:color w:val="222222"/>
          <w:sz w:val="24"/>
          <w:szCs w:val="24"/>
          <w:shd w:val="clear" w:color="auto" w:fill="FFFFFF"/>
        </w:rPr>
        <w:t>. John Wiley &amp; Sons.</w:t>
      </w:r>
      <w:r w:rsidRPr="008A1FD3">
        <w:rPr>
          <w:rFonts w:ascii="Times New Roman" w:hAnsi="Times New Roman" w:cs="Times New Roman"/>
          <w:sz w:val="24"/>
          <w:szCs w:val="24"/>
          <w:lang w:val="en-US"/>
        </w:rPr>
        <w:t xml:space="preserve"> </w:t>
      </w:r>
    </w:p>
    <w:p w14:paraId="4B606EEB"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color w:val="222222"/>
          <w:sz w:val="24"/>
          <w:szCs w:val="24"/>
          <w:shd w:val="clear" w:color="auto" w:fill="FFFFFF"/>
        </w:rPr>
        <w:t xml:space="preserve">Kumar, B.R., </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 Case 8: London Cross Rail Project. In </w:t>
      </w:r>
      <w:r w:rsidRPr="008A1FD3">
        <w:rPr>
          <w:rFonts w:ascii="Times New Roman" w:hAnsi="Times New Roman" w:cs="Times New Roman"/>
          <w:i/>
          <w:iCs/>
          <w:color w:val="222222"/>
          <w:sz w:val="24"/>
          <w:szCs w:val="24"/>
          <w:shd w:val="clear" w:color="auto" w:fill="FFFFFF"/>
        </w:rPr>
        <w:t>Project Finance</w:t>
      </w:r>
      <w:r w:rsidRPr="008A1FD3">
        <w:rPr>
          <w:rFonts w:ascii="Times New Roman" w:hAnsi="Times New Roman" w:cs="Times New Roman"/>
          <w:color w:val="222222"/>
          <w:sz w:val="24"/>
          <w:szCs w:val="24"/>
          <w:shd w:val="clear" w:color="auto" w:fill="FFFFFF"/>
        </w:rPr>
        <w:t> (pp. 131-137). Springer, Cham.</w:t>
      </w:r>
    </w:p>
    <w:p w14:paraId="4D8C069C"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Richard Bailey, (2017). </w:t>
      </w:r>
      <w:r w:rsidRPr="008A1FD3">
        <w:rPr>
          <w:rFonts w:ascii="Times New Roman" w:hAnsi="Times New Roman" w:cs="Times New Roman"/>
          <w:i/>
          <w:sz w:val="24"/>
          <w:szCs w:val="24"/>
          <w:lang w:val="en-US"/>
        </w:rPr>
        <w:t xml:space="preserve">Community first: </w:t>
      </w:r>
      <w:proofErr w:type="spellStart"/>
      <w:r w:rsidRPr="008A1FD3">
        <w:rPr>
          <w:rFonts w:ascii="Times New Roman" w:hAnsi="Times New Roman" w:cs="Times New Roman"/>
          <w:i/>
          <w:sz w:val="24"/>
          <w:szCs w:val="24"/>
          <w:lang w:val="en-US"/>
        </w:rPr>
        <w:t>Crossrail</w:t>
      </w:r>
      <w:proofErr w:type="spellEnd"/>
      <w:r w:rsidRPr="008A1FD3">
        <w:rPr>
          <w:rFonts w:ascii="Times New Roman" w:hAnsi="Times New Roman" w:cs="Times New Roman"/>
          <w:i/>
          <w:sz w:val="24"/>
          <w:szCs w:val="24"/>
          <w:lang w:val="en-US"/>
        </w:rPr>
        <w:t xml:space="preserve"> stakeholder management case study</w:t>
      </w:r>
      <w:r w:rsidRPr="008A1FD3">
        <w:rPr>
          <w:rFonts w:ascii="Times New Roman" w:hAnsi="Times New Roman" w:cs="Times New Roman"/>
          <w:sz w:val="24"/>
          <w:szCs w:val="24"/>
          <w:lang w:val="en-US"/>
        </w:rPr>
        <w:t xml:space="preserve">. Available at: https://pracademy.co.uk/insights/community-first-crossrail-stakeholder-management-case-study/ [Accessed on: 28 November 2022] </w:t>
      </w:r>
    </w:p>
    <w:p w14:paraId="0FE67554"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Simon, P. and Murray-Webster, R., </w:t>
      </w:r>
      <w:r>
        <w:rPr>
          <w:rFonts w:ascii="Times New Roman" w:hAnsi="Times New Roman" w:cs="Times New Roman"/>
          <w:sz w:val="24"/>
          <w:szCs w:val="24"/>
          <w:lang w:val="en-US"/>
        </w:rPr>
        <w:t>(</w:t>
      </w:r>
      <w:r w:rsidRPr="008A1FD3">
        <w:rPr>
          <w:rFonts w:ascii="Times New Roman" w:hAnsi="Times New Roman" w:cs="Times New Roman"/>
          <w:sz w:val="24"/>
          <w:szCs w:val="24"/>
          <w:lang w:val="en-US"/>
        </w:rPr>
        <w:t>2018</w:t>
      </w:r>
      <w:r>
        <w:rPr>
          <w:rFonts w:ascii="Times New Roman" w:hAnsi="Times New Roman" w:cs="Times New Roman"/>
          <w:sz w:val="24"/>
          <w:szCs w:val="24"/>
          <w:lang w:val="en-US"/>
        </w:rPr>
        <w:t>)</w:t>
      </w:r>
      <w:r w:rsidRPr="008A1FD3">
        <w:rPr>
          <w:rFonts w:ascii="Times New Roman" w:hAnsi="Times New Roman" w:cs="Times New Roman"/>
          <w:sz w:val="24"/>
          <w:szCs w:val="24"/>
          <w:lang w:val="en-US"/>
        </w:rPr>
        <w:t>. Starting out in project management. Association for Project Management.</w:t>
      </w:r>
    </w:p>
    <w:p w14:paraId="172FC526" w14:textId="77777777" w:rsidR="008A1FD3" w:rsidRPr="008A1FD3" w:rsidRDefault="008A1FD3" w:rsidP="008A1FD3">
      <w:pPr>
        <w:spacing w:before="240" w:line="360" w:lineRule="auto"/>
        <w:jc w:val="both"/>
        <w:rPr>
          <w:rFonts w:ascii="Times New Roman" w:hAnsi="Times New Roman" w:cs="Times New Roman"/>
          <w:sz w:val="24"/>
          <w:szCs w:val="24"/>
          <w:lang w:val="en-US"/>
        </w:rPr>
      </w:pPr>
      <w:r w:rsidRPr="008A1FD3">
        <w:rPr>
          <w:rFonts w:ascii="Times New Roman" w:hAnsi="Times New Roman" w:cs="Times New Roman"/>
          <w:sz w:val="24"/>
          <w:szCs w:val="24"/>
          <w:lang w:val="en-US"/>
        </w:rPr>
        <w:t xml:space="preserve">Tom Edwards, (2022). </w:t>
      </w:r>
      <w:r w:rsidRPr="008A1FD3">
        <w:rPr>
          <w:rFonts w:ascii="Times New Roman" w:hAnsi="Times New Roman" w:cs="Times New Roman"/>
          <w:i/>
          <w:sz w:val="24"/>
          <w:szCs w:val="24"/>
          <w:lang w:val="en-US"/>
        </w:rPr>
        <w:t>Elizabeth line: How the 'perfect' project became a nightmare.</w:t>
      </w:r>
      <w:r w:rsidRPr="008A1FD3">
        <w:rPr>
          <w:rFonts w:ascii="Times New Roman" w:hAnsi="Times New Roman" w:cs="Times New Roman"/>
          <w:sz w:val="24"/>
          <w:szCs w:val="24"/>
          <w:lang w:val="en-US"/>
        </w:rPr>
        <w:t xml:space="preserve"> Available at:</w:t>
      </w:r>
      <w:r w:rsidRPr="008A1FD3">
        <w:rPr>
          <w:rFonts w:ascii="Times New Roman" w:hAnsi="Times New Roman" w:cs="Times New Roman"/>
          <w:sz w:val="24"/>
          <w:szCs w:val="24"/>
        </w:rPr>
        <w:t xml:space="preserve"> </w:t>
      </w:r>
      <w:r w:rsidRPr="008A1FD3">
        <w:rPr>
          <w:rFonts w:ascii="Times New Roman" w:hAnsi="Times New Roman" w:cs="Times New Roman"/>
          <w:sz w:val="24"/>
          <w:szCs w:val="24"/>
          <w:lang w:val="en-US"/>
        </w:rPr>
        <w:t xml:space="preserve">https://www.bbc.com/news/uk-england-london-61409591 [Accessed on: 28 November 2022] </w:t>
      </w:r>
    </w:p>
    <w:p w14:paraId="1EAB0E09" w14:textId="77777777" w:rsidR="008A1FD3" w:rsidRPr="008A1FD3" w:rsidRDefault="008A1FD3" w:rsidP="008A1FD3">
      <w:pPr>
        <w:spacing w:before="240" w:line="360" w:lineRule="auto"/>
        <w:jc w:val="both"/>
        <w:rPr>
          <w:rFonts w:ascii="Times New Roman" w:hAnsi="Times New Roman" w:cs="Times New Roman"/>
          <w:color w:val="222222"/>
          <w:sz w:val="24"/>
          <w:szCs w:val="24"/>
          <w:shd w:val="clear" w:color="auto" w:fill="FFFFFF"/>
        </w:rPr>
      </w:pPr>
      <w:proofErr w:type="spellStart"/>
      <w:r w:rsidRPr="008A1FD3">
        <w:rPr>
          <w:rFonts w:ascii="Times New Roman" w:hAnsi="Times New Roman" w:cs="Times New Roman"/>
          <w:color w:val="222222"/>
          <w:sz w:val="24"/>
          <w:szCs w:val="24"/>
          <w:shd w:val="clear" w:color="auto" w:fill="FFFFFF"/>
        </w:rPr>
        <w:t>Worsfold</w:t>
      </w:r>
      <w:proofErr w:type="spellEnd"/>
      <w:r w:rsidRPr="008A1FD3">
        <w:rPr>
          <w:rFonts w:ascii="Times New Roman" w:hAnsi="Times New Roman" w:cs="Times New Roman"/>
          <w:color w:val="222222"/>
          <w:sz w:val="24"/>
          <w:szCs w:val="24"/>
          <w:shd w:val="clear" w:color="auto" w:fill="FFFFFF"/>
        </w:rPr>
        <w:t xml:space="preserve">, T., Bryant, M. and Crank, J., </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8A1FD3">
        <w:rPr>
          <w:rFonts w:ascii="Times New Roman" w:hAnsi="Times New Roman" w:cs="Times New Roman"/>
          <w:color w:val="222222"/>
          <w:sz w:val="24"/>
          <w:szCs w:val="24"/>
          <w:shd w:val="clear" w:color="auto" w:fill="FFFFFF"/>
        </w:rPr>
        <w:t>. Structural engineering for the Elizabeth line: Design of Canary Wharf Elizabeth line station and Crossrail Place oversite development. </w:t>
      </w:r>
      <w:r w:rsidRPr="008A1FD3">
        <w:rPr>
          <w:rFonts w:ascii="Times New Roman" w:hAnsi="Times New Roman" w:cs="Times New Roman"/>
          <w:i/>
          <w:iCs/>
          <w:color w:val="222222"/>
          <w:sz w:val="24"/>
          <w:szCs w:val="24"/>
          <w:shd w:val="clear" w:color="auto" w:fill="FFFFFF"/>
        </w:rPr>
        <w:t>The Structural Engineer: journal of the Institution of Structural Engineer</w:t>
      </w:r>
      <w:r w:rsidRPr="008A1FD3">
        <w:rPr>
          <w:rFonts w:ascii="Times New Roman" w:hAnsi="Times New Roman" w:cs="Times New Roman"/>
          <w:color w:val="222222"/>
          <w:sz w:val="24"/>
          <w:szCs w:val="24"/>
          <w:shd w:val="clear" w:color="auto" w:fill="FFFFFF"/>
        </w:rPr>
        <w:t>, </w:t>
      </w:r>
      <w:r w:rsidRPr="008A1FD3">
        <w:rPr>
          <w:rFonts w:ascii="Times New Roman" w:hAnsi="Times New Roman" w:cs="Times New Roman"/>
          <w:i/>
          <w:iCs/>
          <w:color w:val="222222"/>
          <w:sz w:val="24"/>
          <w:szCs w:val="24"/>
          <w:shd w:val="clear" w:color="auto" w:fill="FFFFFF"/>
        </w:rPr>
        <w:t>96</w:t>
      </w:r>
      <w:r w:rsidRPr="008A1FD3">
        <w:rPr>
          <w:rFonts w:ascii="Times New Roman" w:hAnsi="Times New Roman" w:cs="Times New Roman"/>
          <w:color w:val="222222"/>
          <w:sz w:val="24"/>
          <w:szCs w:val="24"/>
          <w:shd w:val="clear" w:color="auto" w:fill="FFFFFF"/>
        </w:rPr>
        <w:t>(7), pp.78-83.</w:t>
      </w:r>
    </w:p>
    <w:p w14:paraId="234630D5" w14:textId="77777777" w:rsidR="00AD272F" w:rsidRDefault="00AD272F">
      <w:pPr>
        <w:spacing w:line="360" w:lineRule="auto"/>
        <w:jc w:val="both"/>
        <w:rPr>
          <w:rFonts w:ascii="Times New Roman" w:eastAsia="Times New Roman" w:hAnsi="Times New Roman" w:cs="Times New Roman"/>
          <w:b/>
          <w:sz w:val="24"/>
          <w:szCs w:val="24"/>
        </w:rPr>
      </w:pPr>
    </w:p>
    <w:sectPr w:rsidR="00AD272F" w:rsidSect="007944FC">
      <w:footerReference w:type="even" r:id="rId8"/>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F2BE2" w14:textId="77777777" w:rsidR="00A87749" w:rsidRDefault="00A87749" w:rsidP="008A1FD3">
      <w:pPr>
        <w:spacing w:line="240" w:lineRule="auto"/>
      </w:pPr>
      <w:r>
        <w:separator/>
      </w:r>
    </w:p>
  </w:endnote>
  <w:endnote w:type="continuationSeparator" w:id="0">
    <w:p w14:paraId="6C3F6B99" w14:textId="77777777" w:rsidR="00A87749" w:rsidRDefault="00A87749" w:rsidP="008A1F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4289852"/>
      <w:docPartObj>
        <w:docPartGallery w:val="Page Numbers (Bottom of Page)"/>
        <w:docPartUnique/>
      </w:docPartObj>
    </w:sdtPr>
    <w:sdtContent>
      <w:p w14:paraId="456BD597" w14:textId="20847D7F" w:rsidR="007944FC" w:rsidRDefault="007944FC"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E0752" w14:textId="77777777" w:rsidR="007944FC" w:rsidRDefault="007944FC" w:rsidP="007944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0892996"/>
      <w:docPartObj>
        <w:docPartGallery w:val="Page Numbers (Bottom of Page)"/>
        <w:docPartUnique/>
      </w:docPartObj>
    </w:sdtPr>
    <w:sdtContent>
      <w:p w14:paraId="264E597A" w14:textId="6785A9E9" w:rsidR="007944FC" w:rsidRDefault="007944FC"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DDDD63" w14:textId="43762C83" w:rsidR="008A1FD3" w:rsidRPr="008A1FD3" w:rsidRDefault="008A1FD3" w:rsidP="007944FC">
    <w:pPr>
      <w:pStyle w:val="Footer"/>
      <w:ind w:right="360"/>
      <w:jc w:val="right"/>
      <w:rPr>
        <w:rFonts w:ascii="Times New Roman" w:hAnsi="Times New Roman" w:cs="Times New Roman"/>
        <w:b/>
        <w:sz w:val="20"/>
      </w:rPr>
    </w:pPr>
  </w:p>
  <w:p w14:paraId="5B831533" w14:textId="77777777" w:rsidR="008A1FD3" w:rsidRDefault="008A1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EB3FE" w14:textId="77777777" w:rsidR="00A87749" w:rsidRDefault="00A87749" w:rsidP="008A1FD3">
      <w:pPr>
        <w:spacing w:line="240" w:lineRule="auto"/>
      </w:pPr>
      <w:r>
        <w:separator/>
      </w:r>
    </w:p>
  </w:footnote>
  <w:footnote w:type="continuationSeparator" w:id="0">
    <w:p w14:paraId="31E25D29" w14:textId="77777777" w:rsidR="00A87749" w:rsidRDefault="00A87749" w:rsidP="008A1F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5AC4"/>
    <w:multiLevelType w:val="multilevel"/>
    <w:tmpl w:val="C226A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186B65"/>
    <w:multiLevelType w:val="multilevel"/>
    <w:tmpl w:val="B8226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4107355">
    <w:abstractNumId w:val="0"/>
  </w:num>
  <w:num w:numId="2" w16cid:durableId="593246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72F"/>
    <w:rsid w:val="00587CDB"/>
    <w:rsid w:val="006F2FA2"/>
    <w:rsid w:val="007944FC"/>
    <w:rsid w:val="007F593E"/>
    <w:rsid w:val="008A1FD3"/>
    <w:rsid w:val="008D7E70"/>
    <w:rsid w:val="00984EF6"/>
    <w:rsid w:val="00A87749"/>
    <w:rsid w:val="00AD272F"/>
    <w:rsid w:val="00CB7334"/>
    <w:rsid w:val="00FA43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3CA22"/>
  <w15:docId w15:val="{5C782919-830D-45AC-AE1F-842990C18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A1FD3"/>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A1FD3"/>
    <w:pPr>
      <w:tabs>
        <w:tab w:val="center" w:pos="4513"/>
        <w:tab w:val="right" w:pos="9026"/>
      </w:tabs>
      <w:spacing w:line="240" w:lineRule="auto"/>
    </w:pPr>
  </w:style>
  <w:style w:type="character" w:customStyle="1" w:styleId="HeaderChar">
    <w:name w:val="Header Char"/>
    <w:basedOn w:val="DefaultParagraphFont"/>
    <w:link w:val="Header"/>
    <w:uiPriority w:val="99"/>
    <w:rsid w:val="008A1FD3"/>
  </w:style>
  <w:style w:type="paragraph" w:styleId="Footer">
    <w:name w:val="footer"/>
    <w:basedOn w:val="Normal"/>
    <w:link w:val="FooterChar"/>
    <w:uiPriority w:val="99"/>
    <w:unhideWhenUsed/>
    <w:rsid w:val="008A1FD3"/>
    <w:pPr>
      <w:tabs>
        <w:tab w:val="center" w:pos="4513"/>
        <w:tab w:val="right" w:pos="9026"/>
      </w:tabs>
      <w:spacing w:line="240" w:lineRule="auto"/>
    </w:pPr>
  </w:style>
  <w:style w:type="character" w:customStyle="1" w:styleId="FooterChar">
    <w:name w:val="Footer Char"/>
    <w:basedOn w:val="DefaultParagraphFont"/>
    <w:link w:val="Footer"/>
    <w:uiPriority w:val="99"/>
    <w:rsid w:val="008A1FD3"/>
  </w:style>
  <w:style w:type="paragraph" w:styleId="TOCHeading">
    <w:name w:val="TOC Heading"/>
    <w:basedOn w:val="Heading1"/>
    <w:next w:val="Normal"/>
    <w:uiPriority w:val="39"/>
    <w:unhideWhenUsed/>
    <w:qFormat/>
    <w:rsid w:val="008A1FD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1FD3"/>
    <w:pPr>
      <w:spacing w:after="100"/>
    </w:pPr>
  </w:style>
  <w:style w:type="character" w:styleId="Hyperlink">
    <w:name w:val="Hyperlink"/>
    <w:basedOn w:val="DefaultParagraphFont"/>
    <w:uiPriority w:val="99"/>
    <w:unhideWhenUsed/>
    <w:rsid w:val="008A1FD3"/>
    <w:rPr>
      <w:color w:val="0000FF" w:themeColor="hyperlink"/>
      <w:u w:val="single"/>
    </w:rPr>
  </w:style>
  <w:style w:type="paragraph" w:styleId="BodyText">
    <w:name w:val="Body Text"/>
    <w:basedOn w:val="Normal"/>
    <w:link w:val="BodyTextChar"/>
    <w:rsid w:val="00CB7334"/>
    <w:pPr>
      <w:suppressAutoHyphens/>
      <w:spacing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CB7334"/>
    <w:rPr>
      <w:rFonts w:ascii="Times New Roman" w:eastAsia="Calibri" w:hAnsi="Times New Roman" w:cs="Times New Roman"/>
      <w:color w:val="000000"/>
      <w:sz w:val="24"/>
      <w:lang w:val="en-GB" w:eastAsia="ar-SA"/>
    </w:rPr>
  </w:style>
  <w:style w:type="paragraph" w:styleId="NoSpacing">
    <w:name w:val="No Spacing"/>
    <w:qFormat/>
    <w:rsid w:val="00CB7334"/>
    <w:pPr>
      <w:suppressAutoHyphens/>
      <w:spacing w:line="100" w:lineRule="atLeast"/>
    </w:pPr>
    <w:rPr>
      <w:rFonts w:ascii="Tinos" w:eastAsia="Droid Sans" w:hAnsi="Tinos" w:cs="DejaVu Sans"/>
      <w:sz w:val="24"/>
      <w:szCs w:val="24"/>
      <w:lang w:val="en-GB" w:eastAsia="hi-IN" w:bidi="hi-IN"/>
    </w:rPr>
  </w:style>
  <w:style w:type="character" w:styleId="PageNumber">
    <w:name w:val="page number"/>
    <w:basedOn w:val="DefaultParagraphFont"/>
    <w:uiPriority w:val="99"/>
    <w:semiHidden/>
    <w:unhideWhenUsed/>
    <w:rsid w:val="00794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876C5-8619-44A9-92AC-1E2DE8FA2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4</cp:revision>
  <dcterms:created xsi:type="dcterms:W3CDTF">2022-11-28T14:40:00Z</dcterms:created>
  <dcterms:modified xsi:type="dcterms:W3CDTF">2022-12-07T17:08:00Z</dcterms:modified>
</cp:coreProperties>
</file>