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Literature Review</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宋体" w:cs="Arial"/>
          <w:b/>
          <w:bCs/>
          <w:sz w:val="24"/>
          <w:szCs w:val="24"/>
          <w:lang w:val="en-US" w:eastAsia="zh-CN"/>
        </w:rPr>
      </w:pPr>
      <w:r>
        <w:rPr>
          <w:rFonts w:hint="eastAsia" w:ascii="Arial" w:hAnsi="Arial" w:eastAsia="宋体" w:cs="Arial"/>
          <w:b/>
          <w:bCs/>
          <w:sz w:val="24"/>
          <w:szCs w:val="24"/>
          <w:lang w:val="en-US" w:eastAsia="zh-CN"/>
        </w:rPr>
        <w:t>R</w:t>
      </w:r>
      <w:r>
        <w:rPr>
          <w:rFonts w:hint="default" w:ascii="Arial" w:hAnsi="Arial" w:eastAsia="宋体" w:cs="Arial"/>
          <w:b/>
          <w:bCs/>
          <w:sz w:val="24"/>
          <w:szCs w:val="24"/>
          <w:lang w:val="en-US" w:eastAsia="zh-CN"/>
        </w:rPr>
        <w:t xml:space="preserve">esearch </w:t>
      </w:r>
      <w:r>
        <w:rPr>
          <w:rFonts w:hint="eastAsia" w:ascii="Arial" w:hAnsi="Arial" w:eastAsia="宋体" w:cs="Arial"/>
          <w:b/>
          <w:bCs/>
          <w:sz w:val="24"/>
          <w:szCs w:val="24"/>
          <w:lang w:val="en-US" w:eastAsia="zh-CN"/>
        </w:rPr>
        <w:t>T</w:t>
      </w:r>
      <w:r>
        <w:rPr>
          <w:rFonts w:hint="default" w:ascii="Arial" w:hAnsi="Arial" w:eastAsia="宋体" w:cs="Arial"/>
          <w:b/>
          <w:bCs/>
          <w:sz w:val="24"/>
          <w:szCs w:val="24"/>
          <w:lang w:val="en-US" w:eastAsia="zh-CN"/>
        </w:rPr>
        <w:t>opic</w:t>
      </w:r>
      <w:r>
        <w:rPr>
          <w:rFonts w:hint="eastAsia" w:ascii="Arial" w:hAnsi="Arial" w:eastAsia="宋体" w:cs="Arial"/>
          <w:b/>
          <w:bCs/>
          <w:sz w:val="24"/>
          <w:szCs w:val="24"/>
          <w:lang w:val="en-US" w:eastAsia="zh-CN"/>
        </w:rPr>
        <w:t xml:space="preserve">: </w:t>
      </w:r>
      <w:r>
        <w:rPr>
          <w:rFonts w:hint="default" w:ascii="Arial" w:hAnsi="Arial" w:eastAsia="宋体" w:cs="Arial"/>
          <w:b/>
          <w:bCs/>
          <w:sz w:val="24"/>
          <w:szCs w:val="24"/>
          <w:lang w:val="en-US" w:eastAsia="zh-CN"/>
        </w:rPr>
        <w:t xml:space="preserve">Research on </w:t>
      </w:r>
      <w:r>
        <w:rPr>
          <w:rFonts w:hint="eastAsia" w:ascii="Arial" w:hAnsi="Arial" w:eastAsia="宋体" w:cs="Arial"/>
          <w:b/>
          <w:bCs/>
          <w:sz w:val="24"/>
          <w:szCs w:val="24"/>
          <w:lang w:val="en-US" w:eastAsia="zh-CN"/>
        </w:rPr>
        <w:t>C</w:t>
      </w:r>
      <w:r>
        <w:rPr>
          <w:rFonts w:hint="default" w:ascii="Arial" w:hAnsi="Arial" w:eastAsia="宋体" w:cs="Arial"/>
          <w:b/>
          <w:bCs/>
          <w:sz w:val="24"/>
          <w:szCs w:val="24"/>
          <w:lang w:val="en-US" w:eastAsia="zh-CN"/>
        </w:rPr>
        <w:t xml:space="preserve">onsumers' </w:t>
      </w:r>
      <w:r>
        <w:rPr>
          <w:rFonts w:hint="eastAsia" w:ascii="Arial" w:hAnsi="Arial" w:eastAsia="宋体" w:cs="Arial"/>
          <w:b/>
          <w:bCs/>
          <w:sz w:val="24"/>
          <w:szCs w:val="24"/>
          <w:lang w:val="en-US" w:eastAsia="zh-CN"/>
        </w:rPr>
        <w:t>C</w:t>
      </w:r>
      <w:r>
        <w:rPr>
          <w:rFonts w:hint="default" w:ascii="Arial" w:hAnsi="Arial" w:eastAsia="宋体" w:cs="Arial"/>
          <w:b/>
          <w:bCs/>
          <w:sz w:val="24"/>
          <w:szCs w:val="24"/>
          <w:lang w:val="en-US" w:eastAsia="zh-CN"/>
        </w:rPr>
        <w:t>ross-</w:t>
      </w:r>
      <w:r>
        <w:rPr>
          <w:rFonts w:hint="eastAsia" w:ascii="Arial" w:hAnsi="Arial" w:eastAsia="宋体" w:cs="Arial"/>
          <w:b/>
          <w:bCs/>
          <w:sz w:val="24"/>
          <w:szCs w:val="24"/>
          <w:lang w:val="en-US" w:eastAsia="zh-CN"/>
        </w:rPr>
        <w:t>B</w:t>
      </w:r>
      <w:r>
        <w:rPr>
          <w:rFonts w:hint="default" w:ascii="Arial" w:hAnsi="Arial" w:eastAsia="宋体" w:cs="Arial"/>
          <w:b/>
          <w:bCs/>
          <w:sz w:val="24"/>
          <w:szCs w:val="24"/>
          <w:lang w:val="en-US" w:eastAsia="zh-CN"/>
        </w:rPr>
        <w:t xml:space="preserve">order </w:t>
      </w:r>
      <w:r>
        <w:rPr>
          <w:rFonts w:hint="eastAsia" w:ascii="Arial" w:hAnsi="Arial" w:eastAsia="宋体" w:cs="Arial"/>
          <w:b/>
          <w:bCs/>
          <w:sz w:val="24"/>
          <w:szCs w:val="24"/>
          <w:lang w:val="en-US" w:eastAsia="zh-CN"/>
        </w:rPr>
        <w:t>O</w:t>
      </w:r>
      <w:r>
        <w:rPr>
          <w:rFonts w:hint="default" w:ascii="Arial" w:hAnsi="Arial" w:eastAsia="宋体" w:cs="Arial"/>
          <w:b/>
          <w:bCs/>
          <w:sz w:val="24"/>
          <w:szCs w:val="24"/>
          <w:lang w:val="en-US" w:eastAsia="zh-CN"/>
        </w:rPr>
        <w:t xml:space="preserve">nline </w:t>
      </w:r>
      <w:r>
        <w:rPr>
          <w:rFonts w:hint="eastAsia" w:ascii="Arial" w:hAnsi="Arial" w:eastAsia="宋体" w:cs="Arial"/>
          <w:b/>
          <w:bCs/>
          <w:sz w:val="24"/>
          <w:szCs w:val="24"/>
          <w:lang w:val="en-US" w:eastAsia="zh-CN"/>
        </w:rPr>
        <w:t>F</w:t>
      </w:r>
      <w:r>
        <w:rPr>
          <w:rFonts w:hint="default" w:ascii="Arial" w:hAnsi="Arial" w:eastAsia="宋体" w:cs="Arial"/>
          <w:b/>
          <w:bCs/>
          <w:sz w:val="24"/>
          <w:szCs w:val="24"/>
          <w:lang w:val="en-US" w:eastAsia="zh-CN"/>
        </w:rPr>
        <w:t xml:space="preserve">ood </w:t>
      </w:r>
      <w:r>
        <w:rPr>
          <w:rFonts w:hint="eastAsia" w:ascii="Arial" w:hAnsi="Arial" w:eastAsia="宋体" w:cs="Arial"/>
          <w:b/>
          <w:bCs/>
          <w:sz w:val="24"/>
          <w:szCs w:val="24"/>
          <w:lang w:val="en-US" w:eastAsia="zh-CN"/>
        </w:rPr>
        <w:t>S</w:t>
      </w:r>
      <w:r>
        <w:rPr>
          <w:rFonts w:hint="default" w:ascii="Arial" w:hAnsi="Arial" w:eastAsia="宋体" w:cs="Arial"/>
          <w:b/>
          <w:bCs/>
          <w:sz w:val="24"/>
          <w:szCs w:val="24"/>
          <w:lang w:val="en-US" w:eastAsia="zh-CN"/>
        </w:rPr>
        <w:t xml:space="preserve">hopping </w:t>
      </w:r>
      <w:r>
        <w:rPr>
          <w:rFonts w:hint="eastAsia" w:ascii="Arial" w:hAnsi="Arial" w:eastAsia="宋体" w:cs="Arial"/>
          <w:b/>
          <w:bCs/>
          <w:sz w:val="24"/>
          <w:szCs w:val="24"/>
          <w:lang w:val="en-US" w:eastAsia="zh-CN"/>
        </w:rPr>
        <w:t>B</w:t>
      </w:r>
      <w:r>
        <w:rPr>
          <w:rFonts w:hint="default" w:ascii="Arial" w:hAnsi="Arial" w:eastAsia="宋体" w:cs="Arial"/>
          <w:b/>
          <w:bCs/>
          <w:sz w:val="24"/>
          <w:szCs w:val="24"/>
          <w:lang w:val="en-US" w:eastAsia="zh-CN"/>
        </w:rPr>
        <w:t xml:space="preserve">ehavior in China under the </w:t>
      </w:r>
      <w:r>
        <w:rPr>
          <w:rFonts w:hint="eastAsia" w:ascii="Arial" w:hAnsi="Arial" w:eastAsia="宋体" w:cs="Arial"/>
          <w:b/>
          <w:bCs/>
          <w:sz w:val="24"/>
          <w:szCs w:val="24"/>
          <w:lang w:val="en-US" w:eastAsia="zh-CN"/>
        </w:rPr>
        <w:t>I</w:t>
      </w:r>
      <w:r>
        <w:rPr>
          <w:rFonts w:hint="default" w:ascii="Arial" w:hAnsi="Arial" w:eastAsia="宋体" w:cs="Arial"/>
          <w:b/>
          <w:bCs/>
          <w:sz w:val="24"/>
          <w:szCs w:val="24"/>
          <w:lang w:val="en-US" w:eastAsia="zh-CN"/>
        </w:rPr>
        <w:t>nfluence of COVID-19  </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 xml:space="preserve">Assessment title: </w:t>
      </w:r>
      <w:r>
        <w:rPr>
          <w:rFonts w:hint="eastAsia" w:ascii="Arial" w:hAnsi="Arial" w:eastAsia="宋体" w:cs="Arial"/>
          <w:color w:val="000000"/>
          <w:kern w:val="0"/>
          <w:sz w:val="24"/>
          <w:szCs w:val="24"/>
          <w:lang w:val="en-US" w:eastAsia="zh-CN" w:bidi="ar"/>
        </w:rPr>
        <w:t>Final</w:t>
      </w:r>
      <w:r>
        <w:rPr>
          <w:rFonts w:hint="default" w:ascii="Arial" w:hAnsi="Arial" w:eastAsia="宋体" w:cs="Arial"/>
          <w:color w:val="000000"/>
          <w:kern w:val="0"/>
          <w:sz w:val="24"/>
          <w:szCs w:val="24"/>
          <w:lang w:val="en-US" w:eastAsia="zh-CN" w:bidi="ar"/>
        </w:rPr>
        <w:t xml:space="preserve"> Draft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name: </w:t>
      </w:r>
      <w:r>
        <w:rPr>
          <w:rFonts w:hint="eastAsia" w:ascii="Arial" w:hAnsi="Arial" w:eastAsia="宋体" w:cs="Arial"/>
          <w:color w:val="000000"/>
          <w:kern w:val="0"/>
          <w:sz w:val="24"/>
          <w:szCs w:val="24"/>
          <w:lang w:val="en-US" w:eastAsia="zh-CN" w:bidi="ar"/>
        </w:rPr>
        <w:t>Xinyu Wang (Naomi)</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 xml:space="preserve">Student ID number: </w:t>
      </w:r>
      <w:r>
        <w:rPr>
          <w:rFonts w:hint="eastAsia" w:ascii="Arial" w:hAnsi="Arial" w:eastAsia="宋体" w:cs="Arial"/>
          <w:color w:val="000000"/>
          <w:kern w:val="0"/>
          <w:sz w:val="24"/>
          <w:szCs w:val="24"/>
          <w:lang w:val="en-US" w:eastAsia="zh-CN" w:bidi="ar"/>
        </w:rPr>
        <w:t>2010660</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Submission date: </w:t>
      </w:r>
      <w:r>
        <w:rPr>
          <w:rFonts w:hint="eastAsia" w:ascii="Arial" w:hAnsi="Arial" w:eastAsia="宋体" w:cs="Arial"/>
          <w:color w:val="000000"/>
          <w:kern w:val="0"/>
          <w:sz w:val="24"/>
          <w:szCs w:val="24"/>
          <w:lang w:val="en-US" w:eastAsia="zh-CN" w:bidi="ar"/>
        </w:rPr>
        <w:t>15 May 2022</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University/Programme: </w:t>
      </w:r>
      <w:r>
        <w:rPr>
          <w:rFonts w:hint="eastAsia" w:ascii="Arial" w:hAnsi="Arial" w:eastAsia="宋体" w:cs="Arial"/>
          <w:color w:val="000000"/>
          <w:kern w:val="0"/>
          <w:sz w:val="24"/>
          <w:szCs w:val="24"/>
          <w:lang w:val="en-US" w:eastAsia="zh-CN" w:bidi="ar"/>
        </w:rPr>
        <w:t>University of Wales Trinity Saint David</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Word count: </w:t>
      </w:r>
      <w:r>
        <w:rPr>
          <w:rFonts w:hint="eastAsia" w:ascii="Arial" w:hAnsi="Arial" w:eastAsia="宋体" w:cs="Arial"/>
          <w:color w:val="000000"/>
          <w:kern w:val="0"/>
          <w:sz w:val="24"/>
          <w:szCs w:val="24"/>
          <w:lang w:val="en-US" w:eastAsia="zh-CN" w:bidi="ar"/>
        </w:rPr>
        <w:t>7500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Table of Contents</w:t>
      </w:r>
      <w:r>
        <w:rPr>
          <w:rFonts w:hint="default" w:ascii="Arial" w:hAnsi="Arial" w:eastAsia="宋体" w:cs="Arial"/>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Part 1: Explore </w:t>
      </w:r>
      <w:r>
        <w:rPr>
          <w:rFonts w:hint="eastAsia" w:ascii="Arial" w:hAnsi="Arial" w:eastAsia="宋体" w:cs="Arial"/>
          <w:b/>
          <w:bCs/>
          <w:color w:val="000000"/>
          <w:kern w:val="0"/>
          <w:sz w:val="24"/>
          <w:szCs w:val="24"/>
          <w:lang w:val="en-US" w:eastAsia="zh-CN" w:bidi="ar"/>
        </w:rPr>
        <w:t>C</w:t>
      </w:r>
      <w:r>
        <w:rPr>
          <w:rFonts w:hint="default" w:ascii="Arial" w:hAnsi="Arial" w:eastAsia="宋体" w:cs="Arial"/>
          <w:b/>
          <w:bCs/>
          <w:color w:val="000000"/>
          <w:kern w:val="0"/>
          <w:sz w:val="24"/>
          <w:szCs w:val="24"/>
          <w:lang w:val="en-US" w:eastAsia="zh-CN" w:bidi="ar"/>
        </w:rPr>
        <w:t>riticallya Critical Literature Review</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Purpose</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Content</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Format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Part 2: </w:t>
      </w:r>
      <w:r>
        <w:rPr>
          <w:rFonts w:hint="eastAsia" w:ascii="Arial" w:hAnsi="Arial" w:eastAsia="宋体" w:cs="Arial"/>
          <w:b/>
          <w:bCs/>
          <w:color w:val="000000"/>
          <w:kern w:val="0"/>
          <w:sz w:val="24"/>
          <w:szCs w:val="24"/>
          <w:lang w:val="en-US" w:eastAsia="zh-CN" w:bidi="ar"/>
        </w:rPr>
        <w:t>A</w:t>
      </w:r>
      <w:r>
        <w:rPr>
          <w:rFonts w:hint="default" w:ascii="Arial" w:hAnsi="Arial" w:eastAsia="宋体" w:cs="Arial"/>
          <w:b/>
          <w:bCs/>
          <w:color w:val="000000"/>
          <w:kern w:val="0"/>
          <w:sz w:val="24"/>
          <w:szCs w:val="24"/>
          <w:lang w:val="en-US" w:eastAsia="zh-CN" w:bidi="ar"/>
        </w:rPr>
        <w:t xml:space="preserve">nnotated </w:t>
      </w:r>
      <w:r>
        <w:rPr>
          <w:rFonts w:hint="eastAsia" w:ascii="Arial" w:hAnsi="Arial" w:eastAsia="宋体" w:cs="Arial"/>
          <w:b/>
          <w:bCs/>
          <w:color w:val="000000"/>
          <w:kern w:val="0"/>
          <w:sz w:val="24"/>
          <w:szCs w:val="24"/>
          <w:lang w:val="en-US" w:eastAsia="zh-CN" w:bidi="ar"/>
        </w:rPr>
        <w:t>B</w:t>
      </w:r>
      <w:r>
        <w:rPr>
          <w:rFonts w:hint="default" w:ascii="Arial" w:hAnsi="Arial" w:eastAsia="宋体" w:cs="Arial"/>
          <w:b/>
          <w:bCs/>
          <w:color w:val="000000"/>
          <w:kern w:val="0"/>
          <w:sz w:val="24"/>
          <w:szCs w:val="24"/>
          <w:lang w:val="en-US" w:eastAsia="zh-CN" w:bidi="ar"/>
        </w:rPr>
        <w:t xml:space="preserve">ibliography of 100 </w:t>
      </w:r>
      <w:r>
        <w:rPr>
          <w:rFonts w:hint="eastAsia" w:ascii="Arial" w:hAnsi="Arial" w:eastAsia="宋体" w:cs="Arial"/>
          <w:b/>
          <w:bCs/>
          <w:color w:val="000000"/>
          <w:kern w:val="0"/>
          <w:sz w:val="24"/>
          <w:szCs w:val="24"/>
          <w:lang w:val="en-US" w:eastAsia="zh-CN" w:bidi="ar"/>
        </w:rPr>
        <w:t>R</w:t>
      </w:r>
      <w:r>
        <w:rPr>
          <w:rFonts w:hint="default" w:ascii="Arial" w:hAnsi="Arial" w:eastAsia="宋体" w:cs="Arial"/>
          <w:b/>
          <w:bCs/>
          <w:color w:val="000000"/>
          <w:kern w:val="0"/>
          <w:sz w:val="24"/>
          <w:szCs w:val="24"/>
          <w:lang w:val="en-US" w:eastAsia="zh-CN" w:bidi="ar"/>
        </w:rPr>
        <w:t xml:space="preserve">elevant </w:t>
      </w:r>
      <w:r>
        <w:rPr>
          <w:rFonts w:hint="eastAsia" w:ascii="Arial" w:hAnsi="Arial" w:eastAsia="宋体" w:cs="Arial"/>
          <w:b/>
          <w:bCs/>
          <w:color w:val="000000"/>
          <w:kern w:val="0"/>
          <w:sz w:val="24"/>
          <w:szCs w:val="24"/>
          <w:lang w:val="en-US" w:eastAsia="zh-CN" w:bidi="ar"/>
        </w:rPr>
        <w:t>S</w:t>
      </w:r>
      <w:r>
        <w:rPr>
          <w:rFonts w:hint="default" w:ascii="Arial" w:hAnsi="Arial" w:eastAsia="宋体" w:cs="Arial"/>
          <w:b/>
          <w:bCs/>
          <w:color w:val="000000"/>
          <w:kern w:val="0"/>
          <w:sz w:val="24"/>
          <w:szCs w:val="24"/>
          <w:lang w:val="en-US" w:eastAsia="zh-CN" w:bidi="ar"/>
        </w:rPr>
        <w:t>ources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Table 1. Brief Comments on the Usefulness and Key Points of Each</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Part 3: </w:t>
      </w:r>
      <w:r>
        <w:rPr>
          <w:rFonts w:hint="eastAsia" w:ascii="Arial" w:hAnsi="Arial" w:eastAsia="宋体" w:cs="Arial"/>
          <w:b/>
          <w:bCs/>
          <w:color w:val="000000"/>
          <w:kern w:val="0"/>
          <w:sz w:val="24"/>
          <w:szCs w:val="24"/>
          <w:lang w:val="en-US" w:eastAsia="zh-CN" w:bidi="ar"/>
        </w:rPr>
        <w:t>P</w:t>
      </w:r>
      <w:r>
        <w:rPr>
          <w:rFonts w:hint="default" w:ascii="Arial" w:hAnsi="Arial" w:eastAsia="宋体" w:cs="Arial"/>
          <w:b/>
          <w:bCs/>
          <w:color w:val="000000"/>
          <w:kern w:val="0"/>
          <w:sz w:val="24"/>
          <w:szCs w:val="24"/>
          <w:lang w:val="en-US" w:eastAsia="zh-CN" w:bidi="ar"/>
        </w:rPr>
        <w:t xml:space="preserve">reliminary </w:t>
      </w:r>
      <w:r>
        <w:rPr>
          <w:rFonts w:hint="eastAsia" w:ascii="Arial" w:hAnsi="Arial" w:eastAsia="宋体" w:cs="Arial"/>
          <w:b/>
          <w:bCs/>
          <w:color w:val="000000"/>
          <w:kern w:val="0"/>
          <w:sz w:val="24"/>
          <w:szCs w:val="24"/>
          <w:lang w:val="en-US" w:eastAsia="zh-CN" w:bidi="ar"/>
        </w:rPr>
        <w:t>L</w:t>
      </w:r>
      <w:r>
        <w:rPr>
          <w:rFonts w:hint="default" w:ascii="Arial" w:hAnsi="Arial" w:eastAsia="宋体" w:cs="Arial"/>
          <w:b/>
          <w:bCs/>
          <w:color w:val="000000"/>
          <w:kern w:val="0"/>
          <w:sz w:val="24"/>
          <w:szCs w:val="24"/>
          <w:lang w:val="en-US" w:eastAsia="zh-CN" w:bidi="ar"/>
        </w:rPr>
        <w:t xml:space="preserve">iterature </w:t>
      </w:r>
      <w:r>
        <w:rPr>
          <w:rFonts w:hint="eastAsia" w:ascii="Arial" w:hAnsi="Arial" w:eastAsia="宋体" w:cs="Arial"/>
          <w:b/>
          <w:bCs/>
          <w:color w:val="000000"/>
          <w:kern w:val="0"/>
          <w:sz w:val="24"/>
          <w:szCs w:val="24"/>
          <w:lang w:val="en-US" w:eastAsia="zh-CN" w:bidi="ar"/>
        </w:rPr>
        <w:t>R</w:t>
      </w:r>
      <w:r>
        <w:rPr>
          <w:rFonts w:hint="default" w:ascii="Arial" w:hAnsi="Arial" w:eastAsia="宋体" w:cs="Arial"/>
          <w:b/>
          <w:bCs/>
          <w:color w:val="000000"/>
          <w:kern w:val="0"/>
          <w:sz w:val="24"/>
          <w:szCs w:val="24"/>
          <w:lang w:val="en-US" w:eastAsia="zh-CN" w:bidi="ar"/>
        </w:rPr>
        <w:t>eview</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both"/>
        <w:textAlignment w:val="auto"/>
        <w:rPr>
          <w:sz w:val="24"/>
          <w:szCs w:val="24"/>
        </w:rPr>
      </w:pPr>
      <w:r>
        <w:rPr>
          <w:rFonts w:hint="eastAsia" w:ascii="Arial" w:hAnsi="Arial" w:eastAsia="宋体" w:cs="Arial"/>
          <w:color w:val="000000"/>
          <w:kern w:val="0"/>
          <w:sz w:val="24"/>
          <w:szCs w:val="24"/>
          <w:lang w:val="en-US" w:eastAsia="zh-CN" w:bidi="ar"/>
        </w:rPr>
        <w:t>Introduction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eastAsia" w:ascii="Arial" w:hAnsi="Arial" w:cs="Arial"/>
          <w:b w:val="0"/>
          <w:bCs w:val="0"/>
          <w:sz w:val="24"/>
          <w:szCs w:val="24"/>
          <w:lang w:val="en-US" w:eastAsia="zh-CN"/>
        </w:rPr>
        <w:t>Main Body</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eastAsia" w:ascii="Arial" w:hAnsi="Arial" w:cs="Arial"/>
          <w:sz w:val="24"/>
          <w:szCs w:val="24"/>
          <w:lang w:val="en-US" w:eastAsia="zh-CN"/>
        </w:rPr>
        <w:t>Conclusion</w:t>
      </w:r>
    </w:p>
    <w:p>
      <w:pPr>
        <w:keepNext w:val="0"/>
        <w:keepLines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bookmarkStart w:id="0" w:name="OLE_LINK4"/>
      <w:r>
        <w:rPr>
          <w:rFonts w:hint="default" w:ascii="Arial" w:hAnsi="Arial" w:eastAsia="宋体" w:cs="Arial"/>
          <w:color w:val="000000"/>
          <w:kern w:val="0"/>
          <w:sz w:val="24"/>
          <w:szCs w:val="24"/>
          <w:lang w:val="en-US" w:eastAsia="zh-CN" w:bidi="ar"/>
        </w:rPr>
        <w:t>Reference List</w:t>
      </w:r>
      <w:bookmarkEnd w:id="0"/>
    </w:p>
    <w:p>
      <w:pPr>
        <w:keepNext w:val="0"/>
        <w:keepLines w:val="0"/>
        <w:pageBreakBefore/>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1: Explore Criticallya Critical Literature Review</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Purpose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Literature review can be regarded as an iterative process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Wisker, 2015</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Therefore, literature selection should aim at "representative" methods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Booth, Sutton and Papaioannou, 2012</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Inclusion in Internet search engines should also be avoided as far as possible, which is likely to give rise to selection bias and hinder scientific reproducibility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Aguinis, Cascio and Ramani, 2017; AurkoviA and KoA EC, 2018</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Starting from epistemology, the research framework of traditional narrative literary criticism is established by using mixed methods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Pritchard, 2013</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Traditional narrative literary criticism is still the most commonly used method in social sciences. The development of research problems may influence and improve research problems, so it is necessary to be very clear about the research problems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Efron and Ravid, 2019</w:t>
      </w:r>
      <w:r>
        <w:rPr>
          <w:rFonts w:hint="eastAsia"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.This research is not just about trade. The subject area of the research is not the supply side of economics or the market, but focuses on the demand side. The focus is not on cross-border trade, but on consumer behaviour.  The cross-border in question refers to China and southeast Asian countries, focusing on special food. Under the influence of COVID-19, consumers' cross-border purchase needs have changed their behaviors, and the reasons for different demands during the epidemic period should be studied. That is to say, this study aims to explain clearly that in consumer behavior, when consumers buy from cross-border, they must change the way they behave.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purpose of the literature review in this study can be seen from three aspects: setting the research background, informing the research design and methods, and determining the promotion of scholarship in this field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Efron and Ravid, 2019</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Specifically to understand the current academic research progress in the field of consumer behavior under the impact of COVID-19. In order to find the current research gaps to narrow the scope of the research, design data collection and analysis strategies, and consider how to fill the gaps.  What is more important is to clarify how this study makes up for the gap on the basis of existing studies and innovate methods, environment and participants, in other words, to reflect the importance, rationality and innovation of this study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Bell, 2017</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To analyze the changes in consumer behavior and the degree of acceptance of innovative objects, thus providing specific directions and ideas for product decision-making and operation thinking of enterprises affected by the epidemic.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Content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Literature reviews should not be a repetition, listing, or general introduction of existing literature, but a critical analysis and comment on the strengths, weaknesses, and contributions of previous studies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Cunliffe, 2016; Cottrell, 2017; Alison and Mike, 2021</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 xml:space="preserve">Therefore, literature review should include comprehensive extraction and analysis and commentary. And the text should be concise and concise, try to avoid quoting a lot of the original text, to use their own language to clarify the author's point of view, from the original literature to draw a general conclusion. Literature review is not a database at the same time, the research questions should be about topic, to ensure that described the existing research results is directly related to this topic research, its content is closely around the subject organization together, already can system fully reflects the history, current situation and trend of the research object, and can reflect all aspects of the research content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Wisker, 2015</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The review should be comprehensive, accurate and objective. The viewpoints and arguments used for the review should preferably come from the original literature, and try to avoid using other people's interpretation or review of the original literature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Bell, 2017</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specific ideas are from large fields to small fields, from previous studies to the innovation of this research. Broad areas include several broad topics covered by the research, as well as theoretical contexts or models.  Theory is a threshold concept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Kiley, 2015</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Examples include consumer behavior, consumer demand theory, COVID-19, cross-border online shopping, and another specific term -- food.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sub-areas include key concepts, definitions, and usefulness of the various topics to be covered</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Cram et al., 2020; Alison and Mike, 2021</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Attention should be paid to the topic and research questions of this study. Examples include motivation theory, demographic characteristics, cross-border e-commerce, fresh produce, delivery.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Previous research can be searched by different topics in the library, Ebsco, Google Academic. Collect from these searches, use RefWork or Zotero tools to create databases and generate references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Booth, Sutton and Papaioannou, 2012</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Particular attention will be paid to how and through which consumers who have been quarantined indoors as a result of the outbreak are buying food, as well as changes at the Chinese border. In this way, research is more focused and provides transparency and reproducibility of systematic searches </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Paré et al., 2016; Templier and Paré, 2018; Wang, Han and Beynon-Davies, 2019</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At the same time, keep reading and paying attention, and continue to look for useful concepts in the research field when reading consumer behavior papers. And put these concepts in the literature review.</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innovation of this study lies in that, from the perspective of economy, most of the studies on cross-border shopping in recent years are economic analysis of market conditions based on COVID-19. The research object is the e-commerce platform that sells goods and the transaction behavior of the company. To develop innovative policies, develop markets from an enterprise perspective, use online platforms, and manage cross-border logistics. It neglects the research on consumers' perception of enterprise innovation and the degree of cognition, making it difficult to accurately grasp the demand.  Based on this, this study focuses on the demand side, the research object is the behavior of consumers, and proposes the motivation, place, way of purchase, as well as the aspects that are important to consumers, such as delivery.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Format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In terms of structure, this literature review is mainly divided into four parts. In terms of format, subheadings are used in paragraphs, and conjunctions are used between paragraphs to enhance coherence.</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In the process of writing, series can be carried out according to the development and research trend of things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Booth, Sutton and Papaioannou, 2012; Massaro, Dumay and Guthrie, 2016</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first part is the introduction. First, introduce and explain the topic, and the reasons and importance of studying this topic, while clearly stating the purpose and research questions of the literature review. Then the structure and academic background of the article are briefly introduced, which is also the scope of this literature review. Finally, the limitations of previous studies are emphasized, that is, the timeliness of this field is not paid attention to.</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second part is the </w:t>
      </w:r>
      <w:r>
        <w:rPr>
          <w:rFonts w:hint="eastAsia" w:ascii="Arial" w:hAnsi="Arial" w:eastAsia="宋体" w:cs="Arial"/>
          <w:b w:val="0"/>
          <w:bCs w:val="0"/>
          <w:color w:val="000000"/>
          <w:kern w:val="0"/>
          <w:sz w:val="24"/>
          <w:szCs w:val="24"/>
          <w:lang w:val="en-US" w:eastAsia="zh-CN" w:bidi="ar"/>
        </w:rPr>
        <w:t xml:space="preserve">main </w:t>
      </w:r>
      <w:r>
        <w:rPr>
          <w:rFonts w:hint="default" w:ascii="Arial" w:hAnsi="Arial" w:eastAsia="宋体" w:cs="Arial"/>
          <w:b w:val="0"/>
          <w:bCs w:val="0"/>
          <w:color w:val="000000"/>
          <w:kern w:val="0"/>
          <w:sz w:val="24"/>
          <w:szCs w:val="24"/>
          <w:lang w:val="en-US" w:eastAsia="zh-CN" w:bidi="ar"/>
        </w:rPr>
        <w:t>body. That is to integrate the content, the idea of the paragraph is to summarize the viewpoints of the relevant literature in their own words, cite the literature support, and then further explain; So does the opposite view. Specifically, it first explains the terms of the professional field, and further expounds the relationship between the terms and the subject and the influence on the dependent variable, and introduces the theoretical background or model. Then review the specific literature, evaluate the advantages and disadvantages of relevant literature with critical thinking, and make comparison and comparison.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third part is </w:t>
      </w:r>
      <w:r>
        <w:rPr>
          <w:rFonts w:hint="eastAsia" w:ascii="Arial" w:hAnsi="Arial" w:eastAsia="宋体" w:cs="Arial"/>
          <w:b w:val="0"/>
          <w:bCs w:val="0"/>
          <w:color w:val="000000"/>
          <w:kern w:val="0"/>
          <w:sz w:val="24"/>
          <w:szCs w:val="24"/>
          <w:lang w:val="en-US" w:eastAsia="zh-CN" w:bidi="ar"/>
        </w:rPr>
        <w:t>conclusion</w:t>
      </w:r>
      <w:r>
        <w:rPr>
          <w:rFonts w:hint="default" w:ascii="Arial" w:hAnsi="Arial" w:eastAsia="宋体" w:cs="Arial"/>
          <w:b w:val="0"/>
          <w:bCs w:val="0"/>
          <w:color w:val="000000"/>
          <w:kern w:val="0"/>
          <w:sz w:val="24"/>
          <w:szCs w:val="24"/>
          <w:lang w:val="en-US" w:eastAsia="zh-CN" w:bidi="ar"/>
        </w:rPr>
        <w:t>. Briefly summarize the existing research in this field and reiterate how this paper fills in the research gaps and contributes new knowledge. Discuss the significance and shortcomings of this paper, and how to use existing theories or methods to establish the research framework</w:t>
      </w:r>
      <w:r>
        <w:rPr>
          <w:rFonts w:hint="eastAsia" w:ascii="Arial" w:hAnsi="Arial" w:eastAsia="宋体" w:cs="Arial"/>
          <w:b w:val="0"/>
          <w:bCs w:val="0"/>
          <w:color w:val="000000"/>
          <w:kern w:val="0"/>
          <w:sz w:val="24"/>
          <w:szCs w:val="24"/>
          <w:lang w:val="en-US" w:eastAsia="zh-CN" w:bidi="ar"/>
        </w:rPr>
        <w:t xml:space="preserve"> (Kiley, 2015)</w:t>
      </w:r>
      <w:r>
        <w:rPr>
          <w:rFonts w:hint="default" w:ascii="Arial" w:hAnsi="Arial" w:eastAsia="宋体" w:cs="Arial"/>
          <w:b w:val="0"/>
          <w:bCs w:val="0"/>
          <w:color w:val="000000"/>
          <w:kern w:val="0"/>
          <w:sz w:val="24"/>
          <w:szCs w:val="24"/>
          <w:lang w:val="en-US" w:eastAsia="zh-CN" w:bidi="ar"/>
        </w:rPr>
        <w:t>. The future research directions and areas worth attention are suggested.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fourth part is reference</w:t>
      </w:r>
      <w:r>
        <w:rPr>
          <w:rFonts w:hint="eastAsia" w:ascii="Arial" w:hAnsi="Arial" w:eastAsia="宋体" w:cs="Arial"/>
          <w:b w:val="0"/>
          <w:bCs w:val="0"/>
          <w:color w:val="000000"/>
          <w:kern w:val="0"/>
          <w:sz w:val="24"/>
          <w:szCs w:val="24"/>
          <w:lang w:val="en-US" w:eastAsia="zh-CN" w:bidi="ar"/>
        </w:rPr>
        <w:t xml:space="preserve"> list</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eastAsia="宋体" w:cs="Arial"/>
          <w:b w:val="0"/>
          <w:bCs w:val="0"/>
          <w:color w:val="000000"/>
          <w:kern w:val="0"/>
          <w:sz w:val="24"/>
          <w:szCs w:val="24"/>
          <w:lang w:val="en-US" w:eastAsia="zh-CN" w:bidi="ar"/>
        </w:rPr>
        <w:t>Taking the UWTSD Harvard referencing standard, with one combined list of references at the end of the literature review. Among other things, these sources should be credible and relevant, and all sources cited in the text should be listed.</w:t>
      </w:r>
    </w:p>
    <w:p>
      <w:pPr>
        <w:keepNext w:val="0"/>
        <w:keepLines w:val="0"/>
        <w:pageBreakBefore/>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Arial-BoldMT"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Part 2: Annotated Bibliography of 100 Relevant Sources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both"/>
        <w:textAlignment w:val="auto"/>
        <w:rPr>
          <w:rFonts w:hint="default" w:ascii="Arial" w:hAnsi="Arial" w:eastAsia="宋体" w:cs="Arial"/>
          <w:b w:val="0"/>
          <w:bCs w:val="0"/>
          <w:color w:val="000000"/>
          <w:kern w:val="0"/>
          <w:sz w:val="21"/>
          <w:szCs w:val="21"/>
          <w:lang w:val="en-US" w:eastAsia="zh-CN" w:bidi="ar"/>
        </w:rPr>
      </w:pPr>
      <w:r>
        <w:rPr>
          <w:rFonts w:hint="default" w:ascii="Arial" w:hAnsi="Arial" w:eastAsia="宋体" w:cs="Arial"/>
          <w:b w:val="0"/>
          <w:bCs w:val="0"/>
          <w:color w:val="000000"/>
          <w:kern w:val="0"/>
          <w:sz w:val="21"/>
          <w:szCs w:val="21"/>
          <w:lang w:val="en-US" w:eastAsia="zh-CN" w:bidi="ar"/>
        </w:rPr>
        <w:t>Table 1. Brief Comments on the Usefulness and Key Points of Each</w:t>
      </w:r>
    </w:p>
    <w:tbl>
      <w:tblPr>
        <w:tblStyle w:val="8"/>
        <w:tblW w:w="11250" w:type="dxa"/>
        <w:tblInd w:w="-137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25"/>
        <w:gridCol w:w="2250"/>
        <w:gridCol w:w="2070"/>
        <w:gridCol w:w="1695"/>
        <w:gridCol w:w="35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Authors</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Context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Methods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Discipline</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Key empirical contribution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Pritchard (2013)</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What is this thing called knowledge?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Qualitative research</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 xml:space="preserve">through key concepts, main philosophers' thoughts and </w:t>
            </w:r>
            <w:r>
              <w:rPr>
                <w:rFonts w:hint="eastAsia" w:ascii="Arial" w:hAnsi="Arial" w:eastAsia="宋体" w:cs="Arial"/>
                <w:b w:val="0"/>
                <w:bCs w:val="0"/>
                <w:color w:val="000000"/>
                <w:kern w:val="0"/>
                <w:sz w:val="21"/>
                <w:szCs w:val="21"/>
                <w:vertAlign w:val="baseline"/>
                <w:lang w:val="en-US" w:eastAsia="zh-CN" w:bidi="ar"/>
              </w:rPr>
              <w:t>cases</w:t>
            </w:r>
            <w:r>
              <w:rPr>
                <w:rFonts w:hint="default"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Epistemology of philosophy</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By introducing the latest developments in</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contemporary epistemology, the theory of knowledge is defined more</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comprehensively and key terms are provided.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Efron</w:t>
            </w:r>
            <w:r>
              <w:rPr>
                <w:rFonts w:hint="eastAsia" w:ascii="Arial" w:hAnsi="Arial" w:eastAsia="宋体" w:cs="Arial"/>
                <w:b w:val="0"/>
                <w:bCs w:val="0"/>
                <w:color w:val="000000"/>
                <w:kern w:val="0"/>
                <w:sz w:val="21"/>
                <w:szCs w:val="21"/>
                <w:vertAlign w:val="baseline"/>
                <w:lang w:val="en-US" w:eastAsia="zh-CN" w:bidi="ar"/>
              </w:rPr>
              <w:t xml:space="preserve"> and Ravid </w:t>
            </w:r>
            <w:r>
              <w:rPr>
                <w:rFonts w:hint="default" w:ascii="Arial" w:hAnsi="Arial" w:eastAsia="宋体" w:cs="Arial"/>
                <w:b w:val="0"/>
                <w:bCs w:val="0"/>
                <w:color w:val="000000"/>
                <w:kern w:val="0"/>
                <w:sz w:val="21"/>
                <w:szCs w:val="21"/>
                <w:vertAlign w:val="baseline"/>
                <w:lang w:val="en-US" w:eastAsia="zh-CN" w:bidi="ar"/>
              </w:rPr>
              <w:t>(2019)</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Writing the literature review : a practical guide</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Q</w:t>
            </w:r>
            <w:r>
              <w:rPr>
                <w:rFonts w:hint="default" w:ascii="Arial" w:hAnsi="Arial" w:eastAsia="宋体" w:cs="Arial"/>
                <w:b w:val="0"/>
                <w:bCs w:val="0"/>
                <w:color w:val="000000"/>
                <w:kern w:val="0"/>
                <w:sz w:val="21"/>
                <w:szCs w:val="21"/>
                <w:vertAlign w:val="baseline"/>
                <w:lang w:val="en-US" w:eastAsia="zh-CN" w:bidi="ar"/>
              </w:rPr>
              <w:t xml:space="preserve">ualitative research by explaining previous studies, </w:t>
            </w:r>
            <w:r>
              <w:rPr>
                <w:rFonts w:hint="eastAsia" w:ascii="Arial" w:hAnsi="Arial" w:eastAsia="宋体" w:cs="Arial"/>
                <w:b w:val="0"/>
                <w:bCs w:val="0"/>
                <w:color w:val="000000"/>
                <w:kern w:val="0"/>
                <w:sz w:val="21"/>
                <w:szCs w:val="21"/>
                <w:vertAlign w:val="baseline"/>
                <w:lang w:val="en-US" w:eastAsia="zh-CN" w:bidi="ar"/>
              </w:rPr>
              <w:t>using cases</w:t>
            </w:r>
            <w:r>
              <w:rPr>
                <w:rFonts w:hint="default" w:ascii="Arial" w:hAnsi="Arial" w:eastAsia="宋体" w:cs="Arial"/>
                <w:b w:val="0"/>
                <w:bCs w:val="0"/>
                <w:color w:val="000000"/>
                <w:kern w:val="0"/>
                <w:sz w:val="21"/>
                <w:szCs w:val="21"/>
                <w:vertAlign w:val="baseline"/>
                <w:lang w:val="en-US" w:eastAsia="zh-CN" w:bidi="ar"/>
              </w:rPr>
              <w:t xml:space="preserve"> and practice</w:t>
            </w:r>
            <w:r>
              <w:rPr>
                <w:rFonts w:hint="eastAsia" w:ascii="Arial" w:hAnsi="Arial" w:eastAsia="宋体" w:cs="Arial"/>
                <w:b w:val="0"/>
                <w:bCs w:val="0"/>
                <w:color w:val="000000"/>
                <w:kern w:val="0"/>
                <w:sz w:val="21"/>
                <w:szCs w:val="21"/>
                <w:vertAlign w:val="baseline"/>
                <w:lang w:val="en-US" w:eastAsia="zh-CN" w:bidi="ar"/>
              </w:rPr>
              <w:t>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S</w:t>
            </w:r>
            <w:r>
              <w:rPr>
                <w:rFonts w:hint="default" w:ascii="Arial" w:hAnsi="Arial" w:eastAsia="宋体" w:cs="Arial"/>
                <w:b w:val="0"/>
                <w:bCs w:val="0"/>
                <w:color w:val="000000"/>
                <w:kern w:val="0"/>
                <w:sz w:val="21"/>
                <w:szCs w:val="21"/>
                <w:vertAlign w:val="baseline"/>
                <w:lang w:val="en-US" w:eastAsia="zh-CN" w:bidi="ar"/>
              </w:rPr>
              <w:t>ystematic, traditional-narrative,</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hermeneutic-phenomenological</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Construct reviews of different types and research methods, pointing out their similarities and different characteristics. The procedures and software for literature review are also suggested.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Alison </w:t>
            </w:r>
            <w:r>
              <w:rPr>
                <w:rFonts w:hint="eastAsia" w:ascii="Arial" w:hAnsi="Arial" w:eastAsia="宋体" w:cs="Arial"/>
                <w:b w:val="0"/>
                <w:bCs w:val="0"/>
                <w:color w:val="000000"/>
                <w:kern w:val="0"/>
                <w:sz w:val="21"/>
                <w:szCs w:val="21"/>
                <w:vertAlign w:val="baseline"/>
                <w:lang w:val="en-US" w:eastAsia="zh-CN" w:bidi="ar"/>
              </w:rPr>
              <w:t>and</w:t>
            </w:r>
            <w:r>
              <w:rPr>
                <w:rFonts w:hint="default" w:ascii="Arial" w:hAnsi="Arial" w:eastAsia="宋体" w:cs="Arial"/>
                <w:b w:val="0"/>
                <w:bCs w:val="0"/>
                <w:color w:val="000000"/>
                <w:kern w:val="0"/>
                <w:sz w:val="21"/>
                <w:szCs w:val="21"/>
                <w:vertAlign w:val="baseline"/>
                <w:lang w:val="en-US" w:eastAsia="zh-CN" w:bidi="ar"/>
              </w:rPr>
              <w:t xml:space="preserve"> Mike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Critical reading and writing for postgraduates</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widowControl/>
              <w:suppressLineNumbers w:val="0"/>
              <w:spacing w:line="20" w:lineRule="atLeast"/>
              <w:jc w:val="left"/>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Use mind mapping, a text analysis and case study.</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Research paper skills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Present reflective and advanced critical steps in academic work, and provide online resource support</w:t>
            </w:r>
            <w:r>
              <w:rPr>
                <w:rFonts w:hint="eastAsia" w:ascii="Arial" w:hAnsi="Arial" w:eastAsia="宋体" w:cs="Arial"/>
                <w:b w:val="0"/>
                <w:bCs w:val="0"/>
                <w:color w:val="000000"/>
                <w:kern w:val="0"/>
                <w:sz w:val="21"/>
                <w:szCs w:val="21"/>
                <w:vertAlign w:val="baseli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ascii="Helvetica" w:hAnsi="Helvetica" w:eastAsia="Helvetica" w:cs="Helvetica"/>
                <w:i w:val="0"/>
                <w:iCs w:val="0"/>
                <w:caps w:val="0"/>
                <w:color w:val="070726"/>
                <w:spacing w:val="0"/>
                <w:sz w:val="21"/>
                <w:szCs w:val="21"/>
                <w:shd w:val="clear" w:fill="FFFFFF"/>
              </w:rPr>
              <w:t>Bell</w:t>
            </w:r>
            <w:r>
              <w:rPr>
                <w:rFonts w:hint="eastAsia" w:ascii="Helvetica" w:hAnsi="Helvetica" w:eastAsia="宋体" w:cs="Helvetica"/>
                <w:i w:val="0"/>
                <w:iCs w:val="0"/>
                <w:caps w:val="0"/>
                <w:color w:val="070726"/>
                <w:spacing w:val="0"/>
                <w:sz w:val="21"/>
                <w:szCs w:val="21"/>
                <w:shd w:val="clear" w:fill="FFFFFF"/>
                <w:lang w:eastAsia="zh-CN"/>
              </w:rPr>
              <w:t xml:space="preserve"> </w:t>
            </w:r>
            <w:r>
              <w:rPr>
                <w:rFonts w:hint="eastAsia" w:ascii="Helvetica" w:hAnsi="Helvetica" w:eastAsia="宋体" w:cs="Helvetica"/>
                <w:i w:val="0"/>
                <w:iCs w:val="0"/>
                <w:caps w:val="0"/>
                <w:color w:val="070726"/>
                <w:spacing w:val="0"/>
                <w:sz w:val="21"/>
                <w:szCs w:val="21"/>
                <w:shd w:val="clear" w:fill="FFFFFF"/>
                <w:lang w:val="en-US" w:eastAsia="zh-CN"/>
              </w:rPr>
              <w:t>(2017）</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Doing Your Research Project: A Guide for First-time Researchers.</w:t>
            </w:r>
          </w:p>
        </w:tc>
        <w:tc>
          <w:tcPr>
            <w:tcW w:w="2070" w:type="dxa"/>
          </w:tcPr>
          <w:p>
            <w:pPr>
              <w:keepNext w:val="0"/>
              <w:keepLines w:val="0"/>
              <w:widowControl/>
              <w:suppressLineNumbers w:val="0"/>
              <w:spacing w:line="20" w:lineRule="atLeast"/>
              <w:jc w:val="left"/>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Distinguish between qualitative </w:t>
            </w:r>
            <w:r>
              <w:rPr>
                <w:rFonts w:hint="eastAsia" w:ascii="Arial" w:hAnsi="Arial" w:eastAsia="宋体" w:cs="Arial"/>
                <w:b w:val="0"/>
                <w:bCs w:val="0"/>
                <w:color w:val="000000"/>
                <w:kern w:val="0"/>
                <w:sz w:val="21"/>
                <w:szCs w:val="21"/>
                <w:vertAlign w:val="baseline"/>
                <w:lang w:val="en-US" w:eastAsia="zh-CN" w:bidi="ar"/>
              </w:rPr>
              <w:t xml:space="preserve">research </w:t>
            </w:r>
            <w:r>
              <w:rPr>
                <w:rFonts w:hint="default" w:ascii="Arial" w:hAnsi="Arial" w:eastAsia="宋体" w:cs="Arial"/>
                <w:b w:val="0"/>
                <w:bCs w:val="0"/>
                <w:color w:val="000000"/>
                <w:kern w:val="0"/>
                <w:sz w:val="21"/>
                <w:szCs w:val="21"/>
                <w:vertAlign w:val="baseline"/>
                <w:lang w:val="en-US" w:eastAsia="zh-CN" w:bidi="ar"/>
              </w:rPr>
              <w:t>and quantitative</w:t>
            </w:r>
            <w:r>
              <w:rPr>
                <w:rFonts w:hint="eastAsia" w:ascii="Arial" w:hAnsi="Arial" w:eastAsia="宋体" w:cs="Arial"/>
                <w:b w:val="0"/>
                <w:bCs w:val="0"/>
                <w:color w:val="000000"/>
                <w:kern w:val="0"/>
                <w:sz w:val="21"/>
                <w:szCs w:val="21"/>
                <w:vertAlign w:val="baseline"/>
                <w:lang w:val="en-US" w:eastAsia="zh-CN" w:bidi="ar"/>
              </w:rPr>
              <w:t xml:space="preserve"> research.</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Any subject includes the social sciences, education and health</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Provides guidance from concept to completion of the study and protection of participants. Explain social media data collection tools and literature search engines with ethical considerations.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 xml:space="preserve">Cram </w:t>
            </w:r>
            <w:r>
              <w:rPr>
                <w:rFonts w:hint="default" w:ascii="Arial" w:hAnsi="Arial" w:eastAsia="宋体" w:cs="Arial"/>
                <w:b w:val="0"/>
                <w:bCs w:val="0"/>
                <w:color w:val="000000"/>
                <w:kern w:val="0"/>
                <w:sz w:val="21"/>
                <w:szCs w:val="21"/>
                <w:vertAlign w:val="baseline"/>
                <w:lang w:val="en-US" w:eastAsia="zh-CN" w:bidi="ar"/>
              </w:rPr>
              <w:t xml:space="preserve">et al. (2020) </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(Re)considering the Concept of Literature Review Reproducibility</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Related IS journal research</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A</w:t>
            </w:r>
            <w:r>
              <w:rPr>
                <w:rFonts w:hint="default" w:ascii="Arial" w:hAnsi="Arial" w:eastAsia="宋体" w:cs="Arial"/>
                <w:b w:val="0"/>
                <w:bCs w:val="0"/>
                <w:color w:val="000000"/>
                <w:kern w:val="0"/>
                <w:sz w:val="21"/>
                <w:szCs w:val="21"/>
                <w:vertAlign w:val="baseline"/>
                <w:lang w:val="en-US" w:eastAsia="zh-CN" w:bidi="ar"/>
              </w:rPr>
              <w:t>cademic</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Clarify the premise, difference and feasibility of reproducibility of literature review.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Rowlands,</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 xml:space="preserve">Waddell </w:t>
            </w:r>
            <w:r>
              <w:rPr>
                <w:rFonts w:hint="eastAsia" w:ascii="Arial" w:hAnsi="Arial" w:eastAsia="宋体" w:cs="Arial"/>
                <w:b w:val="0"/>
                <w:bCs w:val="0"/>
                <w:color w:val="000000"/>
                <w:kern w:val="0"/>
                <w:sz w:val="21"/>
                <w:szCs w:val="21"/>
                <w:vertAlign w:val="baseline"/>
                <w:lang w:val="en-US" w:eastAsia="zh-CN" w:bidi="ar"/>
              </w:rPr>
              <w:t>and</w:t>
            </w:r>
            <w:r>
              <w:rPr>
                <w:rFonts w:hint="default" w:ascii="Arial" w:hAnsi="Arial" w:eastAsia="宋体" w:cs="Arial"/>
                <w:b w:val="0"/>
                <w:bCs w:val="0"/>
                <w:color w:val="000000"/>
                <w:kern w:val="0"/>
                <w:sz w:val="21"/>
                <w:szCs w:val="21"/>
                <w:vertAlign w:val="baseline"/>
                <w:lang w:val="en-US" w:eastAsia="zh-CN" w:bidi="ar"/>
              </w:rPr>
              <w:t xml:space="preserve"> McKenna (2016)</w:t>
            </w:r>
          </w:p>
        </w:tc>
        <w:tc>
          <w:tcPr>
            <w:tcW w:w="225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Are We There Yet? A Technique to Determine Theoretical Saturation</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Through hypothesis and lognormal distribution principle, quantitative research is carried out.</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Grounded theory methodology and qualitative research based on interviews</w:t>
            </w:r>
          </w:p>
        </w:tc>
        <w:tc>
          <w:tcPr>
            <w:tcW w:w="351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show that this effective technique for measuring theoretical saturation</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(ThS) is independent of interview order.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Janice (1995)</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Qualitative health research</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Q</w:t>
            </w:r>
            <w:r>
              <w:rPr>
                <w:rFonts w:hint="default" w:ascii="Arial" w:hAnsi="Arial" w:eastAsia="宋体" w:cs="Arial"/>
                <w:b w:val="0"/>
                <w:bCs w:val="0"/>
                <w:color w:val="000000"/>
                <w:kern w:val="0"/>
                <w:sz w:val="21"/>
                <w:szCs w:val="21"/>
                <w:vertAlign w:val="baseline"/>
                <w:lang w:val="en-US" w:eastAsia="zh-CN" w:bidi="ar"/>
              </w:rPr>
              <w:t>ualitative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Q</w:t>
            </w:r>
            <w:r>
              <w:rPr>
                <w:rFonts w:hint="default" w:ascii="Arial" w:hAnsi="Arial" w:eastAsia="宋体" w:cs="Arial"/>
                <w:b w:val="0"/>
                <w:bCs w:val="0"/>
                <w:color w:val="000000"/>
                <w:kern w:val="0"/>
                <w:sz w:val="21"/>
                <w:szCs w:val="21"/>
                <w:vertAlign w:val="baseline"/>
                <w:lang w:val="en-US" w:eastAsia="zh-CN" w:bidi="ar"/>
              </w:rPr>
              <w:t>ualitative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eastAsia" w:ascii="Arial" w:hAnsi="Arial" w:eastAsia="宋体" w:cs="Arial"/>
                <w:b w:val="0"/>
                <w:bCs w:val="0"/>
                <w:color w:val="000000"/>
                <w:kern w:val="0"/>
                <w:sz w:val="21"/>
                <w:szCs w:val="21"/>
                <w:vertAlign w:val="baseline"/>
                <w:lang w:val="en-US" w:eastAsia="zh-CN" w:bidi="ar"/>
              </w:rPr>
              <w:t>Research</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Introduces the five principles of saturation and the impact of unsaturated research quality.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Paré et al. (2016)</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Contextualizing the twin concepts of systematicity and transparency in information systems literature reviews</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Use empirical research and iterative, inductive, and retrospective methods.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Positivism and interpretivism</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types of articles in the field of information systems and a credible literature review process are explained to achieve methodological and reporting transparency.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Wisker</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(2015)</w:t>
            </w:r>
          </w:p>
        </w:tc>
        <w:tc>
          <w:tcPr>
            <w:tcW w:w="225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Developing doctoral authors: engaging with theoretical perspectives through the literature review</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U</w:t>
            </w:r>
            <w:r>
              <w:rPr>
                <w:rFonts w:hint="default" w:ascii="Arial" w:hAnsi="Arial" w:eastAsia="宋体" w:cs="Arial"/>
                <w:b w:val="0"/>
                <w:bCs w:val="0"/>
                <w:color w:val="000000"/>
                <w:kern w:val="0"/>
                <w:sz w:val="21"/>
                <w:szCs w:val="21"/>
                <w:vertAlign w:val="baseline"/>
                <w:lang w:val="en-US" w:eastAsia="zh-CN" w:bidi="ar"/>
              </w:rPr>
              <w:t>se work on conceptual threshold crossings</w:t>
            </w:r>
            <w:r>
              <w:rPr>
                <w:rFonts w:hint="eastAsia" w:ascii="Arial" w:hAnsi="Arial" w:eastAsia="宋体" w:cs="Arial"/>
                <w:b w:val="0"/>
                <w:bCs w:val="0"/>
                <w:color w:val="000000"/>
                <w:kern w:val="0"/>
                <w:sz w:val="21"/>
                <w:szCs w:val="21"/>
                <w:vertAlign w:val="baseline"/>
                <w:lang w:val="en-US" w:eastAsia="zh-CN" w:bidi="ar"/>
              </w:rPr>
              <w:t>.</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A</w:t>
            </w:r>
            <w:r>
              <w:rPr>
                <w:rFonts w:hint="default" w:ascii="Arial" w:hAnsi="Arial" w:eastAsia="宋体" w:cs="Arial"/>
                <w:b w:val="0"/>
                <w:bCs w:val="0"/>
                <w:color w:val="000000"/>
                <w:kern w:val="0"/>
                <w:sz w:val="21"/>
                <w:szCs w:val="21"/>
                <w:vertAlign w:val="baseline"/>
                <w:lang w:val="en-US" w:eastAsia="zh-CN" w:bidi="ar"/>
              </w:rPr>
              <w:t>cademic</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writing</w:t>
            </w:r>
            <w:r>
              <w:rPr>
                <w:rFonts w:hint="default" w:ascii="Arial" w:hAnsi="Arial" w:eastAsia="宋体" w:cs="Arial"/>
                <w:b w:val="0"/>
                <w:bCs w:val="0"/>
                <w:color w:val="000000"/>
                <w:kern w:val="0"/>
                <w:sz w:val="21"/>
                <w:szCs w:val="21"/>
                <w:vertAlign w:val="baseline"/>
                <w:lang w:val="en-US" w:eastAsia="zh-CN" w:bidi="ar"/>
              </w:rPr>
              <w:fldChar w:fldCharType="end"/>
            </w:r>
            <w:r>
              <w:rPr>
                <w:rFonts w:hint="eastAsia" w:ascii="Arial" w:hAnsi="Arial" w:eastAsia="宋体" w:cs="Arial"/>
                <w:b w:val="0"/>
                <w:bCs w:val="0"/>
                <w:color w:val="000000"/>
                <w:kern w:val="0"/>
                <w:sz w:val="21"/>
                <w:szCs w:val="21"/>
                <w:vertAlign w:val="baseline"/>
                <w:lang w:val="en-US" w:eastAsia="zh-CN" w:bidi="ar"/>
              </w:rPr>
              <w:t xml:space="preserve"> and relationships</w:t>
            </w:r>
          </w:p>
        </w:tc>
        <w:tc>
          <w:tcPr>
            <w:tcW w:w="351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Identify doctoral student participation and understand theoretical perspectives through literature review</w:t>
            </w:r>
            <w:r>
              <w:rPr>
                <w:rFonts w:hint="eastAsia" w:ascii="Arial" w:hAnsi="Arial" w:eastAsia="宋体" w:cs="Arial"/>
                <w:b w:val="0"/>
                <w:bCs w:val="0"/>
                <w:color w:val="000000"/>
                <w:kern w:val="0"/>
                <w:sz w:val="21"/>
                <w:szCs w:val="21"/>
                <w:vertAlign w:val="baseline"/>
                <w:lang w:val="en-US" w:eastAsia="zh-CN" w:bidi="ar"/>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Cunliffe</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(2016)</w:t>
            </w:r>
          </w:p>
        </w:tc>
        <w:tc>
          <w:tcPr>
            <w:tcW w:w="225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On Becoming a Critically Reflexive Practitioner</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Q</w:t>
            </w:r>
            <w:r>
              <w:rPr>
                <w:rFonts w:hint="default" w:ascii="Arial" w:hAnsi="Arial" w:eastAsia="宋体" w:cs="Arial"/>
                <w:b w:val="0"/>
                <w:bCs w:val="0"/>
                <w:color w:val="000000"/>
                <w:kern w:val="0"/>
                <w:sz w:val="21"/>
                <w:szCs w:val="21"/>
                <w:vertAlign w:val="baseline"/>
                <w:lang w:val="en-US" w:eastAsia="zh-CN" w:bidi="ar"/>
              </w:rPr>
              <w:t>ualitative research through exercises, maps and examples.</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Management Education</w:t>
            </w:r>
          </w:p>
        </w:tc>
        <w:tc>
          <w:tcPr>
            <w:tcW w:w="3510"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Stimulate critical reflection on practice by understanding the impact of assumptions, values and actions. And establish that the essence of social construction of reality and identity is relationship.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Booth, Sutton</w:t>
            </w:r>
            <w:r>
              <w:rPr>
                <w:rFonts w:hint="eastAsia" w:ascii="Arial" w:hAnsi="Arial" w:eastAsia="宋体" w:cs="Arial"/>
                <w:b w:val="0"/>
                <w:bCs w:val="0"/>
                <w:color w:val="000000"/>
                <w:kern w:val="0"/>
                <w:sz w:val="21"/>
                <w:szCs w:val="21"/>
                <w:vertAlign w:val="baseline"/>
                <w:lang w:val="en-US" w:eastAsia="zh-CN" w:bidi="ar"/>
              </w:rPr>
              <w:t xml:space="preserve"> and </w:t>
            </w:r>
            <w:r>
              <w:rPr>
                <w:rFonts w:hint="default" w:ascii="Arial" w:hAnsi="Arial" w:eastAsia="宋体" w:cs="Arial"/>
                <w:b w:val="0"/>
                <w:bCs w:val="0"/>
                <w:color w:val="000000"/>
                <w:kern w:val="0"/>
                <w:sz w:val="21"/>
                <w:szCs w:val="21"/>
                <w:vertAlign w:val="baseline"/>
                <w:lang w:val="en-US" w:eastAsia="zh-CN" w:bidi="ar"/>
              </w:rPr>
              <w:t>Papaioannou (2016)</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Systematic approaches to a successful literature review.</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Qualitative evidence</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Literature search and information management</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Lists specific methods for systematically reviewing the literature, including defining categories, evaluating research reliability and validity, and integrating quantitative and qualitative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Aguinis, Cascio </w:t>
            </w:r>
            <w:r>
              <w:rPr>
                <w:rFonts w:hint="eastAsia" w:ascii="Arial" w:hAnsi="Arial" w:eastAsia="宋体" w:cs="Arial"/>
                <w:b w:val="0"/>
                <w:bCs w:val="0"/>
                <w:color w:val="000000"/>
                <w:kern w:val="0"/>
                <w:sz w:val="21"/>
                <w:szCs w:val="21"/>
                <w:vertAlign w:val="baseline"/>
                <w:lang w:val="en-US" w:eastAsia="zh-CN" w:bidi="ar"/>
              </w:rPr>
              <w:t>and</w:t>
            </w:r>
            <w:r>
              <w:rPr>
                <w:rFonts w:hint="default" w:ascii="Arial" w:hAnsi="Arial" w:eastAsia="宋体" w:cs="Arial"/>
                <w:b w:val="0"/>
                <w:bCs w:val="0"/>
                <w:color w:val="000000"/>
                <w:kern w:val="0"/>
                <w:sz w:val="21"/>
                <w:szCs w:val="21"/>
                <w:vertAlign w:val="baseline"/>
                <w:lang w:val="en-US" w:eastAsia="zh-CN" w:bidi="ar"/>
              </w:rPr>
              <w:t xml:space="preserve"> Ramani (2017)</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Science’s reproducibility and replicability crisis: International business is not immune</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Search for maximum predictive statistical models based on specific data sets for trial and error</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International</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Use opportunity to minimize systematic capitalization of opportunity and improve reproducibility and replicability of research.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AurkoviA</w:t>
            </w:r>
            <w:r>
              <w:rPr>
                <w:rFonts w:hint="eastAsia" w:ascii="Arial" w:hAnsi="Arial" w:eastAsia="宋体" w:cs="Arial"/>
                <w:b w:val="0"/>
                <w:bCs w:val="0"/>
                <w:color w:val="000000"/>
                <w:kern w:val="0"/>
                <w:sz w:val="21"/>
                <w:szCs w:val="21"/>
                <w:vertAlign w:val="baseline"/>
                <w:lang w:val="en-US" w:eastAsia="zh-CN" w:bidi="ar"/>
              </w:rPr>
              <w:t xml:space="preserve"> and</w:t>
            </w:r>
            <w:r>
              <w:rPr>
                <w:rFonts w:hint="default" w:ascii="Arial" w:hAnsi="Arial" w:eastAsia="宋体" w:cs="Arial"/>
                <w:b w:val="0"/>
                <w:bCs w:val="0"/>
                <w:color w:val="000000"/>
                <w:kern w:val="0"/>
                <w:sz w:val="21"/>
                <w:szCs w:val="21"/>
                <w:vertAlign w:val="baseline"/>
                <w:lang w:val="en-US" w:eastAsia="zh-CN" w:bidi="ar"/>
              </w:rPr>
              <w:t xml:space="preserve"> KoA ec (2018)</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Bubble effect: including internet search engines in systematic reviews introduces selection bias and impedes scientific reproducibility</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Scientific evidence at the practical level</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Scientific epistemology</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is defined that the user personalization of Internet search engine results in search bubble effect, and the change of its algorithm has a negative impact on reproducibility and rigor, which should be centered on the number database.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Massaro,</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Dumay and Guthrie (2016)</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On the shoulders of giants: undertaking a structured literature review in accounting</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Test based on qualitative and quantitative methods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Accounting studies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The results show that this structured literature review </w:t>
            </w:r>
            <w:r>
              <w:rPr>
                <w:rFonts w:hint="eastAsia" w:ascii="Arial" w:hAnsi="Arial" w:eastAsia="宋体" w:cs="Arial"/>
                <w:b w:val="0"/>
                <w:bCs w:val="0"/>
                <w:color w:val="000000"/>
                <w:kern w:val="0"/>
                <w:sz w:val="21"/>
                <w:szCs w:val="21"/>
                <w:vertAlign w:val="baseline"/>
                <w:lang w:val="en-US" w:eastAsia="zh-CN" w:bidi="ar"/>
              </w:rPr>
              <w:t xml:space="preserve">(SLR) </w:t>
            </w:r>
            <w:r>
              <w:rPr>
                <w:rFonts w:hint="default" w:ascii="Arial" w:hAnsi="Arial" w:eastAsia="宋体" w:cs="Arial"/>
                <w:b w:val="0"/>
                <w:bCs w:val="0"/>
                <w:color w:val="000000"/>
                <w:kern w:val="0"/>
                <w:sz w:val="21"/>
                <w:szCs w:val="21"/>
                <w:vertAlign w:val="baseline"/>
                <w:lang w:val="en-US" w:eastAsia="zh-CN" w:bidi="ar"/>
              </w:rPr>
              <w:t>method is more valuable and rigorous than the traditional 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Templier</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and Paré (2018)</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Transparency in literature reviews: an assessment of reporting practices across review types and genres in top IS journals</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Descriptive review</w:t>
            </w:r>
            <w:r>
              <w:rPr>
                <w:rFonts w:hint="eastAsia" w:ascii="Arial" w:hAnsi="Arial" w:eastAsia="宋体" w:cs="Arial"/>
                <w:b w:val="0"/>
                <w:bCs w:val="0"/>
                <w:color w:val="000000"/>
                <w:kern w:val="0"/>
                <w:sz w:val="21"/>
                <w:szCs w:val="21"/>
                <w:vertAlign w:val="baseline"/>
                <w:lang w:val="en-US" w:eastAsia="zh-CN" w:bidi="ar"/>
              </w:rPr>
              <w:t xml:space="preserve"> through r</w:t>
            </w:r>
            <w:r>
              <w:rPr>
                <w:rFonts w:hint="default" w:ascii="Arial" w:hAnsi="Arial" w:eastAsia="宋体" w:cs="Arial"/>
                <w:b w:val="0"/>
                <w:bCs w:val="0"/>
                <w:color w:val="000000"/>
                <w:kern w:val="0"/>
                <w:sz w:val="21"/>
                <w:szCs w:val="21"/>
                <w:vertAlign w:val="baseline"/>
                <w:lang w:val="en-US" w:eastAsia="zh-CN" w:bidi="ar"/>
              </w:rPr>
              <w:t xml:space="preserve">eview </w:t>
            </w:r>
            <w:r>
              <w:rPr>
                <w:rFonts w:hint="eastAsia" w:ascii="Arial" w:hAnsi="Arial" w:eastAsia="宋体" w:cs="Arial"/>
                <w:b w:val="0"/>
                <w:bCs w:val="0"/>
                <w:color w:val="000000"/>
                <w:kern w:val="0"/>
                <w:sz w:val="21"/>
                <w:szCs w:val="21"/>
                <w:vertAlign w:val="baseline"/>
                <w:lang w:val="en-US" w:eastAsia="zh-CN" w:bidi="ar"/>
              </w:rPr>
              <w:t xml:space="preserve">AIS </w:t>
            </w:r>
            <w:r>
              <w:rPr>
                <w:rFonts w:hint="default" w:ascii="Arial" w:hAnsi="Arial" w:eastAsia="宋体" w:cs="Arial"/>
                <w:b w:val="0"/>
                <w:bCs w:val="0"/>
                <w:color w:val="000000"/>
                <w:kern w:val="0"/>
                <w:sz w:val="21"/>
                <w:szCs w:val="21"/>
                <w:vertAlign w:val="baseline"/>
                <w:lang w:val="en-US" w:eastAsia="zh-CN" w:bidi="ar"/>
              </w:rPr>
              <w:t>articles are identified, classified and coded</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Methodological element</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findings suggest that methods, procedures and techniques are under-reported in terms of transparency, while the most common theoretical developments and types of narrative reviews are also the most obscure, and the list of reported items using research can add credibility.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Wang, Han and Beynon-Davies (2019)</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highlight w:val="none"/>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Understanding blockchain technology for future supply chains: a systematic literature review and research agenda</w:t>
            </w:r>
            <w:r>
              <w:rPr>
                <w:rFonts w:hint="eastAsia" w:ascii="Arial" w:hAnsi="Arial" w:eastAsia="宋体" w:cs="Arial"/>
                <w:b w:val="0"/>
                <w:bCs w:val="0"/>
                <w:color w:val="000000"/>
                <w:kern w:val="0"/>
                <w:sz w:val="21"/>
                <w:szCs w:val="21"/>
                <w:highlight w:val="none"/>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systematic review of both academic and practitioner literature was conducted.</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And consulting multiple blockchain accounts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S</w:t>
            </w:r>
            <w:r>
              <w:rPr>
                <w:rFonts w:hint="default" w:ascii="Arial" w:hAnsi="Arial" w:eastAsia="宋体" w:cs="Arial"/>
                <w:b w:val="0"/>
                <w:bCs w:val="0"/>
                <w:color w:val="000000"/>
                <w:kern w:val="0"/>
                <w:sz w:val="21"/>
                <w:szCs w:val="21"/>
                <w:vertAlign w:val="baseline"/>
                <w:lang w:val="en-US" w:eastAsia="zh-CN" w:bidi="ar"/>
              </w:rPr>
              <w:t>upply chain management</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original focus was on the diffusion of blockchain technology in supply chains, but this paper carefully chose the term so that it did not include some blockchain articles.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Chang and Meyerhoefer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and the Demand for Online Food Shopping Services: Empirical Evidence from Taiwan</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Q</w:t>
            </w:r>
            <w:r>
              <w:rPr>
                <w:rFonts w:hint="default" w:ascii="Arial" w:hAnsi="Arial" w:eastAsia="宋体" w:cs="Arial"/>
                <w:b w:val="0"/>
                <w:bCs w:val="0"/>
                <w:color w:val="000000"/>
                <w:kern w:val="0"/>
                <w:sz w:val="21"/>
                <w:szCs w:val="21"/>
                <w:vertAlign w:val="baseline"/>
                <w:lang w:val="en-US" w:eastAsia="zh-CN" w:bidi="ar"/>
              </w:rPr>
              <w:t>uantitative research</w:t>
            </w:r>
            <w:r>
              <w:rPr>
                <w:rFonts w:hint="eastAsia" w:ascii="Arial" w:hAnsi="Arial" w:eastAsia="宋体" w:cs="Arial"/>
                <w:b w:val="0"/>
                <w:bCs w:val="0"/>
                <w:color w:val="000000"/>
                <w:kern w:val="0"/>
                <w:sz w:val="21"/>
                <w:szCs w:val="21"/>
                <w:vertAlign w:val="baseline"/>
                <w:lang w:val="en-US" w:eastAsia="zh-CN" w:bidi="ar"/>
              </w:rPr>
              <w:t xml:space="preserve"> t</w:t>
            </w:r>
            <w:r>
              <w:rPr>
                <w:rFonts w:hint="default" w:ascii="Arial" w:hAnsi="Arial" w:eastAsia="宋体" w:cs="Arial"/>
                <w:b w:val="0"/>
                <w:bCs w:val="0"/>
                <w:color w:val="000000"/>
                <w:kern w:val="0"/>
                <w:sz w:val="21"/>
                <w:szCs w:val="21"/>
                <w:vertAlign w:val="baseline"/>
                <w:lang w:val="en-US" w:eastAsia="zh-CN" w:bidi="ar"/>
              </w:rPr>
              <w:t>hrough the case of Taiwan agricultural products e-commerce platform data</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bookmarkStart w:id="1" w:name="OLE_LINK2"/>
            <w:r>
              <w:rPr>
                <w:rFonts w:hint="default" w:ascii="Arial" w:hAnsi="Arial" w:eastAsia="宋体" w:cs="Arial"/>
                <w:b w:val="0"/>
                <w:bCs w:val="0"/>
                <w:color w:val="000000"/>
                <w:kern w:val="0"/>
                <w:sz w:val="21"/>
                <w:szCs w:val="21"/>
                <w:vertAlign w:val="baseline"/>
                <w:lang w:val="en-US" w:eastAsia="zh-CN" w:bidi="ar"/>
              </w:rPr>
              <w:t>Agricultural Economics</w:t>
            </w:r>
            <w:bookmarkEnd w:id="1"/>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The survey results show that COVID-19 has had a positive impact on online food shopping services. On the one hand, demand increased, with grains, fresh fruits, vegetables and frozen foods showing the biggest increases, benefiting small farms and niche products. </w:t>
            </w:r>
            <w:r>
              <w:rPr>
                <w:rFonts w:hint="eastAsia" w:ascii="Arial" w:hAnsi="Arial" w:eastAsia="宋体" w:cs="Arial"/>
                <w:b w:val="0"/>
                <w:bCs w:val="0"/>
                <w:color w:val="000000"/>
                <w:kern w:val="0"/>
                <w:sz w:val="21"/>
                <w:szCs w:val="21"/>
                <w:vertAlign w:val="baseline"/>
                <w:lang w:val="en-US" w:eastAsia="zh-CN" w:bidi="ar"/>
              </w:rPr>
              <w:t>O</w:t>
            </w:r>
            <w:r>
              <w:rPr>
                <w:rFonts w:hint="default" w:ascii="Arial" w:hAnsi="Arial" w:eastAsia="宋体" w:cs="Arial"/>
                <w:b w:val="0"/>
                <w:bCs w:val="0"/>
                <w:color w:val="000000"/>
                <w:kern w:val="0"/>
                <w:sz w:val="21"/>
                <w:szCs w:val="21"/>
                <w:vertAlign w:val="baseline"/>
                <w:lang w:val="en-US" w:eastAsia="zh-CN" w:bidi="ar"/>
              </w:rPr>
              <w:t xml:space="preserve">n the other hand, </w:t>
            </w:r>
            <w:r>
              <w:rPr>
                <w:rFonts w:hint="eastAsia" w:ascii="Arial" w:hAnsi="Arial" w:eastAsia="宋体" w:cs="Arial"/>
                <w:b w:val="0"/>
                <w:bCs w:val="0"/>
                <w:color w:val="000000"/>
                <w:kern w:val="0"/>
                <w:sz w:val="21"/>
                <w:szCs w:val="21"/>
                <w:vertAlign w:val="baseline"/>
                <w:lang w:val="en-US" w:eastAsia="zh-CN" w:bidi="ar"/>
              </w:rPr>
              <w:t>s</w:t>
            </w:r>
            <w:r>
              <w:rPr>
                <w:rFonts w:hint="default" w:ascii="Arial" w:hAnsi="Arial" w:eastAsia="宋体" w:cs="Arial"/>
                <w:b w:val="0"/>
                <w:bCs w:val="0"/>
                <w:color w:val="000000"/>
                <w:kern w:val="0"/>
                <w:sz w:val="21"/>
                <w:szCs w:val="21"/>
                <w:vertAlign w:val="baseline"/>
                <w:lang w:val="en-US" w:eastAsia="zh-CN" w:bidi="ar"/>
              </w:rPr>
              <w:t>ales</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respond positively through online shopping mechanisms.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Richards</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and Rickard</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impact on fruit and vegetable markets</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Qualitative research through interviews with shippers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Agricultural Economics</w:t>
            </w:r>
            <w:r>
              <w:rPr>
                <w:rFonts w:hint="eastAsia" w:ascii="Arial" w:hAnsi="Arial" w:eastAsia="宋体" w:cs="Arial"/>
                <w:b w:val="0"/>
                <w:bCs w:val="0"/>
                <w:color w:val="000000"/>
                <w:kern w:val="0"/>
                <w:sz w:val="21"/>
                <w:szCs w:val="21"/>
                <w:vertAlign w:val="baseline"/>
                <w:lang w:val="en-US" w:eastAsia="zh-CN" w:bidi="ar"/>
              </w:rPr>
              <w:t xml:space="preserve"> and Markets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Focused on fresh produce in Canada, the supply chain shifts from food service to distribution and retail channels, constrained by immigration labor markets and logistics, but consumer behavior in purchasing food online will continue to change. This study can serve as a case study for developed countries.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Çakır, Li and Yang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and fresh produce markets in the United States and China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The wholesale prices of fruits and vegetables in China and the United States were compared under the framework of differences.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Applied economic perspectives and policy</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show that the impact of COVID-19 on the agricultural industry is not significant in the United States. However, the long-term effects of the mix are resilient, and changes in household consumption patterns and the structure of the food services market caused by lower incomes can have negative effects.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Kiley (2015)</w:t>
            </w:r>
          </w:p>
        </w:tc>
        <w:tc>
          <w:tcPr>
            <w:tcW w:w="2250" w:type="dxa"/>
          </w:tcPr>
          <w:p>
            <w:pPr>
              <w:widowControl w:val="0"/>
              <w:numPr>
                <w:ilvl w:val="0"/>
                <w:numId w:val="0"/>
              </w:numPr>
              <w:ind w:leftChars="0"/>
              <w:jc w:val="left"/>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 didn’t have a clue what they were talking about”: PhD candidates and theory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G</w:t>
            </w:r>
            <w:r>
              <w:rPr>
                <w:rFonts w:hint="default" w:ascii="Arial" w:hAnsi="Arial" w:eastAsia="宋体" w:cs="Arial"/>
                <w:b w:val="0"/>
                <w:bCs w:val="0"/>
                <w:color w:val="000000"/>
                <w:kern w:val="0"/>
                <w:sz w:val="21"/>
                <w:szCs w:val="21"/>
                <w:vertAlign w:val="baseline"/>
                <w:lang w:val="en-US" w:eastAsia="zh-CN" w:bidi="ar"/>
              </w:rPr>
              <w:t>rounded</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theory</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E</w:t>
            </w:r>
            <w:r>
              <w:rPr>
                <w:rFonts w:hint="default" w:ascii="Arial" w:hAnsi="Arial" w:eastAsia="宋体" w:cs="Arial"/>
                <w:b w:val="0"/>
                <w:bCs w:val="0"/>
                <w:color w:val="000000"/>
                <w:kern w:val="0"/>
                <w:sz w:val="21"/>
                <w:szCs w:val="21"/>
                <w:vertAlign w:val="baseline"/>
                <w:lang w:val="en-US" w:eastAsia="zh-CN" w:bidi="ar"/>
              </w:rPr>
              <w:t>pistemology</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Critical and innovative spirit is indispensable to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bookmarkStart w:id="2" w:name="OLE_LINK6" w:colFirst="1" w:colLast="1"/>
            <w:r>
              <w:rPr>
                <w:rFonts w:hint="default" w:ascii="Arial" w:hAnsi="Arial" w:eastAsia="宋体" w:cs="Arial"/>
                <w:b w:val="0"/>
                <w:bCs w:val="0"/>
                <w:color w:val="000000"/>
                <w:kern w:val="0"/>
                <w:sz w:val="21"/>
                <w:szCs w:val="21"/>
                <w:vertAlign w:val="baseline"/>
                <w:lang w:val="en-US" w:eastAsia="zh-CN" w:bidi="ar"/>
              </w:rPr>
              <w:t>Stella (2017)</w:t>
            </w:r>
          </w:p>
        </w:tc>
        <w:tc>
          <w:tcPr>
            <w:tcW w:w="2250" w:type="dxa"/>
          </w:tcPr>
          <w:p>
            <w:pPr>
              <w:widowControl w:val="0"/>
              <w:numPr>
                <w:ilvl w:val="0"/>
                <w:numId w:val="0"/>
              </w:numPr>
              <w:ind w:leftChars="0"/>
              <w:jc w:val="left"/>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Critical thinking skills: effective analysis, argument and reflection.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G</w:t>
            </w:r>
            <w:r>
              <w:rPr>
                <w:rFonts w:hint="default" w:ascii="Arial" w:hAnsi="Arial" w:eastAsia="宋体" w:cs="Arial"/>
                <w:b w:val="0"/>
                <w:bCs w:val="0"/>
                <w:color w:val="000000"/>
                <w:kern w:val="0"/>
                <w:sz w:val="21"/>
                <w:szCs w:val="21"/>
                <w:vertAlign w:val="baseline"/>
                <w:lang w:val="en-US" w:eastAsia="zh-CN" w:bidi="ar"/>
              </w:rPr>
              <w:t>rounded</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theory</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E</w:t>
            </w:r>
            <w:r>
              <w:rPr>
                <w:rFonts w:hint="default" w:ascii="Arial" w:hAnsi="Arial" w:eastAsia="宋体" w:cs="Arial"/>
                <w:b w:val="0"/>
                <w:bCs w:val="0"/>
                <w:color w:val="000000"/>
                <w:kern w:val="0"/>
                <w:sz w:val="21"/>
                <w:szCs w:val="21"/>
                <w:vertAlign w:val="baseline"/>
                <w:lang w:val="en-US" w:eastAsia="zh-CN" w:bidi="ar"/>
              </w:rPr>
              <w:t>pistemology</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Critical and innovative spirit is indispensable to research.</w:t>
            </w:r>
          </w:p>
        </w:tc>
      </w:tr>
      <w:bookmarkEnd w:id="2"/>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Donthu and Gustafsson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Effects of COVID-19 on business and research</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There are 13 papers covering different industry sectors.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eastAsia"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eastAsia" w:ascii="Arial" w:hAnsi="Arial" w:eastAsia="宋体" w:cs="Arial"/>
                <w:b w:val="0"/>
                <w:bCs w:val="0"/>
                <w:color w:val="000000"/>
                <w:kern w:val="0"/>
                <w:sz w:val="21"/>
                <w:szCs w:val="21"/>
                <w:vertAlign w:val="baseline"/>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eastAsia"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Tourism, Retail, Higher Education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eastAsia" w:ascii="Arial" w:hAnsi="Arial" w:eastAsia="宋体" w:cs="Arial"/>
                <w:b w:val="0"/>
                <w:bCs w:val="0"/>
                <w:color w:val="000000"/>
                <w:kern w:val="0"/>
                <w:sz w:val="21"/>
                <w:szCs w:val="21"/>
                <w:vertAlign w:val="baseline"/>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There is evidence of economic and social impacts in the context of COVID-19. One particular problem that needs to be addressed globally is changes in consumer behavior and corporate behavior, as well as employee, leadership, and ethical issues.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GRUSZCZYNSKI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COVID-19 Pandemic and International Trade: Temporary Turbulence or Paradigm Shift?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Based on a recent assessment by the United Nations Conference on Trade and Development (UNCTAD) based on conservative assumptions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International Trade</w:t>
            </w:r>
            <w:r>
              <w:rPr>
                <w:rFonts w:hint="eastAsia" w:ascii="Arial" w:hAnsi="Arial" w:eastAsia="宋体" w:cs="Arial"/>
                <w:b w:val="0"/>
                <w:bCs w:val="0"/>
                <w:color w:val="000000"/>
                <w:kern w:val="0"/>
                <w:sz w:val="21"/>
                <w:szCs w:val="21"/>
                <w:vertAlign w:val="baseline"/>
                <w:lang w:val="en-US" w:eastAsia="zh-CN" w:bidi="ar"/>
              </w:rPr>
              <w:t>, Information Technology Services, Consumer Demand, Food Shortages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There is evidence of a sharp decline in ICT services and global financial transactions, as well as a contraction in cross-border investment. On the demand side, consumers lack willingness to buy. It is embodied in the trade control of medical products and agricultural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Vidya and Prabheesh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Implications of COVID-19 Pandemic on the Global Trade Networks</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Trade network analysis and artificial neural network analysis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T</w:t>
            </w:r>
            <w:r>
              <w:rPr>
                <w:rFonts w:hint="default" w:ascii="Arial" w:hAnsi="Arial" w:eastAsia="宋体" w:cs="Arial"/>
                <w:b w:val="0"/>
                <w:bCs w:val="0"/>
                <w:color w:val="000000"/>
                <w:kern w:val="0"/>
                <w:sz w:val="21"/>
                <w:szCs w:val="21"/>
                <w:vertAlign w:val="baseline"/>
                <w:lang w:val="en-US" w:eastAsia="zh-CN" w:bidi="ar"/>
              </w:rPr>
              <w:t>rade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E</w:t>
            </w:r>
            <w:r>
              <w:rPr>
                <w:rFonts w:hint="default" w:ascii="Arial" w:hAnsi="Arial" w:eastAsia="宋体" w:cs="Arial"/>
                <w:b w:val="0"/>
                <w:bCs w:val="0"/>
                <w:color w:val="000000"/>
                <w:kern w:val="0"/>
                <w:sz w:val="21"/>
                <w:szCs w:val="21"/>
                <w:vertAlign w:val="baseline"/>
                <w:lang w:val="en-US" w:eastAsia="zh-CN" w:bidi="ar"/>
              </w:rPr>
              <w:t>conomics</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is confirmed that China's "central" position in the trade network has not been affected. By comparing the trade connectivity between countries before and after the epidemic, the structure of the trade network has changed significantly.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Chaturvedi, Chand and Rahman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Impact of the COVID-19 on Consumer Behavior Towards Organic Food in India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Analysis was carried out through secondary data surveyed by the Organic Food Association of India.</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The </w:t>
            </w:r>
            <w:r>
              <w:rPr>
                <w:rFonts w:hint="eastAsia" w:ascii="Arial" w:hAnsi="Arial" w:eastAsia="宋体" w:cs="Arial"/>
                <w:b w:val="0"/>
                <w:bCs w:val="0"/>
                <w:color w:val="000000"/>
                <w:kern w:val="0"/>
                <w:sz w:val="21"/>
                <w:szCs w:val="21"/>
                <w:vertAlign w:val="baseline"/>
                <w:lang w:val="en-US" w:eastAsia="zh-CN" w:bidi="ar"/>
              </w:rPr>
              <w:t>S</w:t>
            </w:r>
            <w:r>
              <w:rPr>
                <w:rFonts w:hint="default" w:ascii="Arial" w:hAnsi="Arial" w:eastAsia="宋体" w:cs="Arial"/>
                <w:b w:val="0"/>
                <w:bCs w:val="0"/>
                <w:color w:val="000000"/>
                <w:kern w:val="0"/>
                <w:sz w:val="21"/>
                <w:szCs w:val="21"/>
                <w:vertAlign w:val="baseline"/>
                <w:lang w:val="en-US" w:eastAsia="zh-CN" w:bidi="ar"/>
              </w:rPr>
              <w:t xml:space="preserve">ocial and </w:t>
            </w:r>
            <w:r>
              <w:rPr>
                <w:rFonts w:hint="eastAsia" w:ascii="Arial" w:hAnsi="Arial" w:eastAsia="宋体" w:cs="Arial"/>
                <w:b w:val="0"/>
                <w:bCs w:val="0"/>
                <w:color w:val="000000"/>
                <w:kern w:val="0"/>
                <w:sz w:val="21"/>
                <w:szCs w:val="21"/>
                <w:vertAlign w:val="baseline"/>
                <w:lang w:val="en-US" w:eastAsia="zh-CN" w:bidi="ar"/>
              </w:rPr>
              <w:t>E</w:t>
            </w:r>
            <w:r>
              <w:rPr>
                <w:rFonts w:hint="default" w:ascii="Arial" w:hAnsi="Arial" w:eastAsia="宋体" w:cs="Arial"/>
                <w:b w:val="0"/>
                <w:bCs w:val="0"/>
                <w:color w:val="000000"/>
                <w:kern w:val="0"/>
                <w:sz w:val="21"/>
                <w:szCs w:val="21"/>
                <w:vertAlign w:val="baseline"/>
                <w:lang w:val="en-US" w:eastAsia="zh-CN" w:bidi="ar"/>
              </w:rPr>
              <w:t xml:space="preserve">conomic </w:t>
            </w:r>
            <w:bookmarkStart w:id="3" w:name="OLE_LINK3"/>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of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onsumers</w:t>
            </w:r>
            <w:bookmarkEnd w:id="3"/>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reasons for consumers' organic food behavior before and after the epidemic were compared. Before it was high income and education, health and environmental protection; Then it turned to nutritional value to boost immunity.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Gao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To buy or not buy food online: The impact of the COVID-19 epidemic on the adoption of e-commerce in China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Online survey and collection of analysis data, through the design tool variable (IV) is the distance from the city to Wuhan, and prove the effectiveness of this method.</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of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field and object of investigation are highly relevant to my research. The results suggest that the pandemic has increased the likelihood of consumers buying food online, mainly among young people living in large cities with low perceived risk. Despite its limitations, the survey also has policy implications.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 Tong and Zhang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Constructing the Phrase Dictionary and Visualizing Consumer Behaviors in the Food Industry Based on Online Reviews during the COVID-19 Pandemic</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restaurant dictionary was trained by combining rules with statistics, and phrases were clustered by k-means algorithm.</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Co-occurrence analysis and word cloud analysis were conducted on dianping's online data in different periods.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of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findings underscore that the pandemic has made consumers more demanding about environmental hygiene and safe social distancing.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Wang et al. (2022)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How Did COVID-19 Reshape Food Procurement Around the Globe? Effective Operation and Redesign of the Food Retail Industry in China, Portugal, Turkey, and the USA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Cross-sectional survey data from China, Portugal, Turkey and the United States were used</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of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onsumers</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 xml:space="preserve">Food </w:t>
            </w:r>
            <w:r>
              <w:rPr>
                <w:rFonts w:hint="eastAsia" w:ascii="Arial" w:hAnsi="Arial" w:eastAsia="宋体" w:cs="Arial"/>
                <w:b w:val="0"/>
                <w:bCs w:val="0"/>
                <w:color w:val="000000"/>
                <w:kern w:val="0"/>
                <w:sz w:val="21"/>
                <w:szCs w:val="21"/>
                <w:vertAlign w:val="baseline"/>
                <w:lang w:val="en-US" w:eastAsia="zh-CN" w:bidi="ar"/>
              </w:rPr>
              <w:t>R</w:t>
            </w:r>
            <w:r>
              <w:rPr>
                <w:rFonts w:hint="default" w:ascii="Arial" w:hAnsi="Arial" w:eastAsia="宋体" w:cs="Arial"/>
                <w:b w:val="0"/>
                <w:bCs w:val="0"/>
                <w:color w:val="000000"/>
                <w:kern w:val="0"/>
                <w:sz w:val="21"/>
                <w:szCs w:val="21"/>
                <w:vertAlign w:val="baseline"/>
                <w:lang w:val="en-US" w:eastAsia="zh-CN" w:bidi="ar"/>
              </w:rPr>
              <w:t>etail</w:t>
            </w:r>
            <w:r>
              <w:rPr>
                <w:rFonts w:hint="eastAsia" w:ascii="Arial" w:hAnsi="Arial" w:eastAsia="宋体" w:cs="Arial"/>
                <w:b w:val="0"/>
                <w:bCs w:val="0"/>
                <w:color w:val="000000"/>
                <w:kern w:val="0"/>
                <w:sz w:val="21"/>
                <w:szCs w:val="21"/>
                <w:vertAlign w:val="baseline"/>
                <w:lang w:val="en-US" w:eastAsia="zh-CN" w:bidi="ar"/>
              </w:rPr>
              <w:t xml:space="preserve">, </w:t>
            </w:r>
            <w:r>
              <w:rPr>
                <w:rFonts w:hint="eastAsia" w:ascii="Arial" w:hAnsi="Arial" w:eastAsia="宋体" w:cs="Arial"/>
                <w:b w:val="0"/>
                <w:bCs w:val="0"/>
                <w:color w:val="000000"/>
                <w:kern w:val="0"/>
                <w:sz w:val="21"/>
                <w:szCs w:val="21"/>
                <w:vertAlign w:val="baseline"/>
                <w:lang w:val="en-US" w:eastAsia="zh-CN" w:bidi="ar"/>
              </w:rPr>
              <w:fldChar w:fldCharType="begin"/>
            </w:r>
            <w:r>
              <w:rPr>
                <w:rFonts w:hint="eastAsia" w:ascii="Arial" w:hAnsi="Arial" w:eastAsia="宋体" w:cs="Arial"/>
                <w:b w:val="0"/>
                <w:bCs w:val="0"/>
                <w:color w:val="000000"/>
                <w:kern w:val="0"/>
                <w:sz w:val="21"/>
                <w:szCs w:val="21"/>
                <w:vertAlign w:val="baseline"/>
                <w:lang w:val="en-US" w:eastAsia="zh-CN" w:bidi="ar"/>
              </w:rPr>
              <w:instrText xml:space="preserve"> HYPERLINK "javascript:;" </w:instrText>
            </w:r>
            <w:r>
              <w:rPr>
                <w:rFonts w:hint="eastAsia"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Business</w:t>
            </w:r>
            <w:r>
              <w:rPr>
                <w:rFonts w:hint="eastAsia" w:ascii="Arial" w:hAnsi="Arial" w:eastAsia="宋体" w:cs="Arial"/>
                <w:b w:val="0"/>
                <w:bCs w:val="0"/>
                <w:color w:val="000000"/>
                <w:kern w:val="0"/>
                <w:sz w:val="21"/>
                <w:szCs w:val="21"/>
                <w:vertAlign w:val="baseline"/>
                <w:lang w:val="en-US" w:eastAsia="zh-CN" w:bidi="ar"/>
              </w:rPr>
              <w:fldChar w:fldCharType="end"/>
            </w:r>
            <w:r>
              <w:rPr>
                <w:rFonts w:hint="eastAsia" w:ascii="Arial" w:hAnsi="Arial" w:eastAsia="宋体" w:cs="Arial"/>
                <w:b w:val="0"/>
                <w:bCs w:val="0"/>
                <w:color w:val="000000"/>
                <w:kern w:val="0"/>
                <w:sz w:val="21"/>
                <w:szCs w:val="21"/>
                <w:vertAlign w:val="baseline"/>
                <w:lang w:val="en-US" w:eastAsia="zh-CN" w:bidi="ar"/>
              </w:rPr>
              <w:t> </w:t>
            </w:r>
            <w:r>
              <w:rPr>
                <w:rFonts w:hint="eastAsia" w:ascii="Arial" w:hAnsi="Arial" w:eastAsia="宋体" w:cs="Arial"/>
                <w:b w:val="0"/>
                <w:bCs w:val="0"/>
                <w:color w:val="000000"/>
                <w:kern w:val="0"/>
                <w:sz w:val="21"/>
                <w:szCs w:val="21"/>
                <w:vertAlign w:val="baseline"/>
                <w:lang w:val="en-US" w:eastAsia="zh-CN" w:bidi="ar"/>
              </w:rPr>
              <w:fldChar w:fldCharType="begin"/>
            </w:r>
            <w:r>
              <w:rPr>
                <w:rFonts w:hint="eastAsia" w:ascii="Arial" w:hAnsi="Arial" w:eastAsia="宋体" w:cs="Arial"/>
                <w:b w:val="0"/>
                <w:bCs w:val="0"/>
                <w:color w:val="000000"/>
                <w:kern w:val="0"/>
                <w:sz w:val="21"/>
                <w:szCs w:val="21"/>
                <w:vertAlign w:val="baseline"/>
                <w:lang w:val="en-US" w:eastAsia="zh-CN" w:bidi="ar"/>
              </w:rPr>
              <w:instrText xml:space="preserve"> HYPERLINK "javascript:;" </w:instrText>
            </w:r>
            <w:r>
              <w:rPr>
                <w:rFonts w:hint="eastAsia"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Management</w:t>
            </w:r>
            <w:r>
              <w:rPr>
                <w:rFonts w:hint="eastAsia"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Compare the major changes in global consumer food purchasing behavior under the impact of COVID-19.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Chen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Does COVID-19 Affect the Behavior of Buying Fresh Food? Evidence from Wuhan, China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data of adult Internet users in Wuhan, China in 2020 were collected and the Logit model was constructed.</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of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onsumers</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show that the epidemic has affected the frequency and cost of buying fresh food online in Wuhan.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Conformity Consumer Behavior and External Threats: An Empirical Analysis in China During the COVID-19 Pandemic</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Quantitative research with China as a case</w:t>
            </w:r>
            <w:r>
              <w:rPr>
                <w:rFonts w:hint="eastAsia" w:ascii="Arial" w:hAnsi="Arial" w:eastAsia="宋体" w:cs="Arial"/>
                <w:b w:val="0"/>
                <w:bCs w:val="0"/>
                <w:color w:val="000000"/>
                <w:kern w:val="0"/>
                <w:sz w:val="21"/>
                <w:szCs w:val="21"/>
                <w:vertAlign w:val="baseline"/>
                <w:lang w:val="en-US" w:eastAsia="zh-CN" w:bidi="ar"/>
              </w:rPr>
              <w:t>,</w:t>
            </w:r>
            <w:r>
              <w:rPr>
                <w:rFonts w:hint="default" w:ascii="Arial" w:hAnsi="Arial" w:eastAsia="宋体" w:cs="Arial"/>
                <w:b w:val="0"/>
                <w:bCs w:val="0"/>
                <w:color w:val="000000"/>
                <w:kern w:val="0"/>
                <w:sz w:val="21"/>
                <w:szCs w:val="21"/>
                <w:vertAlign w:val="baseline"/>
                <w:lang w:val="en-US" w:eastAsia="zh-CN" w:bidi="ar"/>
              </w:rPr>
              <w:t xml:space="preserve"> assumes that the independent variable is epidemic severity and the dependent variable is conformity consumer behavior.</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Consumer </w:t>
            </w: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 xml:space="preserve">ehavior and </w:t>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 xml:space="preserve">onformity </w:t>
            </w:r>
            <w:r>
              <w:rPr>
                <w:rFonts w:hint="eastAsia" w:ascii="Arial" w:hAnsi="Arial" w:eastAsia="宋体" w:cs="Arial"/>
                <w:b w:val="0"/>
                <w:bCs w:val="0"/>
                <w:color w:val="000000"/>
                <w:kern w:val="0"/>
                <w:sz w:val="21"/>
                <w:szCs w:val="21"/>
                <w:vertAlign w:val="baseline"/>
                <w:lang w:val="en-US" w:eastAsia="zh-CN" w:bidi="ar"/>
              </w:rPr>
              <w:t>P</w:t>
            </w:r>
            <w:r>
              <w:rPr>
                <w:rFonts w:hint="default" w:ascii="Arial" w:hAnsi="Arial" w:eastAsia="宋体" w:cs="Arial"/>
                <w:b w:val="0"/>
                <w:bCs w:val="0"/>
                <w:color w:val="000000"/>
                <w:kern w:val="0"/>
                <w:sz w:val="21"/>
                <w:szCs w:val="21"/>
                <w:vertAlign w:val="baseline"/>
                <w:lang w:val="en-US" w:eastAsia="zh-CN" w:bidi="ar"/>
              </w:rPr>
              <w:t>sychology</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show that the epidemic situation causes consumer conformity behavior to be driven by fear, and the theoretical framework of this psychological mechanism is proposed.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Jain</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&amp; C</w:t>
            </w:r>
            <w:r>
              <w:rPr>
                <w:rFonts w:hint="eastAsia" w:ascii="Arial" w:hAnsi="Arial" w:eastAsia="宋体" w:cs="Arial"/>
                <w:b w:val="0"/>
                <w:bCs w:val="0"/>
                <w:color w:val="000000"/>
                <w:kern w:val="0"/>
                <w:sz w:val="21"/>
                <w:szCs w:val="21"/>
                <w:vertAlign w:val="baseline"/>
                <w:lang w:val="en-US" w:eastAsia="zh-CN" w:bidi="ar"/>
              </w:rPr>
              <w:t>onsumers</w:t>
            </w:r>
            <w:r>
              <w:rPr>
                <w:rFonts w:hint="default" w:ascii="Arial" w:hAnsi="Arial" w:eastAsia="宋体" w:cs="Arial"/>
                <w:b w:val="0"/>
                <w:bCs w:val="0"/>
                <w:color w:val="000000"/>
                <w:kern w:val="0"/>
                <w:sz w:val="21"/>
                <w:szCs w:val="21"/>
                <w:vertAlign w:val="baseline"/>
                <w:lang w:val="en-US" w:eastAsia="zh-CN" w:bidi="ar"/>
              </w:rPr>
              <w:t xml:space="preserve">: </w:t>
            </w:r>
            <w:r>
              <w:rPr>
                <w:rFonts w:hint="eastAsia" w:ascii="Arial" w:hAnsi="Arial" w:eastAsia="宋体" w:cs="Arial"/>
                <w:b w:val="0"/>
                <w:bCs w:val="0"/>
                <w:color w:val="000000"/>
                <w:kern w:val="0"/>
                <w:sz w:val="21"/>
                <w:szCs w:val="21"/>
                <w:vertAlign w:val="baseline"/>
                <w:lang w:val="en-US" w:eastAsia="zh-CN" w:bidi="ar"/>
              </w:rPr>
              <w:t>an empirical</w:t>
            </w:r>
            <w:r>
              <w:rPr>
                <w:rFonts w:hint="default" w:ascii="Arial" w:hAnsi="Arial" w:eastAsia="宋体" w:cs="Arial"/>
                <w:b w:val="0"/>
                <w:bCs w:val="0"/>
                <w:color w:val="000000"/>
                <w:kern w:val="0"/>
                <w:sz w:val="21"/>
                <w:szCs w:val="21"/>
                <w:vertAlign w:val="baseline"/>
                <w:lang w:val="en-US" w:eastAsia="zh-CN" w:bidi="ar"/>
              </w:rPr>
              <w:t xml:space="preserve"> </w:t>
            </w:r>
            <w:r>
              <w:rPr>
                <w:rFonts w:hint="eastAsia" w:ascii="Arial" w:hAnsi="Arial" w:eastAsia="宋体" w:cs="Arial"/>
                <w:b w:val="0"/>
                <w:bCs w:val="0"/>
                <w:color w:val="000000"/>
                <w:kern w:val="0"/>
                <w:sz w:val="21"/>
                <w:szCs w:val="21"/>
                <w:vertAlign w:val="baseline"/>
                <w:lang w:val="en-US" w:eastAsia="zh-CN" w:bidi="ar"/>
              </w:rPr>
              <w:t>study on the impact of COVID-19 pandemic on consumer</w:t>
            </w:r>
            <w:r>
              <w:rPr>
                <w:rFonts w:hint="default" w:ascii="Arial" w:hAnsi="Arial" w:eastAsia="宋体" w:cs="Arial"/>
                <w:b w:val="0"/>
                <w:bCs w:val="0"/>
                <w:color w:val="000000"/>
                <w:kern w:val="0"/>
                <w:sz w:val="21"/>
                <w:szCs w:val="21"/>
                <w:vertAlign w:val="baseline"/>
                <w:lang w:val="en-US" w:eastAsia="zh-CN" w:bidi="ar"/>
              </w:rPr>
              <w:t>’</w:t>
            </w:r>
            <w:r>
              <w:rPr>
                <w:rFonts w:hint="eastAsia" w:ascii="Arial" w:hAnsi="Arial" w:eastAsia="宋体" w:cs="Arial"/>
                <w:b w:val="0"/>
                <w:bCs w:val="0"/>
                <w:color w:val="000000"/>
                <w:kern w:val="0"/>
                <w:sz w:val="21"/>
                <w:szCs w:val="21"/>
                <w:vertAlign w:val="baseline"/>
                <w:lang w:val="en-US" w:eastAsia="zh-CN" w:bidi="ar"/>
              </w:rPr>
              <w:t>s buying behavior towards online shopping in Rajasthan - permanent or transient?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Quantitative </w:t>
            </w:r>
            <w:r>
              <w:rPr>
                <w:rFonts w:hint="eastAsia" w:ascii="Arial" w:hAnsi="Arial" w:eastAsia="宋体" w:cs="Arial"/>
                <w:b w:val="0"/>
                <w:bCs w:val="0"/>
                <w:color w:val="000000"/>
                <w:kern w:val="0"/>
                <w:sz w:val="21"/>
                <w:szCs w:val="21"/>
                <w:vertAlign w:val="baseline"/>
                <w:lang w:val="en-US" w:eastAsia="zh-CN" w:bidi="ar"/>
              </w:rPr>
              <w:t xml:space="preserve">research </w:t>
            </w:r>
            <w:r>
              <w:rPr>
                <w:rFonts w:hint="default" w:ascii="Arial" w:hAnsi="Arial" w:eastAsia="宋体" w:cs="Arial"/>
                <w:b w:val="0"/>
                <w:bCs w:val="0"/>
                <w:color w:val="000000"/>
                <w:kern w:val="0"/>
                <w:sz w:val="21"/>
                <w:szCs w:val="21"/>
                <w:vertAlign w:val="baseline"/>
                <w:lang w:val="en-US" w:eastAsia="zh-CN" w:bidi="ar"/>
              </w:rPr>
              <w:t>based on reliable secondary data and primary data from 175 Indian respondents in different age groups using Google tables.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P</w:t>
            </w:r>
            <w:r>
              <w:rPr>
                <w:rFonts w:hint="default" w:ascii="Arial" w:hAnsi="Arial" w:eastAsia="宋体" w:cs="Arial"/>
                <w:b w:val="0"/>
                <w:bCs w:val="0"/>
                <w:color w:val="000000"/>
                <w:kern w:val="0"/>
                <w:sz w:val="21"/>
                <w:szCs w:val="21"/>
                <w:vertAlign w:val="baseline"/>
                <w:lang w:val="en-US" w:eastAsia="zh-CN" w:bidi="ar"/>
              </w:rPr>
              <w:t>urchase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cross-sectional study of the established drivers that govern consumers' online shopping decisions and preferences is conducted to predict changes in consumer demand.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Lin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Cross-Border Shopping on Consumer Satisfaction Survey-The Case of COVID-19 was analyzed</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Case study on satisfaction degree of masks in cross-border online shopping.</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C</w:t>
            </w:r>
            <w:r>
              <w:rPr>
                <w:rFonts w:hint="default" w:ascii="Arial" w:hAnsi="Arial" w:eastAsia="宋体" w:cs="Arial"/>
                <w:b w:val="0"/>
                <w:bCs w:val="0"/>
                <w:color w:val="000000"/>
                <w:kern w:val="0"/>
                <w:sz w:val="21"/>
                <w:szCs w:val="21"/>
                <w:vertAlign w:val="baseline"/>
                <w:lang w:val="en-US" w:eastAsia="zh-CN" w:bidi="ar"/>
              </w:rPr>
              <w:t>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eastAsia" w:ascii="Arial" w:hAnsi="Arial" w:eastAsia="宋体" w:cs="Arial"/>
                <w:b w:val="0"/>
                <w:bCs w:val="0"/>
                <w:color w:val="000000"/>
                <w:kern w:val="0"/>
                <w:sz w:val="21"/>
                <w:szCs w:val="21"/>
                <w:vertAlign w:val="baseline"/>
                <w:lang w:val="en-US" w:eastAsia="zh-CN" w:bidi="ar"/>
              </w:rPr>
              <w:t>E</w:t>
            </w:r>
            <w:r>
              <w:rPr>
                <w:rFonts w:hint="default" w:ascii="Arial" w:hAnsi="Arial" w:eastAsia="宋体" w:cs="Arial"/>
                <w:b w:val="0"/>
                <w:bCs w:val="0"/>
                <w:color w:val="000000"/>
                <w:kern w:val="0"/>
                <w:sz w:val="21"/>
                <w:szCs w:val="21"/>
                <w:vertAlign w:val="baseline"/>
                <w:lang w:val="en-US" w:eastAsia="zh-CN" w:bidi="ar"/>
              </w:rPr>
              <w:t>xpectation</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case products are different from my research, but the results of this research can be used by me because consumers' expectations and perceptions lead to impulsive online purchases.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Janssen</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et al</w:t>
            </w:r>
            <w:r>
              <w:rPr>
                <w:rFonts w:hint="eastAsia" w:ascii="Arial" w:hAnsi="Arial" w:eastAsia="宋体" w:cs="Arial"/>
                <w:b w:val="0"/>
                <w:bCs w:val="0"/>
                <w:color w:val="000000"/>
                <w:kern w:val="0"/>
                <w:sz w:val="21"/>
                <w:szCs w:val="21"/>
                <w:vertAlign w:val="baseline"/>
                <w:lang w:val="en-US" w:eastAsia="zh-CN" w:bidi="ar"/>
              </w:rPr>
              <w:t>.</w:t>
            </w:r>
            <w:r>
              <w:rPr>
                <w:rFonts w:hint="default" w:ascii="Arial" w:hAnsi="Arial" w:eastAsia="宋体" w:cs="Arial"/>
                <w:b w:val="0"/>
                <w:bCs w:val="0"/>
                <w:color w:val="000000"/>
                <w:kern w:val="0"/>
                <w:sz w:val="21"/>
                <w:szCs w:val="21"/>
                <w:vertAlign w:val="baseline"/>
                <w:lang w:val="en-US" w:eastAsia="zh-CN" w:bidi="ar"/>
              </w:rPr>
              <w:t xml:space="preserve">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Changes in Food Consumption During the COVID-19 Pandemic: Analysis of Consumer Survey Data From the First Lockdown Period in Denmark, Germany, and Slovenia</w:t>
            </w:r>
            <w:r>
              <w:rPr>
                <w:rFonts w:hint="eastAsia" w:ascii="Arial" w:hAnsi="Arial" w:eastAsia="宋体" w:cs="Arial"/>
                <w:b w:val="0"/>
                <w:bCs w:val="0"/>
                <w:color w:val="000000"/>
                <w:kern w:val="0"/>
                <w:sz w:val="21"/>
                <w:szCs w:val="21"/>
                <w:vertAlign w:val="baseline"/>
                <w:lang w:val="en-US" w:eastAsia="zh-CN" w:bidi="ar"/>
              </w:rPr>
              <w: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Quantitative research</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through quota sampling, and multiple regression analysis of the data.</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Consumer </w:t>
            </w:r>
            <w:r>
              <w:rPr>
                <w:rFonts w:hint="eastAsia" w:ascii="Arial" w:hAnsi="Arial" w:eastAsia="宋体" w:cs="Arial"/>
                <w:b w:val="0"/>
                <w:bCs w:val="0"/>
                <w:color w:val="000000"/>
                <w:kern w:val="0"/>
                <w:sz w:val="21"/>
                <w:szCs w:val="21"/>
                <w:vertAlign w:val="baseline"/>
                <w:lang w:val="en-US" w:eastAsia="zh-CN" w:bidi="ar"/>
              </w:rPr>
              <w:t>B</w:t>
            </w:r>
            <w:r>
              <w:rPr>
                <w:rFonts w:hint="default" w:ascii="Arial" w:hAnsi="Arial" w:eastAsia="宋体" w:cs="Arial"/>
                <w:b w:val="0"/>
                <w:bCs w:val="0"/>
                <w:color w:val="000000"/>
                <w:kern w:val="0"/>
                <w:sz w:val="21"/>
                <w:szCs w:val="21"/>
                <w:vertAlign w:val="baseline"/>
                <w:lang w:val="en-US" w:eastAsia="zh-CN" w:bidi="ar"/>
              </w:rPr>
              <w:t>ehavior</w:t>
            </w:r>
            <w:r>
              <w:rPr>
                <w:rFonts w:hint="eastAsia" w:ascii="Arial" w:hAnsi="Arial" w:eastAsia="宋体" w:cs="Arial"/>
                <w:b w:val="0"/>
                <w:bCs w:val="0"/>
                <w:color w:val="000000"/>
                <w:kern w:val="0"/>
                <w:sz w:val="21"/>
                <w:szCs w:val="21"/>
                <w:vertAlign w:val="baseline"/>
                <w:lang w:val="en-US" w:eastAsia="zh-CN" w:bidi="ar"/>
              </w:rPr>
              <w:t xml:space="preserve">, </w:t>
            </w:r>
            <w:r>
              <w:rPr>
                <w:rFonts w:hint="default" w:ascii="Arial" w:hAnsi="Arial" w:eastAsia="宋体" w:cs="Arial"/>
                <w:b w:val="0"/>
                <w:bCs w:val="0"/>
                <w:color w:val="000000"/>
                <w:kern w:val="0"/>
                <w:sz w:val="21"/>
                <w:szCs w:val="21"/>
                <w:vertAlign w:val="baseline"/>
                <w:lang w:val="en-US" w:eastAsia="zh-CN" w:bidi="ar"/>
              </w:rPr>
              <w:t>Department of Health</w:t>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Research methods can give me ideas, but also emphasize that the impact of the epidemic on individual food consumption patterns is different.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highlight w:val="none"/>
                <w:vertAlign w:val="baseline"/>
                <w:lang w:val="en-US" w:eastAsia="zh-CN" w:bidi="ar"/>
              </w:rPr>
              <w:t>Butu, A.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Impact of COVID-19 Crisis upon the Consumer Buying Behavior of Fresh Vegetables Directly from Local Producers. Case Study: The Quarantined Area of Suceava County, Romania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qualitative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has affected all over the world business.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Yang, B., Asche, F. and Li, T. (2022)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Consumer behavior and food prices during the COVID‐19 pandemic: Evidence from Chinese cities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qualitative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Not only did the enterprises have to bear the loss in this pandemic but millions of people were died due to this pandemic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Dsouza, D. and Sharma, D.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Online food delivery portals during COVID-19 times: an analysis of changing consumer behavior and expectations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Case study</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People have switched their purchasing behavior from physical activities to online platforms.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Akter, M. and Disha, N.A.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Exploring Consumer Behavior for App-based Food Delivery in Bangladesh During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Case study</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he methodology we use is the analysis of the behavior by circulating the questionnaire among the targeted audience.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Chub, A.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and the role of digital technologies in the consumer behavior on the food market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Case study</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All the analytical questions have been concluded into SPSS software to know the result of our findings.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Wang, E.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Consumer food stockpiling behavior and willingness to pay for food reserves in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Case study</w:t>
            </w:r>
          </w:p>
        </w:tc>
        <w:tc>
          <w:tcPr>
            <w:tcW w:w="1695" w:type="dxa"/>
            <w:vAlign w:val="top"/>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ind w:left="0" w:leftChars="0" w:firstLine="0" w:firstLineChars="0"/>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Throughout the process, some hypotheses were generated, under which all the research has been conducted.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Yang, Y., Zhang, K.Z. and Kannan, P.K.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Trend of B2B Live Streaming in China’s Cross Border E-commerce under the Impact of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Case study</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consumer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behavior</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main purpose of this research is to know the relationship between e-commerce and the Covid-19 factors.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Zhao, J.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Cross-border E-commerce Financing Problems and Countermeasures under the Background of.</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e-commerce</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will be based on the evidence and the results that have been collected from people of different ages.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L., N, G. and R, C. (2022)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Study on Consumer Preference Over the Retail Format During and Post Covid Pandemic And Adoption of Digital Technologies to Meet Shopper’s Expectations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e-commerce</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While on the other hand, many firms have faced declined sales revenues throughout this pandemic.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Burgos, D. and Ivanov, D.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Food retail supply chain resilience and the COVID-19 pandemic: A digital twin-based impact analysis and improvement directions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management</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may vary from one country to another.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Kliger, D.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Economic behavior and behavioral economics at times of COVID-19 pandemic</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management</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This is what are intended to study in this research and will try to empirically answer the questions of our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Eleanor J Murray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Epidemiology’s Time of Need: COVID-19 Calls for Epidemic-Related Economics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management</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Though Covid-19 is slowed down it pace but still the world trade and commerce has not forgotten it and recovered.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Jílková</w:t>
            </w:r>
            <w:r>
              <w:rPr>
                <w:rFonts w:hint="eastAsia" w:ascii="Arial" w:hAnsi="Arial" w:eastAsia="宋体" w:cs="Arial"/>
                <w:b w:val="0"/>
                <w:bCs w:val="0"/>
                <w:color w:val="000000"/>
                <w:kern w:val="0"/>
                <w:sz w:val="21"/>
                <w:szCs w:val="21"/>
                <w:vertAlign w:val="baseline"/>
                <w:lang w:val="en-US" w:eastAsia="zh-CN" w:bidi="ar"/>
              </w:rPr>
              <w:t xml:space="preserve"> and</w:t>
            </w:r>
            <w:r>
              <w:rPr>
                <w:rFonts w:hint="default" w:ascii="Arial" w:hAnsi="Arial" w:eastAsia="宋体" w:cs="Arial"/>
                <w:b w:val="0"/>
                <w:bCs w:val="0"/>
                <w:color w:val="000000"/>
                <w:kern w:val="0"/>
                <w:sz w:val="21"/>
                <w:szCs w:val="21"/>
                <w:vertAlign w:val="baseline"/>
                <w:lang w:val="en-US" w:eastAsia="zh-CN" w:bidi="ar"/>
              </w:rPr>
              <w:t xml:space="preserve"> Králová</w:t>
            </w:r>
            <w:r>
              <w:rPr>
                <w:rFonts w:hint="eastAsia" w:ascii="Arial" w:hAnsi="Arial" w:eastAsia="宋体" w:cs="Arial"/>
                <w:b w:val="0"/>
                <w:bCs w:val="0"/>
                <w:color w:val="000000"/>
                <w:kern w:val="0"/>
                <w:sz w:val="21"/>
                <w:szCs w:val="21"/>
                <w:vertAlign w:val="baseline"/>
                <w:lang w:val="en-US" w:eastAsia="zh-CN" w:bidi="ar"/>
              </w:rPr>
              <w:t xml:space="preserve">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Digital Consumer Behaviour and eCommerce Trends during the COVID-19 Crisis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management</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There might not be enough identical studies available.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Solomiia Fedushko and Taras Ustyianovych (2022)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E-Commerce Customers Behavior Research Using Cohort Analysis: A Case Study of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quantitative</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research</w:t>
            </w:r>
            <w:r>
              <w:rPr>
                <w:rFonts w:hint="default" w:ascii="Arial" w:hAnsi="Arial" w:eastAsia="宋体" w:cs="Arial"/>
                <w:b w:val="0"/>
                <w:bCs w:val="0"/>
                <w:color w:val="000000"/>
                <w:kern w:val="0"/>
                <w:sz w:val="21"/>
                <w:szCs w:val="21"/>
                <w:vertAlign w:val="baseline"/>
                <w:lang w:val="en-US" w:eastAsia="zh-CN" w:bidi="ar"/>
              </w:rPr>
              <w:fldChar w:fldCharType="end"/>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business</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management</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This is what are intended to study in this research and will try to empirically answer the questions of our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Rocha, A.B. da S., Meirim, M.O. and Nogueira, L.C.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Trends in the E-commerce and in the Traditional Retail Sectors During the Covid-19 Pandemic: an Evolutionary Game Approach</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Lastly to learn how this type of relationship and variables are, and can be gathered, analyzed, reported and make a decision making tool on it.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Chang, H.-H. and Meyerhoefer, C.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and the Demand for Online Food Shopping Services: Empirical Evidence from Taiwan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to apply all the learnt and observed tools of a better research in order to excel the research skills and meet the modern world requirement.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Grashuis, J., Skevas, T. and Segovia, M.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Grocery Shopping Preferences during the COVID-19 Pandemic</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Hassen, T.B., Bilali, H.E. and Allahyari, M.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Impact of COVID-19 on Food Behavior and Consumption in Qatar</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purpose of this study to come up with a solution that how can we mitigate such uncertain situation in the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Belotserkovskaia, Y.G., Romanovskikh, A.G. and Smirnov, I.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a respiratory infection caused by new coronavirus: new data on epidemiology, clinical course, and patients management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being proactive and anticipate the worse impacts of it so that we can minimize the losses and enhance the greater good of the society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Abdullah, S.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Air quality status during 2020 Malaysia Movement Control Order (MCO) due to 2019 novel coronavirus (2019-nCoV) pandemic</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 xml:space="preserve">to make a recommended solution that people can use if they come across with identical or somehow relevant problem, and to make a framework that will help them to vanquish such situation.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AlTarrah, D.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Impact of Coronavirus COVID-19 Pandemic on Food Purchasing, Eating Behavior, and Perception of Food Safety in Kuwait</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 xml:space="preserve">purpose of the study is to know how and what factors caused the decline or incline in the cross border e-commerce along with covid-19 that will surely increase our knowledge.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Turk, P.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Modeling COVID-19 Latent Prevalence to Assess a Public Health Intervention at a State and Regional Scale: Retrospective Cohort Study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 xml:space="preserve">That is to see and tell how badly or positively covid-19 has effected the cross border e-commerce and commerce.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Jribi, S.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virus outbreak lockdown: What impacts on household food wastage?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rPr>
              <w:t xml:space="preserve"> As this research is fundamental research so it’s clear that the purpose of this research is not to solve the problem at hand but to better understand and disseminate the information of the topic before people.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Alaimo, L.S., Fiore, M. and Galati, A.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How the Covid-19 Pandemic Is Changing Online Food Shopping Human Behaviour in Italy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Principato, L.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Caring more about food: The unexpected positive effect of the Covid-19 lockdown on household food management and waste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Rivera-Ferre, M.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two-way relationship between food systems and the COVID19 pandemic: causes and consequences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Vege, A.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Reducing the Spread of Covid-19 by Buying Healthy Vegetarian Food at Home.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Ding, Y.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Association of Population Migration and Coronavirus Disease 2019 Epidemic Control</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Segovia, M., Grashuis, J. and Skevas, T.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Consumer preferences for grocery purchasing during the COVID-19 pandemic: a quantile regression approach</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Borsellino, V., Kaliji, S.A. and Schimmenti, E.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COVID-19 Drives Consumer Behaviour and Agro-Food Markets towards Healthier and More Sustainable Patterns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Hassen, T.B.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Food shopping, preparation and consumption practices in times of COVID-19: case of Lebanon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Duarte, R.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2019 Novel Coronavirus (2019-nCoV): Novel Virus, Old Challenges.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Zhou, H.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Coronavirus disease 2019 (COVID-19): chest CT characteristics benefit to early disease recognition and patient classification-a single center experience.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Gebremariam, B.M.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Epidemiological characteristics and treatment outcomes of hospitalized patients with COVID-19 in Ethiopia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Halkin, A. (2018)</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Emotional State of Consumer in the Urban Purchase: Processing Data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Vennila, R. and Venkatraman, P.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Short Review of Benefits of Using Chest CT Characteristics for Early diagnoses to Corona Virus Disease 2019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Qian, G.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Epidemiologic and Clinical Characteristics of 91 Hospitalized Patients with COVID-19 in Zhejiang, China: A retrospective, multi-centre case series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Laguna, L.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impact of COVID-19 lockdown on food priorities. Results from a preliminary study using social media and an online survey with Spanish consumers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Ye, Q.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Epidemiological analysis of COVID‐19 and practical experience from China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Hassen, T.B.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Food purchase and eating behavior during the COVID-19 pandemic: A cross-sectional survey of Russian adults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Matrajt, L. and Leung, T.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Evaluating the effectiveness of social distancing interventions against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Liu, X. et al. (2020</w:t>
            </w:r>
            <w:r>
              <w:rPr>
                <w:rFonts w:hint="eastAsia" w:ascii="Arial" w:hAnsi="Arial" w:eastAsia="宋体" w:cs="Arial"/>
                <w:b w:val="0"/>
                <w:bCs w:val="0"/>
                <w:color w:val="000000"/>
                <w:kern w:val="0"/>
                <w:sz w:val="21"/>
                <w:szCs w:val="21"/>
                <w:vertAlign w:val="baseline"/>
                <w:lang w:val="en-US" w:eastAsia="zh-CN" w:bidi="ar"/>
              </w:rPr>
              <w:t>)</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Impact of COVID‐19 epidemic on live online dental continuing education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Khosravi, A.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basic reproduction number and prediction of the epidemic size of the novel coronavirus (COVID-19) in Shahroud, Iran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Zhang, G.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Clinical Features and Treatment of 221 Patients with COVID-19 in Wuhan, China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Verardi, V. and Debarsy, N. (2012)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Robinson’s Square Root of N Consistent Semiparametric Regression Estimator in Stata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Zhang, G.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Clinical features and outcomes of 221 patients with COVID-19 in Wuhan, China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Amicarelli, V. and Bux, C.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Food waste in Italian households during the Covid-19 pandemic: a self-reporting approach</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Roe, B., Bender, K. and Qi, D.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Impact of COVID‐19 on Consumer Food Waste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Güney, O. and Sangün, 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How COVID-19 affects individuals’ food consumption behaviour: a consumer survey on attitudes and habits in Turkey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Fan, C.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Prediction of Epidemic Spread of the 2019 Novel Coronavirus Driven by Spring Festival Transportation in China: A Population-Based Study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Özlem, A. and Mehmet, N.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EATING HABITS CHANGES DURING COVID-19 PANDEMIC LOCKDOWN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Sohrabi, C.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World Health Organization declares global emergency: A review of the 2019 novel coronavirus (COVID-19)</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Alshaer, O.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Epidemiology of Covid-19 Viral Infection</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Zhou, C.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Predictive Computed Tomography and Clinical Features for Diagnosis of COVID-19 Pneumonia: Compared With Common Viral Pneumonia</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Mahmoud, H. et al.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Can chest CT improve sensitivity of COVID-19 diagnosis in comparison to PCR? A meta-analysis study</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 xml:space="preserve">Hasan, A. and Mishra, S. (2014) </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Key Drivers Influencing Shopping Behavior in Retail Store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bookmarkStart w:id="7" w:name="_GoBack"/>
            <w:bookmarkEnd w:id="7"/>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Nichols, B., Raska, D. and Flint, D. (2015)</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Effects of consumer embarrassment on shopping basket size and value: A study of the millennial consumer</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Foster Liam et al.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Bryman’s social research methods.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Michael Crotty (1998)</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Foundations of Social Research : Meaning and Perspective in the Research Process.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Mustajoki, H. and Mustajoki, A. (2017)</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A New Approach to Research Ethics: Using Guided Dialogue to Strengthen Research Communities.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Denscombe</w:t>
            </w:r>
            <w:r>
              <w:rPr>
                <w:rFonts w:hint="eastAsia" w:ascii="Arial" w:hAnsi="Arial" w:eastAsia="宋体" w:cs="Arial"/>
                <w:b w:val="0"/>
                <w:bCs w:val="0"/>
                <w:color w:val="000000"/>
                <w:kern w:val="0"/>
                <w:sz w:val="21"/>
                <w:szCs w:val="21"/>
                <w:vertAlign w:val="baseline"/>
                <w:lang w:val="en-US" w:eastAsia="zh-CN" w:bidi="ar"/>
              </w:rPr>
              <w:t xml:space="preserve"> (2012)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Research proposals: a practical guide.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Kumar Ranjit (2019)</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Research methodology: a step-by-step guide for beginners.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Bryman, A. and Buchanan, D.A. (eds) (2018)</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Unconventional Methodology in Organization and Management Research.</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Eynon, R. (2014)</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How to review a journal article: questions of quality, contribution, and appeal</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It provides theoretical support and methodological guidance for my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Economist (2020)</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changes covid-19 is forcing on to business</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75" w:hRule="atLeast"/>
        </w:trPr>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Wiyata</w:t>
            </w:r>
            <w:r>
              <w:rPr>
                <w:rFonts w:hint="eastAsia" w:ascii="Arial" w:hAnsi="Arial" w:eastAsia="宋体" w:cs="Arial"/>
                <w:b w:val="0"/>
                <w:bCs w:val="0"/>
                <w:color w:val="000000"/>
                <w:kern w:val="0"/>
                <w:sz w:val="21"/>
                <w:szCs w:val="21"/>
                <w:vertAlign w:val="baseline"/>
                <w:lang w:val="en-US" w:eastAsia="zh-CN" w:bidi="ar"/>
              </w:rPr>
              <w:t xml:space="preserve"> et al.</w:t>
            </w:r>
            <w:r>
              <w:rPr>
                <w:rFonts w:hint="default" w:ascii="Arial" w:hAnsi="Arial" w:eastAsia="宋体" w:cs="Arial"/>
                <w:b w:val="0"/>
                <w:bCs w:val="0"/>
                <w:color w:val="000000"/>
                <w:kern w:val="0"/>
                <w:sz w:val="21"/>
                <w:szCs w:val="21"/>
                <w:vertAlign w:val="baseline"/>
                <w:lang w:val="en-US" w:eastAsia="zh-CN" w:bidi="ar"/>
              </w:rPr>
              <w:t xml:space="preserve"> (2022)</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eastAsia" w:ascii="Arial" w:hAnsi="Arial" w:eastAsia="宋体" w:cs="Arial"/>
                <w:b w:val="0"/>
                <w:bCs w:val="0"/>
                <w:color w:val="000000"/>
                <w:kern w:val="0"/>
                <w:sz w:val="21"/>
                <w:szCs w:val="21"/>
                <w:vertAlign w:val="baseline"/>
                <w:lang w:val="en-US" w:eastAsia="zh-CN" w:bidi="ar"/>
              </w:rPr>
              <w:t>Cross-Border social commerce: from a trust transfer perspective.</w:t>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online scene survey included 321 Indonesian social media users.</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Cross-Border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Electronic</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Commerce</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results show that trust building in CBSC, an emerging business model, is conducive to improving consumers' purchase intention.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2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Xiangyang (2021)</w:t>
            </w:r>
          </w:p>
        </w:tc>
        <w:tc>
          <w:tcPr>
            <w:tcW w:w="225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"http://journals.sagepub.com/stoken/default+domain/ReUBdzI5MzQRefYuK5sb/full" \t "_blank" </w:instrText>
            </w:r>
            <w:r>
              <w:rPr>
                <w:rFonts w:hint="default" w:ascii="Arial" w:hAnsi="Arial" w:eastAsia="宋体" w:cs="Arial"/>
                <w:b w:val="0"/>
                <w:bCs w:val="0"/>
                <w:color w:val="000000"/>
                <w:kern w:val="0"/>
                <w:sz w:val="21"/>
                <w:szCs w:val="21"/>
                <w:vertAlign w:val="baseline"/>
                <w:lang w:val="en-US" w:eastAsia="zh-CN" w:bidi="ar"/>
              </w:rPr>
              <w:fldChar w:fldCharType="separate"/>
            </w:r>
            <w:bookmarkStart w:id="4" w:name="citation"/>
            <w:r>
              <w:rPr>
                <w:rFonts w:hint="default" w:ascii="Arial" w:hAnsi="Arial" w:eastAsia="宋体" w:cs="Arial"/>
                <w:b w:val="0"/>
                <w:bCs w:val="0"/>
                <w:color w:val="000000"/>
                <w:kern w:val="0"/>
                <w:sz w:val="21"/>
                <w:szCs w:val="21"/>
                <w:vertAlign w:val="baseline"/>
                <w:lang w:val="en-US" w:eastAsia="zh-CN" w:bidi="ar"/>
              </w:rPr>
              <w:t>Understanding tax and customs policies for retail export e-commerce in China</w:t>
            </w:r>
            <w:bookmarkEnd w:id="4"/>
            <w:r>
              <w:rPr>
                <w:rFonts w:hint="default" w:ascii="Arial" w:hAnsi="Arial" w:eastAsia="宋体" w:cs="Arial"/>
                <w:b w:val="0"/>
                <w:bCs w:val="0"/>
                <w:color w:val="000000"/>
                <w:kern w:val="0"/>
                <w:sz w:val="21"/>
                <w:szCs w:val="21"/>
                <w:vertAlign w:val="baseline"/>
                <w:lang w:val="en-US" w:eastAsia="zh-CN" w:bidi="ar"/>
              </w:rPr>
              <w:t>.</w:t>
            </w:r>
            <w:r>
              <w:rPr>
                <w:rFonts w:hint="default" w:ascii="Arial" w:hAnsi="Arial" w:eastAsia="宋体" w:cs="Arial"/>
                <w:b w:val="0"/>
                <w:bCs w:val="0"/>
                <w:color w:val="000000"/>
                <w:kern w:val="0"/>
                <w:sz w:val="21"/>
                <w:szCs w:val="21"/>
                <w:vertAlign w:val="baseline"/>
                <w:lang w:val="en-US" w:eastAsia="zh-CN" w:bidi="ar"/>
              </w:rPr>
              <w:fldChar w:fldCharType="end"/>
            </w:r>
          </w:p>
        </w:tc>
        <w:tc>
          <w:tcPr>
            <w:tcW w:w="207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Review and summarize tax and customs policies</w:t>
            </w:r>
            <w:r>
              <w:rPr>
                <w:rFonts w:hint="eastAsia" w:ascii="Arial" w:hAnsi="Arial" w:eastAsia="宋体" w:cs="Arial"/>
                <w:b w:val="0"/>
                <w:bCs w:val="0"/>
                <w:color w:val="000000"/>
                <w:kern w:val="0"/>
                <w:sz w:val="21"/>
                <w:szCs w:val="21"/>
                <w:vertAlign w:val="baseline"/>
                <w:lang w:val="en-US" w:eastAsia="zh-CN" w:bidi="ar"/>
              </w:rPr>
              <w:t>.</w:t>
            </w:r>
          </w:p>
        </w:tc>
        <w:tc>
          <w:tcPr>
            <w:tcW w:w="1695"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Cross-Border</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Electronic</w:t>
            </w:r>
            <w:r>
              <w:rPr>
                <w:rFonts w:hint="default" w:ascii="Arial" w:hAnsi="Arial" w:eastAsia="宋体" w:cs="Arial"/>
                <w:b w:val="0"/>
                <w:bCs w:val="0"/>
                <w:color w:val="000000"/>
                <w:kern w:val="0"/>
                <w:sz w:val="21"/>
                <w:szCs w:val="21"/>
                <w:vertAlign w:val="baseline"/>
                <w:lang w:val="en-US" w:eastAsia="zh-CN" w:bidi="ar"/>
              </w:rPr>
              <w:fldChar w:fldCharType="end"/>
            </w:r>
            <w:r>
              <w:rPr>
                <w:rFonts w:hint="default" w:ascii="Arial" w:hAnsi="Arial" w:eastAsia="宋体" w:cs="Arial"/>
                <w:b w:val="0"/>
                <w:bCs w:val="0"/>
                <w:color w:val="000000"/>
                <w:kern w:val="0"/>
                <w:sz w:val="21"/>
                <w:szCs w:val="21"/>
                <w:vertAlign w:val="baseline"/>
                <w:lang w:val="en-US" w:eastAsia="zh-CN" w:bidi="ar"/>
              </w:rPr>
              <w:t> </w:t>
            </w:r>
            <w:r>
              <w:rPr>
                <w:rFonts w:hint="default" w:ascii="Arial" w:hAnsi="Arial" w:eastAsia="宋体" w:cs="Arial"/>
                <w:b w:val="0"/>
                <w:bCs w:val="0"/>
                <w:color w:val="000000"/>
                <w:kern w:val="0"/>
                <w:sz w:val="21"/>
                <w:szCs w:val="21"/>
                <w:vertAlign w:val="baseline"/>
                <w:lang w:val="en-US" w:eastAsia="zh-CN" w:bidi="ar"/>
              </w:rPr>
              <w:fldChar w:fldCharType="begin"/>
            </w:r>
            <w:r>
              <w:rPr>
                <w:rFonts w:hint="default" w:ascii="Arial" w:hAnsi="Arial" w:eastAsia="宋体" w:cs="Arial"/>
                <w:b w:val="0"/>
                <w:bCs w:val="0"/>
                <w:color w:val="000000"/>
                <w:kern w:val="0"/>
                <w:sz w:val="21"/>
                <w:szCs w:val="21"/>
                <w:vertAlign w:val="baseline"/>
                <w:lang w:val="en-US" w:eastAsia="zh-CN" w:bidi="ar"/>
              </w:rPr>
              <w:instrText xml:space="preserve"> HYPERLINK "javascript:;" </w:instrText>
            </w:r>
            <w:r>
              <w:rPr>
                <w:rFonts w:hint="default" w:ascii="Arial" w:hAnsi="Arial" w:eastAsia="宋体" w:cs="Arial"/>
                <w:b w:val="0"/>
                <w:bCs w:val="0"/>
                <w:color w:val="000000"/>
                <w:kern w:val="0"/>
                <w:sz w:val="21"/>
                <w:szCs w:val="21"/>
                <w:vertAlign w:val="baseline"/>
                <w:lang w:val="en-US" w:eastAsia="zh-CN" w:bidi="ar"/>
              </w:rPr>
              <w:fldChar w:fldCharType="separate"/>
            </w:r>
            <w:r>
              <w:rPr>
                <w:rFonts w:hint="default" w:ascii="Arial" w:hAnsi="Arial" w:eastAsia="宋体" w:cs="Arial"/>
                <w:b w:val="0"/>
                <w:bCs w:val="0"/>
                <w:color w:val="000000"/>
                <w:kern w:val="0"/>
                <w:sz w:val="21"/>
                <w:szCs w:val="21"/>
                <w:vertAlign w:val="baseline"/>
                <w:lang w:val="en-US" w:eastAsia="zh-CN" w:bidi="ar"/>
              </w:rPr>
              <w:t>Commerce</w:t>
            </w:r>
            <w:r>
              <w:rPr>
                <w:rFonts w:hint="default" w:ascii="Arial" w:hAnsi="Arial" w:eastAsia="宋体" w:cs="Arial"/>
                <w:b w:val="0"/>
                <w:bCs w:val="0"/>
                <w:color w:val="000000"/>
                <w:kern w:val="0"/>
                <w:sz w:val="21"/>
                <w:szCs w:val="21"/>
                <w:vertAlign w:val="baseline"/>
                <w:lang w:val="en-US" w:eastAsia="zh-CN" w:bidi="ar"/>
              </w:rPr>
              <w:fldChar w:fldCharType="end"/>
            </w:r>
          </w:p>
        </w:tc>
        <w:tc>
          <w:tcPr>
            <w:tcW w:w="3510" w:type="dxa"/>
          </w:tcPr>
          <w:p>
            <w:pPr>
              <w:keepNext w:val="0"/>
              <w:keepLines w:val="0"/>
              <w:pageBreakBefore w:val="0"/>
              <w:widowControl/>
              <w:numPr>
                <w:ilvl w:val="0"/>
                <w:numId w:val="0"/>
              </w:numPr>
              <w:suppressLineNumbers w:val="0"/>
              <w:kinsoku/>
              <w:wordWrap/>
              <w:overflowPunct/>
              <w:topLinePunct w:val="0"/>
              <w:autoSpaceDE/>
              <w:autoSpaceDN/>
              <w:bidi w:val="0"/>
              <w:adjustRightInd/>
              <w:snapToGrid/>
              <w:spacing w:line="240" w:lineRule="atLeast"/>
              <w:jc w:val="left"/>
              <w:textAlignment w:val="auto"/>
              <w:rPr>
                <w:rFonts w:hint="default" w:ascii="Arial" w:hAnsi="Arial" w:eastAsia="宋体" w:cs="Arial"/>
                <w:b w:val="0"/>
                <w:bCs w:val="0"/>
                <w:color w:val="000000"/>
                <w:kern w:val="0"/>
                <w:sz w:val="21"/>
                <w:szCs w:val="21"/>
                <w:vertAlign w:val="baseline"/>
                <w:lang w:val="en-US" w:eastAsia="zh-CN" w:bidi="ar"/>
              </w:rPr>
            </w:pPr>
            <w:r>
              <w:rPr>
                <w:rFonts w:hint="default" w:ascii="Arial" w:hAnsi="Arial" w:eastAsia="宋体" w:cs="Arial"/>
                <w:b w:val="0"/>
                <w:bCs w:val="0"/>
                <w:color w:val="000000"/>
                <w:kern w:val="0"/>
                <w:sz w:val="21"/>
                <w:szCs w:val="21"/>
                <w:vertAlign w:val="baseline"/>
                <w:lang w:val="en-US" w:eastAsia="zh-CN" w:bidi="ar"/>
              </w:rPr>
              <w:t>The research focuses on retail exports of China's CBEC industry and discusses VAT, corporate income tax, customs policies, statistics and negative lists under the impact of COVID-19 in recent years.</w:t>
            </w:r>
          </w:p>
        </w:tc>
      </w:tr>
    </w:tbl>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Part 3: Preliminary Literature Review</w:t>
      </w:r>
    </w:p>
    <w:p>
      <w:pPr>
        <w:keepNext w:val="0"/>
        <w:keepLines w:val="0"/>
        <w:widowControl/>
        <w:numPr>
          <w:ilvl w:val="0"/>
          <w:numId w:val="4"/>
        </w:numPr>
        <w:suppressLineNumbers w:val="0"/>
        <w:kinsoku/>
        <w:wordWrap/>
        <w:overflowPunct/>
        <w:topLinePunct w:val="0"/>
        <w:autoSpaceDE/>
        <w:autoSpaceDN/>
        <w:bidi w:val="0"/>
        <w:adjustRightInd/>
        <w:snapToGrid/>
        <w:spacing w:line="480" w:lineRule="auto"/>
        <w:jc w:val="left"/>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 xml:space="preserve">Introduction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bookmarkStart w:id="5" w:name="OLE_LINK1"/>
      <w:r>
        <w:rPr>
          <w:rFonts w:hint="default" w:ascii="Arial" w:hAnsi="Arial" w:cs="Arial"/>
          <w:b w:val="0"/>
          <w:bCs w:val="0"/>
          <w:sz w:val="24"/>
          <w:szCs w:val="24"/>
          <w:lang w:val="en-US" w:eastAsia="zh-CN"/>
        </w:rPr>
        <w:t>The COVID-19 pandemic has had a big impact on the food industry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Li, Tong and Zhang, 2021)</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During the COVID-19 pandemic, consumers' food purchasing activities have changed significantly due to policies limiting social distancing</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Wang et al.</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2022)</w:t>
      </w:r>
      <w:r>
        <w:rPr>
          <w:rFonts w:hint="eastAsia" w:ascii="Arial" w:hAnsi="Arial" w:cs="Arial"/>
          <w:b w:val="0"/>
          <w:bCs w:val="0"/>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This research is not just about trade. The subject area of the research is not the supply side of economics or the market, but focuses on the demand side.  The focus is not on cross-border trade, but on consumer behaviour.  Cross-border refers to China and Southeast Asian countries, focusing on specialty foods.  Under the influence of COVID-19, consumers' cross-border purchase needs have changed their behaviors, and the reasons for different demands during the epidemic period should be studied.  That is to say, this study aims to explain clearly that in consumer behavior, when consumers buy from cross-border, they must change the way they behave.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Unfortunately, due to the fact that in the specific context of COVID-19, the timeline has been less than three years since the outbreak, so there is a relatively limited amount of literature on previous studies in this field. Most of the research focuses on the supply side, most of the significance of the research is to provide information for e-commerce companies or managers, few really pay attention to the mass consumer groups. In terms of research methods, second-hand data are mostly used for analysis.</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val="0"/>
          <w:bCs w:val="0"/>
          <w:sz w:val="24"/>
          <w:szCs w:val="24"/>
          <w:lang w:val="en-US" w:eastAsia="zh-CN"/>
        </w:rPr>
      </w:pPr>
      <w:r>
        <w:rPr>
          <w:rFonts w:hint="eastAsia" w:ascii="Arial" w:hAnsi="Arial" w:cs="Arial"/>
          <w:b/>
          <w:bCs/>
          <w:sz w:val="24"/>
          <w:szCs w:val="24"/>
          <w:lang w:val="en-US" w:eastAsia="zh-CN"/>
        </w:rPr>
        <w:t>Main Body</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COVID-19 first appeared in Wuhan, Hubei Province, China, in December 2019. It has a major impact on the lives of people around the world, especially citizens. The threat of COVID-19 has led people to buy fresh food online and cut back on outdoor travel. (Chen et al., 2021). Therefore, it is necessary to study consumers' cross-border online food shopping behaviors in China under the influence of COVID-19. The hot topics that keep pace with The Times and are widely concerned are closely related to most people.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COVID-19 pandemic, which began in Wuhan, China, on 31 December 2019, is the world's first and greatest human tragedy, affecting the lives of millions of people. As a result, almost every aspect of our way of life has been altered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Jain, 2021)</w:t>
      </w:r>
      <w:r>
        <w:rPr>
          <w:rFonts w:hint="eastAsia" w:ascii="Arial" w:hAnsi="Arial" w:cs="Arial"/>
          <w:b w:val="0"/>
          <w:bCs w:val="0"/>
          <w:sz w:val="24"/>
          <w:szCs w:val="24"/>
          <w:lang w:val="en-US" w:eastAsia="zh-CN"/>
        </w:rPr>
        <w:t>. So, particular attention will be paid to how and through which consumers who have been quarantined indoors as a result of the outbreak are buying food, as well as changes at the Chinese border.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At the same time, online communication, online entertainment, and online shopping are seeing unprecedented growth. (Donthu &amp; Gustafsson, 2020). The online shopping channel was definitely suffered under Covid-19 situation but impact was hybrid in nature and is subjective in nature (Bhatti, Akram, &amp; Khan, 2020).</w:t>
      </w:r>
      <w:r>
        <w:rPr>
          <w:rFonts w:hint="eastAsia" w:ascii="Arial" w:hAnsi="Arial" w:cs="Arial"/>
          <w:b w:val="0"/>
          <w:bCs w:val="0"/>
          <w:sz w:val="24"/>
          <w:szCs w:val="24"/>
          <w:lang w:val="en-US" w:eastAsia="zh-CN"/>
        </w:rPr>
        <w:t xml:space="preserve"> People have switched their purchasing behavior from physical activities to online platforms (Kenyon, 2021). In many countries, people are stuck in their homes which forces them to use such e-commerce techniques to make their purchases (Cline, 2020). Therefore, the results may vary from one country to another. So they were effected more badly then developed countries. Like; South Africa during Omicron a new variant of Corona Virus. (Baldwin &amp; di Mauro, 2020). A number of researchers studied underdeveloped countries. Like Pakistan, India, African countries and so on. But a few studies have taken into consideration the developed world.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From the perspective of business model, it is timely to review and summarize tax and customs policies of retail export for the cross-border e-commerce industry concentrated in China, where retail export grows faster and more than retail import (Chang and Meyerhoefer, 2021). However, research has shown that perceived risk is a key factor in reducing individuals' willingness to purchase unfamiliar foreign products in the wake of the COVID-19 pandemic (Richards and Rickard, 2020). In addition, the emerging business model of cross-border social commerce can be used to build and transfer trust, thus reducing perceived risks (Çakır, Li and Yang, 2021). This means that consumer trust can be transferred from friends and platforms to brands, depending on brand awareness (Donthu and Gustafsson,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This is relevant to my research in this field. Among them, the investigation of consumers' purchase intention of cross-border commerce also plays a certain reference role for my research direction (GRUSZCZYNSKI, 2020). It is of great significance for me to have a deeper understanding of cross-border e-commerce under the influence of Novel Coronavirus by combining the research results of these two articles and applying them to the actual investigation and analysis, and it also makes a contribution to the academic community (Vidya and Prabheesh,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adverse effects are particularly pronounced in the relatively liberal Anglo-American business model of companies, small and medium-sized enterprises in each country, and start-ups, constraining their growth and impeding their innovation (Chaturvedi, Chand and Rahman, 2021).  On the other hand, a "V-shaped" economic recovery has been strongly demonstrated in Chinese state-capitalist firms, as well as in large companies around the world, and will be supported by the government (Gao et al., 2020).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addition, the author also mentioned a trade war with China, India, Vietnam, myanmar was analyzed, and different countries such as Japan, Boston, the future trend in the field of manufacturing and supply chain, said people realize single source is outdated, countries to reduce their risk, reduce our dependence on imports, to achieve diversification is desirable (Li, Tong and Zhang, 2021).  Industries as diverse as car companies, airlines, private equity firms, pharmaceuticals and biotechnology firms will see acquisitions and strategic shifts if they want to connect with consumers (Wang et al., 2022).  It is worth mentioning that in e-commerce, the author also compares the impact of COVID-19 on online shopping in the UK and data-driven in Germany with the impact of SARS virus on China, during which information technology has brough (Chen et al., 2021).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Despite these difficulties, changes, both positive and negative, will accelerate deglobalisation and the development of digital services compared with the past.  On the other side of the debate, by contrast, there is still a long period of economic decline ahead.  Therefore, it is not difficult to see that the article is liberal in both economic and political positions, focusing on telling readers the most information in the smallest space.  Therefore, this report will be very helpful for me to collect major arguments and opinions on the market impact of COVID-19, and also provide some important political and economic news from other countries and industries for my research.  </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Conclusion</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Taken together, these studies emphasize the needs that have been emphasized.  On this basis, the innovation of this paper lies in that, from the perspective of economy, most of the relevant researches on cross-border shopping in recent years are economic analysis of market conditions through the COVID-19 epidemic.  The research object is the e-commerce platform that sells goods and the transaction behavior of the company.  To develop innovative policies, develop markets from an enterprise perspective, use online platforms, and manage cross-border logistics.  It neglects the research on consumers' perception of enterprise innovation and the degree of cognition, making it difficult to accurately grasp the demand.  Based on this, this study focuses on the demand side, the research object is the behavior of consumers, and proposes the motivation, place, way of purchase, as well as the aspects that are important to consumers, such as delivery.  </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firstLine="480" w:firstLineChars="20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In addition, this study is groundbreaking, which enriches the research direction, types and materials in this field and provides certain reference for scholars studying this field.  Even so, the shortcoming of this study is that the topic of COVID-19 itself has a certain timeliness, which to a certain extent affects the effective time of consumers' purchase decisions and determines whether such purchase decisions are valid within a specific time.  The research framework is established by using theory.  For future research in this field, it is suggested to narrow the scope and further refine it. It is worth paying attention to the re-decomposition and re-combination of different small fields to make the research more concentrated and diversified. </w:t>
      </w:r>
    </w:p>
    <w:p>
      <w:pPr>
        <w:keepNext w:val="0"/>
        <w:keepLines w:val="0"/>
        <w:pageBreakBefore/>
        <w:widowControl w:val="0"/>
        <w:kinsoku/>
        <w:wordWrap/>
        <w:overflowPunct/>
        <w:topLinePunct w:val="0"/>
        <w:autoSpaceDE/>
        <w:autoSpaceDN/>
        <w:bidi w:val="0"/>
        <w:adjustRightInd/>
        <w:snapToGrid/>
        <w:spacing w:after="157" w:afterLines="50" w:line="480" w:lineRule="auto"/>
        <w:textAlignment w:val="auto"/>
        <w:rPr>
          <w:rFonts w:hint="default" w:ascii="Arial" w:hAnsi="Arial" w:cs="Arial"/>
          <w:b/>
          <w:bCs/>
          <w:sz w:val="24"/>
          <w:szCs w:val="24"/>
          <w:lang w:val="en-US" w:eastAsia="zh-CN"/>
        </w:rPr>
      </w:pPr>
      <w:bookmarkStart w:id="6" w:name="OLE_LINK5"/>
      <w:r>
        <w:rPr>
          <w:rFonts w:hint="default" w:ascii="Arial" w:hAnsi="Arial" w:cs="Arial"/>
          <w:b/>
          <w:bCs/>
          <w:sz w:val="24"/>
          <w:szCs w:val="24"/>
          <w:lang w:val="en-US" w:eastAsia="zh-CN"/>
        </w:rPr>
        <w:t>Reference List</w:t>
      </w:r>
    </w:p>
    <w:bookmarkEnd w:id="6"/>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Aguinis, H., Cascio, W.F. and Ramani, R.S. (2017) ‘Science’s reproducibility and replicability crisis: International business is not immune’, Journal of international business studies, 48(6), pp. 653–663. doi:10.1057/s41267-017-0081-0.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Akter, M. and Disha, N.A. (2021) ‘Exploring Consumer Behavior for App-based Food Delivery in Bangladesh During COVID-19’, in. doi:10.52805/BJIT.V17I1.188.</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AurkoviA, M. and KoA ec, A. (2018) ‘Bubble effect: including internet search engines in systematic reviews introduces selection bias and impedes scientific reproducibility’, BMC medical research methodology, 18(1), pp. 130–130. doi:10.1186/s12874-018-0599-2.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Booth, A., Sutton, A. and Papaioannou, D. (2016) Systematic approaches to a successful literature review. Second edition. Los Angeles: Sage.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Burgos, D. and Ivanov, D. (2021) ‘Food retail supply chain resilience and the COVID-19 pandemic: A digital twin-based impact analysis and improvement directions’, Transportation research. Part E, Logistics and transportation review, 152, pp. 102412–102412. doi:10.1016/j.tre.2021.102412.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Çakır, M., Li, Q. and Yang, X. (2021) ‘COVID‐19 and fresh produce markets in the United States and China’, Applied economic perspectives and policy, 43(1), pp. 341–354. doi:10.1002/aepp.13136.</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Chang, H.-H. and Meyerhoefer, C.D. (2021) ‘COVID‐19 and the Demand for Online Food Shopping Services: Empirical Evidence from Taiwan’, American journal of agricultural economics, 103(2), pp. 448–465. doi:10.1111/ajae.12170.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Chaturvedi, A., Chand, M.R. and Rahman, M. (2021) ‘Impact of the COVID-19 on Consumer Behavior Towards Organic Food in India’, in. doi:10.1007/978-981-33-4236-1_8.</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Chen, J. et al. (2021) ‘Does COVID-19 Affect the Behavior of Buying Fresh Food? Evidence from Wuhan, China’, International journal of environmental research and public health [Preprint]. doi:10.3390/ijerph18094469.</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Chub, A. (2020) ‘COVID-19 and the role of digital technologies in the consumer behavior on the food market’, in. doi:10.46486/0234-4505-2020-8-40-58.</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Cottrell Stella (2017) Critical thinking skills: effective analysis, argument and reflection. Third edition. London: Macmillan Education/Palgrave (Palgrave study skills).</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Cunliffe, A.L. (2004) ‘On Becoming a Critically Reflexive Practitioner’, Journal of Management Education, 28(4), pp. 407–426. doi:10.1177/1052562904264440.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Cunliffe, A.L. (2016) ‘Republication of “On Becoming a Critically Reflexive Practitioner”’, Journal of Management Education, 40(6), pp. 747–768. doi:10.1177/1052562916674465.</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Donthu, N. and Gustafsson, A. (2020) ‘Effects of COVID-19 on business and research’, Journal of business research, 117, pp. 284–289. doi:10.1016/j.jbusres.2020.06.008.</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Dsouza, D. and Sharma, D. (2020) ‘Online food delivery portals during COVID-19 times: an analysis of changing consumer behavior and expectations’. doi:10.1108/IJIS-10-2020-0184.</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Efron, S.E. and Ravid, R. (2018) Writing the Literature Review: A Practical Guide. New York, UNITED STATES: Guilford Publications. Available at: http://ebookcentral.proquest.com/lib/trinity/detail.action?docID=5522670 (Accessed: 10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Eleanor J Murray (2020) ‘Epidemiology’s Time of Need: COVID-19 Calls for Epidemic-Related Economics’, The Journal of economic perspectives, 34(4), pp. 105–120.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Gao, X. et al. (2020) ‘To buy or not buy food online: The impact of the COVID-19 epidemic on the adoption of e-commerce in China’, PLOS ONE. Edited by B. Xin, 15(8), p. e0237900. doi:10.1371/journal.pone.0237900.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GRUSZCZYNSKI, L. (2020) ‘The COVID-19 Pandemic and International Trade: Temporary Turbulence or Paradigm Shift?’, European journal of risk regulation, 11(2), pp. 1–6. doi:10.1017/err.2020.29.</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Jain, A.V. (2021) “COVID-19 &amp; CONSUMERS: AN EMPIRICAL STUDY ON THE IMPACT OF COVID-19 PANDEMIC ON CONSUMER’S BUYING BEHAVIOR TOWARDS ONLINE SHOPPING IN RAJASTHAN -PERMANENT OR TRANSIENT?” Available at: https://www.semanticscholar.org/paper/%E2%80%9CCOVID-19-%26-CONSUMERS%3A-AN-EMPIRICAL-STUDY-ON-THE-OF-Jain/80c2bf95a9ce85aec6b606ef9d0510cce0de2eb7 (Accessed: 15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Janssen, M. et al. (2021) ‘Changes in Food Consumption During the COVID-19 Pandemic: Analysis of Consumer Survey Data From the First Lockdown Period in Denmark, Germany, and Slovenia’, Frontiers in Nutrition [Preprint]. doi:10.3389/fnut.2021.635859.</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Kiley, M. (2015) ‘“I didn’t have a clue what they were talking about”: PhD candidates and theory’, Innovations in education and teaching international, 52(1), pp. 52–63. doi:10.1080/14703297.2014.981835.</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Kliger, D. (2021) ‘Economic behavior and behavioral economics at times of COVID-19 pandemic’, Mind &amp; society, 20(2), pp. 253–260. doi:10.1007/s11299-021-00280-6.</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Li, J. et al. (2021) ‘Conformity Consumer Behavior and External Threats: An Empirical Analysis in China During the COVID-19 Pandemic’, SAGE Open [Preprint]. doi:10.1177/21582440211032152.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Li, Z., Tong, X. and Zhang, Y. (2021) ‘Constructing the Phrase Dictionary and Visualizing Consumer Behaviors in the Food Industry Based on Online Reviews during the COVID-19 Pandemic’, undefined [Preprint]. Available at: https://www.semanticscholar.org/paper/Constructing-the-Phrase-Dictionary-and-Visualizing-Zongwei-Li/dd01d8ce6c6635676f5b7b2d47b09f1ea226c098 (Accessed: 15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Lin, L.-W. et al. (2020) ‘Cross-Border Shopping on Consumer Satisfaction Survey-The Case of COVID-19 was analyzed’, in. doi:10.36348/sjbms.2020.v05i03.003.</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Maurizio Massaro, John Dumay, and James Guthrie (2016) ‘On the shoulders of giants: undertaking a structured literature review in accounting’, Accounting, auditing &amp; accountability journal, 29(5), pp. 767–801. doi:10.1108/AAAJ-01-2015-1939.</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Paré, G. et al. (2016) ‘Contextualizing the twin concepts of systematicity and transparency in information systems literature reviews’, European journal of information systems, 25(6), pp. 493–508. doi:10.1057/s41303-016-0020-3.</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Pritchard, D. (2013) What is this thing called knowledge? Third edition. London ; New York: Routledge, Taylor &amp; Francis Group (What is this thing called?).</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Richards, T.J. and Rickard, B. (2020) ‘COVID‐19 impact on fruit and vegetable markets’, Canadian journal of agricultural economics, 68(2), pp. 189–194. doi:10.1111/cjag.12231.</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Rocha, A.B. da S., Meirim, M.O. and Nogueira, L.C. (2021) ‘Trends in the E-commerce and in the Traditional Retail Sectors During the Covid-19 Pandemic: an Evolutionary Game Approach’. Available at: https://arxiv.org/abs/2105.06833 (Accessed: 16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Rowlands, T., Waddell, N. and McKenna, B. (2016) ‘Are We There Yet? A Technique to Determine Theoretical Saturation’, Journal of Computer Information Systems, 56(1), pp. 40–47. doi:10.1080/08874417.2015.11645799.</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Solomiia Fedushko and Taras Ustyianovych (2022) ‘E-Commerce Customers Behavior Research Using Cohort Analysis: A Case Study of COVID-19’, Journal of open innovation, 8(1), pp. 12-. doi:10.3390/joitmc8010012.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Templier, M. and Paré, G. (2018) ‘Transparency in literature reviews: an assessment of reporting practices across review types and genres in top IS journals’, European journal of information systems, 27(5), pp. 503–550. doi:10.1080/0960085X.2017.1398880.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University of Waterloo et al. (2020) ‘(Re)considering the Concept of Literature Review Reproducibility’, Journal of the Association for Information Systems, 21(5), pp. 1103–1114. doi:10.17705/1jais.00630.</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Vidya, C.T. and Prabheesh, K.P. (2020) ‘Implications of COVID-19 Pandemic on the Global Trade Networks’, Emerging markets finance &amp; trade, 56(10), pp. 2408–2421. doi:10.1080/1540496X.2020.1785426.</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Wang, E. et al. (2020) ‘Consumer food stockpiling behavior and willingness to pay for food reserves in COVID-19’, Food Security [Preprint]. doi:10.1007/s12571-020-01092-1.</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Wang, Y. et al. (2022) ‘How Did COVID-19 Reshape Food Procurement Around the Globe? Effective Operation and Redesign of the Food Retail Industry in China, Portugal, Turkey, and the USA’, Contributions to Economics [Preprint]. doi:10.1007/978-3-030-89996-7_21.</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Wang, Y., Han, J.H. and Beynon-Davies, P. (2019) ‘Understanding blockchain technology for future supply chains: a systematic literature review and research agenda’, Supply chain management, 24(1), pp. 62–84. doi:10.1108/SCM-03-2018-0148.</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Wisker, G. (2015) ‘Developing doctoral authors: engaging with theoretical perspectives through the literature review’, Innovations in Education and Teaching International, 52(1), pp. 64–74. doi:10.1080/14703297.2014.981841.</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Wiyata et al. (2022) ‘Cross-Border Social Commerce: From a Trust Transfer Perspective’, Journal of Electronic Commerce Research, 23(2), pp. 115–137.</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Wray Alison and Wallace Mike (2021) Critical reading and writing for postgraduates. Fourth edition. London ; Sage (Student success).</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Xiangyang Li (2021) ‘Understanding tax and customs policies for retail export e-commerce in China’, World Customs Journal, 15(1), pp. 125–136.</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Yang, B., Asche, F. and Li, T. (2022) ‘Consumer behavior and food prices during the COVID‐19 pandemic: Evidence from Chinese cities’, Economic Inquiry [Preprint]. doi:10.1111/ecin.13067.</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Yang, Y., Zhang, K.Z. and Kannan, P.K. (2021) The Trend of B2B Live Streaming in China’s Cross Border E-commerce under the Impact of COVID-19. Available at: https://www.semanticscholar.org/paper/The-Trend-of-B2B-Live-Streaming-in-China%27s-Cross-of-Y-Yang/1616dcaabaca66971262e043fde923aa9abcb73f (Accessed: 16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Zhao, J. (2020) Cross-border E-commerce Financing Problems and Countermeasures under the Background of. Available at: https://www.semanticscholar.org/paper/Cross-border-E-commerce-Financing-Problems-and-the-Zhao/654fd7a26abe2dc2c28e1b31ad1e75250c4408dd (Accessed: 16 May 2022).</w:t>
      </w:r>
    </w:p>
    <w:p>
      <w:pPr>
        <w:keepNext w:val="0"/>
        <w:keepLines w:val="0"/>
        <w:pageBreakBefore w:val="0"/>
        <w:widowControl w:val="0"/>
        <w:kinsoku/>
        <w:wordWrap/>
        <w:overflowPunct/>
        <w:topLinePunct w:val="0"/>
        <w:autoSpaceDE/>
        <w:autoSpaceDN/>
        <w:bidi w:val="0"/>
        <w:adjustRightInd/>
        <w:snapToGrid/>
        <w:spacing w:after="157" w:afterLines="50" w:line="240" w:lineRule="auto"/>
        <w:ind w:left="315" w:leftChars="150"/>
        <w:textAlignment w:val="auto"/>
        <w:rPr>
          <w:rFonts w:hint="default" w:ascii="Arial" w:hAnsi="Arial" w:cs="Arial"/>
          <w:sz w:val="21"/>
          <w:szCs w:val="21"/>
          <w:shd w:val="clear" w:color="auto" w:fill="FFFFFF"/>
          <w:lang w:val="en-US" w:eastAsia="zh-CN"/>
        </w:rPr>
      </w:pPr>
      <w:r>
        <w:rPr>
          <w:rFonts w:hint="default" w:ascii="Arial" w:hAnsi="Arial" w:cs="Arial"/>
          <w:sz w:val="21"/>
          <w:szCs w:val="21"/>
          <w:shd w:val="clear" w:color="auto" w:fill="FFFFFF"/>
          <w:lang w:val="en-US" w:eastAsia="zh-CN"/>
        </w:rPr>
        <w:t>Zhao, J. (no date) ‘Cross-border E-commerce Financing Problems and Countermeasures under the Background of “Belt and Road”’, p. 5.</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Arial">
    <w:panose1 w:val="020B0604020202020204"/>
    <w:charset w:val="00"/>
    <w:family w:val="auto"/>
    <w:pitch w:val="default"/>
    <w:sig w:usb0="E0002AFF" w:usb1="C0007843" w:usb2="00000009" w:usb3="00000000" w:csb0="400001FF" w:csb1="FFFF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left"/>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Xinyu Wang 2010660</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9386913"/>
    <w:multiLevelType w:val="singleLevel"/>
    <w:tmpl w:val="E9386913"/>
    <w:lvl w:ilvl="0" w:tentative="0">
      <w:start w:val="1"/>
      <w:numFmt w:val="decimal"/>
      <w:suff w:val="space"/>
      <w:lvlText w:val="%1."/>
      <w:lvlJc w:val="left"/>
    </w:lvl>
  </w:abstractNum>
  <w:abstractNum w:abstractNumId="1">
    <w:nsid w:val="F2AE7250"/>
    <w:multiLevelType w:val="singleLevel"/>
    <w:tmpl w:val="F2AE7250"/>
    <w:lvl w:ilvl="0" w:tentative="0">
      <w:start w:val="1"/>
      <w:numFmt w:val="decimal"/>
      <w:suff w:val="space"/>
      <w:lvlText w:val="%1."/>
      <w:lvlJc w:val="left"/>
    </w:lvl>
  </w:abstractNum>
  <w:abstractNum w:abstractNumId="2">
    <w:nsid w:val="3147DE65"/>
    <w:multiLevelType w:val="singleLevel"/>
    <w:tmpl w:val="3147DE65"/>
    <w:lvl w:ilvl="0" w:tentative="0">
      <w:start w:val="1"/>
      <w:numFmt w:val="decimal"/>
      <w:suff w:val="space"/>
      <w:lvlText w:val="%1."/>
      <w:lvlJc w:val="left"/>
    </w:lvl>
  </w:abstractNum>
  <w:abstractNum w:abstractNumId="3">
    <w:nsid w:val="341B089A"/>
    <w:multiLevelType w:val="singleLevel"/>
    <w:tmpl w:val="341B089A"/>
    <w:lvl w:ilvl="0" w:tentative="0">
      <w:start w:val="1"/>
      <w:numFmt w:val="decimal"/>
      <w:suff w:val="space"/>
      <w:lvlText w:val="%1."/>
      <w:lvlJc w:val="left"/>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QxYjA0ZTVlMWQyNjc0YmU3MGVkMzMyMzFhOTNmMGMifQ=="/>
  </w:docVars>
  <w:rsids>
    <w:rsidRoot w:val="52B464C3"/>
    <w:rsid w:val="006A783D"/>
    <w:rsid w:val="00BF72F6"/>
    <w:rsid w:val="00E645F8"/>
    <w:rsid w:val="00FB7193"/>
    <w:rsid w:val="01973A63"/>
    <w:rsid w:val="0197630E"/>
    <w:rsid w:val="0261662C"/>
    <w:rsid w:val="02C600A3"/>
    <w:rsid w:val="02FF6B5E"/>
    <w:rsid w:val="034B11BF"/>
    <w:rsid w:val="0431115A"/>
    <w:rsid w:val="045E6CCA"/>
    <w:rsid w:val="048D43D4"/>
    <w:rsid w:val="05237BC9"/>
    <w:rsid w:val="06990F0B"/>
    <w:rsid w:val="079549A8"/>
    <w:rsid w:val="07BC5FB1"/>
    <w:rsid w:val="07CC279A"/>
    <w:rsid w:val="07E404E4"/>
    <w:rsid w:val="082B5D81"/>
    <w:rsid w:val="08B33959"/>
    <w:rsid w:val="08B67B26"/>
    <w:rsid w:val="092E4D8E"/>
    <w:rsid w:val="09B71D7E"/>
    <w:rsid w:val="0A79028B"/>
    <w:rsid w:val="0AA23C86"/>
    <w:rsid w:val="0B827628"/>
    <w:rsid w:val="0BAD643E"/>
    <w:rsid w:val="0BAD6668"/>
    <w:rsid w:val="0BDD7AC5"/>
    <w:rsid w:val="0C5C0278"/>
    <w:rsid w:val="0D381C67"/>
    <w:rsid w:val="0D3A2AC9"/>
    <w:rsid w:val="0F3550C8"/>
    <w:rsid w:val="0F425C30"/>
    <w:rsid w:val="0F6948DC"/>
    <w:rsid w:val="0F7328FB"/>
    <w:rsid w:val="0F886F36"/>
    <w:rsid w:val="10291C53"/>
    <w:rsid w:val="102F557E"/>
    <w:rsid w:val="103E7FAD"/>
    <w:rsid w:val="10667503"/>
    <w:rsid w:val="111E0F8D"/>
    <w:rsid w:val="116738DC"/>
    <w:rsid w:val="12A5243C"/>
    <w:rsid w:val="12F9219F"/>
    <w:rsid w:val="14413859"/>
    <w:rsid w:val="14AE3227"/>
    <w:rsid w:val="15C727F2"/>
    <w:rsid w:val="15DB0DE5"/>
    <w:rsid w:val="15DD0268"/>
    <w:rsid w:val="161E30D8"/>
    <w:rsid w:val="168A5F8C"/>
    <w:rsid w:val="17101F77"/>
    <w:rsid w:val="17B92875"/>
    <w:rsid w:val="18502F73"/>
    <w:rsid w:val="19B96FB1"/>
    <w:rsid w:val="19BB441C"/>
    <w:rsid w:val="1A361CF4"/>
    <w:rsid w:val="1A3B1368"/>
    <w:rsid w:val="1A905C5F"/>
    <w:rsid w:val="1AA01F18"/>
    <w:rsid w:val="1AD808C6"/>
    <w:rsid w:val="1B34092A"/>
    <w:rsid w:val="1C28512D"/>
    <w:rsid w:val="1C901B90"/>
    <w:rsid w:val="1CE947C0"/>
    <w:rsid w:val="1CFC5477"/>
    <w:rsid w:val="1D240EC1"/>
    <w:rsid w:val="1D5030CD"/>
    <w:rsid w:val="1D81597C"/>
    <w:rsid w:val="1DCA4EFF"/>
    <w:rsid w:val="1E9F255E"/>
    <w:rsid w:val="1EA31C4A"/>
    <w:rsid w:val="1EC57AEB"/>
    <w:rsid w:val="1F100D66"/>
    <w:rsid w:val="1F20385E"/>
    <w:rsid w:val="1F403551"/>
    <w:rsid w:val="1F6968DB"/>
    <w:rsid w:val="1F8B3294"/>
    <w:rsid w:val="203C7A65"/>
    <w:rsid w:val="20EB1A8B"/>
    <w:rsid w:val="214121FA"/>
    <w:rsid w:val="218315B5"/>
    <w:rsid w:val="220847C2"/>
    <w:rsid w:val="220A4192"/>
    <w:rsid w:val="2249378E"/>
    <w:rsid w:val="22613A45"/>
    <w:rsid w:val="23FF7362"/>
    <w:rsid w:val="24651B54"/>
    <w:rsid w:val="24771887"/>
    <w:rsid w:val="24BB277F"/>
    <w:rsid w:val="24F91981"/>
    <w:rsid w:val="251940F1"/>
    <w:rsid w:val="25292B82"/>
    <w:rsid w:val="254B72CE"/>
    <w:rsid w:val="254E4396"/>
    <w:rsid w:val="25627870"/>
    <w:rsid w:val="256D6F65"/>
    <w:rsid w:val="25DA0320"/>
    <w:rsid w:val="264E314F"/>
    <w:rsid w:val="266D6C98"/>
    <w:rsid w:val="270A06F8"/>
    <w:rsid w:val="271D651E"/>
    <w:rsid w:val="27B21745"/>
    <w:rsid w:val="27E14F89"/>
    <w:rsid w:val="28171C5F"/>
    <w:rsid w:val="281C2ACE"/>
    <w:rsid w:val="28F93369"/>
    <w:rsid w:val="29257F1A"/>
    <w:rsid w:val="292673D8"/>
    <w:rsid w:val="292C4748"/>
    <w:rsid w:val="29791BFE"/>
    <w:rsid w:val="29C009EA"/>
    <w:rsid w:val="2A021BF3"/>
    <w:rsid w:val="2A465F84"/>
    <w:rsid w:val="2AB52686"/>
    <w:rsid w:val="2ABB3F19"/>
    <w:rsid w:val="2ADC5EA6"/>
    <w:rsid w:val="2B8E06D2"/>
    <w:rsid w:val="2BEB156D"/>
    <w:rsid w:val="2C2C2F57"/>
    <w:rsid w:val="2C3818FC"/>
    <w:rsid w:val="2D3A724C"/>
    <w:rsid w:val="2D5973CD"/>
    <w:rsid w:val="2D662499"/>
    <w:rsid w:val="2E0B4859"/>
    <w:rsid w:val="2E1B14D5"/>
    <w:rsid w:val="2E914A46"/>
    <w:rsid w:val="2F8C18AC"/>
    <w:rsid w:val="30023743"/>
    <w:rsid w:val="30BC19C5"/>
    <w:rsid w:val="31BF7E89"/>
    <w:rsid w:val="31D9148B"/>
    <w:rsid w:val="31DE3C12"/>
    <w:rsid w:val="32131015"/>
    <w:rsid w:val="32922321"/>
    <w:rsid w:val="33A74145"/>
    <w:rsid w:val="33F627C9"/>
    <w:rsid w:val="341350B6"/>
    <w:rsid w:val="344F46C1"/>
    <w:rsid w:val="34A91D72"/>
    <w:rsid w:val="35C365E6"/>
    <w:rsid w:val="36935099"/>
    <w:rsid w:val="37327D65"/>
    <w:rsid w:val="394C7B1B"/>
    <w:rsid w:val="3AD66EB0"/>
    <w:rsid w:val="3B9D55C1"/>
    <w:rsid w:val="3C031236"/>
    <w:rsid w:val="3D193DB2"/>
    <w:rsid w:val="3D5928FB"/>
    <w:rsid w:val="3DCB11A7"/>
    <w:rsid w:val="3E546521"/>
    <w:rsid w:val="3E590AF2"/>
    <w:rsid w:val="3E866D9E"/>
    <w:rsid w:val="3F1B1335"/>
    <w:rsid w:val="3F3F5AE1"/>
    <w:rsid w:val="3F5A120B"/>
    <w:rsid w:val="3F7E5ACC"/>
    <w:rsid w:val="4024743C"/>
    <w:rsid w:val="4037788F"/>
    <w:rsid w:val="40E37C30"/>
    <w:rsid w:val="41067FD9"/>
    <w:rsid w:val="425F5043"/>
    <w:rsid w:val="4260230D"/>
    <w:rsid w:val="42AC2CD5"/>
    <w:rsid w:val="42FB1C14"/>
    <w:rsid w:val="43833B65"/>
    <w:rsid w:val="43E614DC"/>
    <w:rsid w:val="44205342"/>
    <w:rsid w:val="444255B6"/>
    <w:rsid w:val="4484797D"/>
    <w:rsid w:val="44A813CE"/>
    <w:rsid w:val="44AB4F09"/>
    <w:rsid w:val="44FF4D6D"/>
    <w:rsid w:val="45A0138D"/>
    <w:rsid w:val="46A63BDA"/>
    <w:rsid w:val="46EF214A"/>
    <w:rsid w:val="471B4FD5"/>
    <w:rsid w:val="474B7931"/>
    <w:rsid w:val="47567BE4"/>
    <w:rsid w:val="476D7E3D"/>
    <w:rsid w:val="47971775"/>
    <w:rsid w:val="47994953"/>
    <w:rsid w:val="4873784B"/>
    <w:rsid w:val="489A4B3A"/>
    <w:rsid w:val="49843F7B"/>
    <w:rsid w:val="498954A8"/>
    <w:rsid w:val="49900B72"/>
    <w:rsid w:val="49D34A15"/>
    <w:rsid w:val="49DD5E53"/>
    <w:rsid w:val="4A1E3ACB"/>
    <w:rsid w:val="4A9D3546"/>
    <w:rsid w:val="4B7818BD"/>
    <w:rsid w:val="4B925186"/>
    <w:rsid w:val="4BB24DCF"/>
    <w:rsid w:val="4BD606BC"/>
    <w:rsid w:val="4D74228C"/>
    <w:rsid w:val="4D7C1024"/>
    <w:rsid w:val="4DB36BDD"/>
    <w:rsid w:val="4DB655A5"/>
    <w:rsid w:val="4DD55EB5"/>
    <w:rsid w:val="4E303C06"/>
    <w:rsid w:val="4EAA6232"/>
    <w:rsid w:val="4F027E1C"/>
    <w:rsid w:val="4F5C0E57"/>
    <w:rsid w:val="4F8E7901"/>
    <w:rsid w:val="4FE021DE"/>
    <w:rsid w:val="4FFF5954"/>
    <w:rsid w:val="5055041F"/>
    <w:rsid w:val="50674A2E"/>
    <w:rsid w:val="50BB65F2"/>
    <w:rsid w:val="519805C3"/>
    <w:rsid w:val="52B464C3"/>
    <w:rsid w:val="52EF6909"/>
    <w:rsid w:val="52F479E7"/>
    <w:rsid w:val="531200E5"/>
    <w:rsid w:val="533D58C6"/>
    <w:rsid w:val="534327B1"/>
    <w:rsid w:val="536270DB"/>
    <w:rsid w:val="536E11E4"/>
    <w:rsid w:val="53AF663A"/>
    <w:rsid w:val="53B83CC0"/>
    <w:rsid w:val="540B3362"/>
    <w:rsid w:val="545A6004"/>
    <w:rsid w:val="54BE67BE"/>
    <w:rsid w:val="54F5355C"/>
    <w:rsid w:val="5530721C"/>
    <w:rsid w:val="5558771D"/>
    <w:rsid w:val="55AA2492"/>
    <w:rsid w:val="560E52F8"/>
    <w:rsid w:val="563177C5"/>
    <w:rsid w:val="56B71929"/>
    <w:rsid w:val="56C721DF"/>
    <w:rsid w:val="5783294B"/>
    <w:rsid w:val="584C5673"/>
    <w:rsid w:val="58767D89"/>
    <w:rsid w:val="58A50C3A"/>
    <w:rsid w:val="5925160D"/>
    <w:rsid w:val="599975CF"/>
    <w:rsid w:val="59B21DAB"/>
    <w:rsid w:val="59E768CA"/>
    <w:rsid w:val="59F5521D"/>
    <w:rsid w:val="5A166E71"/>
    <w:rsid w:val="5A2F66E5"/>
    <w:rsid w:val="5A3E0221"/>
    <w:rsid w:val="5A79025F"/>
    <w:rsid w:val="5AD94715"/>
    <w:rsid w:val="5AE25E02"/>
    <w:rsid w:val="5B563D3F"/>
    <w:rsid w:val="5BB40484"/>
    <w:rsid w:val="5BB46E71"/>
    <w:rsid w:val="5C594DF3"/>
    <w:rsid w:val="5C597198"/>
    <w:rsid w:val="5CB159EE"/>
    <w:rsid w:val="5D4A5F82"/>
    <w:rsid w:val="5D512F50"/>
    <w:rsid w:val="5E1B4A56"/>
    <w:rsid w:val="5E1E10F4"/>
    <w:rsid w:val="5E590F03"/>
    <w:rsid w:val="5E926B8E"/>
    <w:rsid w:val="5F047298"/>
    <w:rsid w:val="5F3148BB"/>
    <w:rsid w:val="5F3947C1"/>
    <w:rsid w:val="5F421AF7"/>
    <w:rsid w:val="5F425840"/>
    <w:rsid w:val="5F5F50FD"/>
    <w:rsid w:val="5F770925"/>
    <w:rsid w:val="60445E97"/>
    <w:rsid w:val="60BA6FF9"/>
    <w:rsid w:val="61112140"/>
    <w:rsid w:val="616D1134"/>
    <w:rsid w:val="620876CB"/>
    <w:rsid w:val="6293355E"/>
    <w:rsid w:val="62B80BB6"/>
    <w:rsid w:val="631C2329"/>
    <w:rsid w:val="63A778A2"/>
    <w:rsid w:val="63C93346"/>
    <w:rsid w:val="63D00091"/>
    <w:rsid w:val="63F6306A"/>
    <w:rsid w:val="64BB3955"/>
    <w:rsid w:val="6502275C"/>
    <w:rsid w:val="651406E5"/>
    <w:rsid w:val="654A1AF7"/>
    <w:rsid w:val="67C9728E"/>
    <w:rsid w:val="67E4235D"/>
    <w:rsid w:val="67EF3D5A"/>
    <w:rsid w:val="68187CDF"/>
    <w:rsid w:val="691D001C"/>
    <w:rsid w:val="691E6AA5"/>
    <w:rsid w:val="696C3A6B"/>
    <w:rsid w:val="697C43EA"/>
    <w:rsid w:val="69B06056"/>
    <w:rsid w:val="6A933644"/>
    <w:rsid w:val="6AA857A6"/>
    <w:rsid w:val="6B013226"/>
    <w:rsid w:val="6B5C6F13"/>
    <w:rsid w:val="6C2F15E5"/>
    <w:rsid w:val="6C5E31AD"/>
    <w:rsid w:val="6C7F4402"/>
    <w:rsid w:val="6C927C67"/>
    <w:rsid w:val="6D074E48"/>
    <w:rsid w:val="6D2F0676"/>
    <w:rsid w:val="6DEB0255"/>
    <w:rsid w:val="6E3000AA"/>
    <w:rsid w:val="6E5273B2"/>
    <w:rsid w:val="6EA43302"/>
    <w:rsid w:val="6ED13816"/>
    <w:rsid w:val="6F32618E"/>
    <w:rsid w:val="6F523EB6"/>
    <w:rsid w:val="6FCF5A08"/>
    <w:rsid w:val="70245D81"/>
    <w:rsid w:val="70476815"/>
    <w:rsid w:val="705F6A24"/>
    <w:rsid w:val="70762F9A"/>
    <w:rsid w:val="7100019E"/>
    <w:rsid w:val="720434A9"/>
    <w:rsid w:val="722145AD"/>
    <w:rsid w:val="72634A29"/>
    <w:rsid w:val="72AC01F8"/>
    <w:rsid w:val="72DD1E82"/>
    <w:rsid w:val="735339D7"/>
    <w:rsid w:val="735E2966"/>
    <w:rsid w:val="73EB6821"/>
    <w:rsid w:val="74AA48DA"/>
    <w:rsid w:val="74C23F57"/>
    <w:rsid w:val="74D060BF"/>
    <w:rsid w:val="74F91719"/>
    <w:rsid w:val="754F71E0"/>
    <w:rsid w:val="75AF3FAA"/>
    <w:rsid w:val="770A5DAE"/>
    <w:rsid w:val="77332656"/>
    <w:rsid w:val="77860D3A"/>
    <w:rsid w:val="77B85EA0"/>
    <w:rsid w:val="77E04276"/>
    <w:rsid w:val="781553E9"/>
    <w:rsid w:val="7891289A"/>
    <w:rsid w:val="78E57FA9"/>
    <w:rsid w:val="78EF6CE5"/>
    <w:rsid w:val="790778E0"/>
    <w:rsid w:val="794A4571"/>
    <w:rsid w:val="7985204B"/>
    <w:rsid w:val="79963624"/>
    <w:rsid w:val="79A547A8"/>
    <w:rsid w:val="79E1202F"/>
    <w:rsid w:val="7A5C5D83"/>
    <w:rsid w:val="7B127EFD"/>
    <w:rsid w:val="7C355B92"/>
    <w:rsid w:val="7C5175BC"/>
    <w:rsid w:val="7D3B3EFF"/>
    <w:rsid w:val="7D4C03BE"/>
    <w:rsid w:val="7D836108"/>
    <w:rsid w:val="7D8866CA"/>
    <w:rsid w:val="7D8B1BC5"/>
    <w:rsid w:val="7E38185A"/>
    <w:rsid w:val="7E815E0D"/>
    <w:rsid w:val="7EB86981"/>
    <w:rsid w:val="7ECF7696"/>
    <w:rsid w:val="7EE71059"/>
    <w:rsid w:val="7F534272"/>
    <w:rsid w:val="7F8B6521"/>
    <w:rsid w:val="7FC82489"/>
    <w:rsid w:val="7FE26A2E"/>
    <w:rsid w:val="7FE91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rPr>
      <w:sz w:val="24"/>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yperlink"/>
    <w:basedOn w:val="9"/>
    <w:unhideWhenUsed/>
    <w:qFormat/>
    <w:uiPriority w:val="99"/>
    <w:rPr>
      <w:color w:val="0563C1" w:themeColor="hyperlink"/>
      <w:u w:val="single"/>
      <w14:textFill>
        <w14:solidFill>
          <w14:schemeClr w14:val="hlink"/>
        </w14:solidFill>
      </w14:textFill>
    </w:rPr>
  </w:style>
  <w:style w:type="character" w:customStyle="1" w:styleId="13">
    <w:name w:val="normaltextrun"/>
    <w:basedOn w:val="9"/>
    <w:qFormat/>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33</Pages>
  <Words>7628</Words>
  <Characters>44267</Characters>
  <Lines>0</Lines>
  <Paragraphs>0</Paragraphs>
  <TotalTime>0</TotalTime>
  <ScaleCrop>false</ScaleCrop>
  <LinksUpToDate>false</LinksUpToDate>
  <CharactersWithSpaces>51248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2021-08-30T07:06:00Z</dcterms:created>
  <dc:creator>Administrator</dc:creator>
  <cp:lastModifiedBy>i'm creepy</cp:lastModifiedBy>
  <dcterms:modified xsi:type="dcterms:W3CDTF">2022-05-15T22:58:44Z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F6EB58D6A960416D9DA23942EEB85BF0</vt:lpwstr>
  </property>
</Properties>
</file>