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5AD2" w14:textId="1159B124" w:rsidR="007F1326" w:rsidRDefault="002264B9" w:rsidP="00DB5DC3">
      <w:pPr>
        <w:spacing w:line="360" w:lineRule="auto"/>
      </w:pPr>
      <w:r>
        <w:t xml:space="preserve">A trust is a legal arrangement </w:t>
      </w:r>
      <w:r w:rsidR="00612BA1">
        <w:t>that</w:t>
      </w:r>
      <w:r>
        <w:t xml:space="preserve"> </w:t>
      </w:r>
      <w:r w:rsidR="001E719A">
        <w:t xml:space="preserve">an individual, known as </w:t>
      </w:r>
      <w:r w:rsidR="00612BA1">
        <w:t>a trustee</w:t>
      </w:r>
      <w:r w:rsidR="001E719A">
        <w:t>,</w:t>
      </w:r>
      <w:r w:rsidR="00612BA1">
        <w:t xml:space="preserve"> has an obligation to hold a</w:t>
      </w:r>
      <w:r w:rsidR="00B26306">
        <w:t xml:space="preserve">n asset </w:t>
      </w:r>
      <w:r w:rsidR="00612BA1">
        <w:t xml:space="preserve">for the benefit of </w:t>
      </w:r>
      <w:r w:rsidR="00E67FD6">
        <w:t>a beneficiary</w:t>
      </w:r>
      <w:r>
        <w:t xml:space="preserve"> (Law society, 2023).</w:t>
      </w:r>
      <w:r w:rsidR="00573F76">
        <w:t xml:space="preserve"> </w:t>
      </w:r>
      <w:r w:rsidR="00612BA1">
        <w:t>A trustee is the legal owner chosen by a settlor</w:t>
      </w:r>
      <w:r w:rsidR="00882196">
        <w:t>, the original owner,</w:t>
      </w:r>
      <w:r w:rsidR="00612BA1">
        <w:t xml:space="preserve"> to hold the </w:t>
      </w:r>
      <w:r w:rsidR="00B26306">
        <w:t>assets</w:t>
      </w:r>
      <w:r w:rsidR="00612BA1">
        <w:t xml:space="preserve"> in the trust for the beneficiaries</w:t>
      </w:r>
      <w:r w:rsidR="00B26306">
        <w:t xml:space="preserve">, who are the equitable owners </w:t>
      </w:r>
      <w:r w:rsidR="00612BA1">
        <w:t>(</w:t>
      </w:r>
      <w:r w:rsidR="00882196">
        <w:t>Finlay, 2012</w:t>
      </w:r>
      <w:r w:rsidR="00612BA1">
        <w:t xml:space="preserve">). </w:t>
      </w:r>
      <w:r w:rsidR="00F03EDC">
        <w:t>Trusts were initially used as a way to protect family assets for future generations but have</w:t>
      </w:r>
      <w:r w:rsidR="001E719A">
        <w:t xml:space="preserve"> since</w:t>
      </w:r>
      <w:r w:rsidR="00F03EDC">
        <w:t xml:space="preserve"> evolved into being used for commercial uses also (Zhang, 2017). </w:t>
      </w:r>
      <w:r w:rsidR="00B26306">
        <w:t xml:space="preserve">This essay will evaluate the factors that led to the creation and </w:t>
      </w:r>
      <w:r w:rsidR="001E719A">
        <w:t xml:space="preserve">the </w:t>
      </w:r>
      <w:r w:rsidR="00B26306">
        <w:t>development of the trust.</w:t>
      </w:r>
    </w:p>
    <w:p w14:paraId="72CD869E" w14:textId="77777777" w:rsidR="00575D9D" w:rsidRDefault="00553368" w:rsidP="00DB5DC3">
      <w:pPr>
        <w:spacing w:line="360" w:lineRule="auto"/>
      </w:pPr>
      <w:r>
        <w:t xml:space="preserve">When an individual has legal title over something, it is considered the norm that </w:t>
      </w:r>
      <w:r w:rsidR="00E20CA1">
        <w:t>they</w:t>
      </w:r>
      <w:r>
        <w:t xml:space="preserve"> can do whatever</w:t>
      </w:r>
      <w:r w:rsidR="00E20CA1">
        <w:t xml:space="preserve"> they</w:t>
      </w:r>
      <w:r>
        <w:t xml:space="preserve"> </w:t>
      </w:r>
      <w:r w:rsidR="00C7634B">
        <w:t>wish</w:t>
      </w:r>
      <w:r>
        <w:t xml:space="preserve"> with that asset. However, in certain scenarios the legal system places fiduciary obligations over individuals which require them to hold the asset not for their benefit but for the benefit of someone else, the beneficiary (Webb, 2015). Prior to the establishment of the modern trust, existed ‘the use’. This allowed individuals, </w:t>
      </w:r>
      <w:r w:rsidR="00526C47">
        <w:t xml:space="preserve">originally known as </w:t>
      </w:r>
      <w:r>
        <w:t>feoff</w:t>
      </w:r>
      <w:r w:rsidR="00DF11C3">
        <w:t>ees</w:t>
      </w:r>
      <w:r>
        <w:t xml:space="preserve">, to temporarily transfer the </w:t>
      </w:r>
      <w:r w:rsidR="00CD728A">
        <w:t>asset</w:t>
      </w:r>
      <w:r>
        <w:t xml:space="preserve"> </w:t>
      </w:r>
      <w:r w:rsidR="00AE6583">
        <w:t xml:space="preserve">to </w:t>
      </w:r>
      <w:r w:rsidR="00B5757F">
        <w:t xml:space="preserve">a </w:t>
      </w:r>
      <w:r w:rsidR="00AE6583">
        <w:t>trusted</w:t>
      </w:r>
      <w:r>
        <w:t xml:space="preserve"> individual, </w:t>
      </w:r>
      <w:r w:rsidR="00DF11C3">
        <w:t>‘cestuis que use’</w:t>
      </w:r>
      <w:r>
        <w:t xml:space="preserve">, who would look after it for the benefit of the </w:t>
      </w:r>
      <w:r w:rsidR="00E67FD6">
        <w:t>feoffees</w:t>
      </w:r>
      <w:r>
        <w:t xml:space="preserve">. </w:t>
      </w:r>
      <w:r w:rsidR="002D35B4">
        <w:t xml:space="preserve">This was seen when individuals would go to fight at wars, leaving their land for years at a time, with strict norms that would allow for the crown to claim their land the individuals needed to leave the legal title to a trusted person to protect their asset, leaving them with an equitable interest (Hudson, 2007). </w:t>
      </w:r>
      <w:r>
        <w:t xml:space="preserve">The problems arose here when the </w:t>
      </w:r>
      <w:r w:rsidR="00DF11C3">
        <w:t xml:space="preserve">‘cestuis que use’ </w:t>
      </w:r>
      <w:r>
        <w:t>did not honour the agreeme</w:t>
      </w:r>
      <w:r w:rsidR="00082BE9">
        <w:t>nt (Martin, 2012)</w:t>
      </w:r>
      <w:r>
        <w:t>. The common law approach only recognised the rights of the legal owner,</w:t>
      </w:r>
      <w:r w:rsidR="00CD728A">
        <w:t xml:space="preserve"> while there were remedies available in the scenarios of chattels and money</w:t>
      </w:r>
      <w:r>
        <w:t xml:space="preserve"> </w:t>
      </w:r>
      <w:r w:rsidR="00CD728A">
        <w:t>through an action of breach of trust there was an absence of protection in cases of land, therefore leaving f</w:t>
      </w:r>
      <w:r>
        <w:t>eoffe</w:t>
      </w:r>
      <w:r w:rsidR="00DF11C3">
        <w:t>e</w:t>
      </w:r>
      <w:r>
        <w:t>s with no resolution (</w:t>
      </w:r>
      <w:r w:rsidR="00CD728A">
        <w:t xml:space="preserve">Watt, 2016; </w:t>
      </w:r>
      <w:r>
        <w:t xml:space="preserve">Megarry, 1941). </w:t>
      </w:r>
      <w:r w:rsidR="004B38E4">
        <w:t>The legal system initially recognised a common law</w:t>
      </w:r>
      <w:r w:rsidR="00B97A5E">
        <w:t xml:space="preserve"> only</w:t>
      </w:r>
      <w:r w:rsidR="004B38E4">
        <w:t xml:space="preserve"> approach which was developed in 1066</w:t>
      </w:r>
      <w:r w:rsidR="004C1BCB">
        <w:t xml:space="preserve"> </w:t>
      </w:r>
      <w:r w:rsidR="00526C47">
        <w:t xml:space="preserve">which is </w:t>
      </w:r>
      <w:r w:rsidR="004C1BCB">
        <w:t>based on previously decided case outcomes</w:t>
      </w:r>
      <w:r w:rsidR="004B38E4">
        <w:t xml:space="preserve"> (</w:t>
      </w:r>
      <w:r w:rsidR="007F1326">
        <w:t>Potter, 2015</w:t>
      </w:r>
      <w:r w:rsidR="004B38E4">
        <w:t>).</w:t>
      </w:r>
      <w:r w:rsidR="00B97A5E">
        <w:t xml:space="preserve"> </w:t>
      </w:r>
      <w:r w:rsidR="004C1BCB">
        <w:t xml:space="preserve">However, as the world evolved </w:t>
      </w:r>
      <w:r w:rsidR="00163E99">
        <w:t>litigants</w:t>
      </w:r>
      <w:r w:rsidR="004C1BCB">
        <w:t xml:space="preserve"> called for further remedies when they felt that the common law approach did</w:t>
      </w:r>
      <w:r w:rsidR="00040082">
        <w:t xml:space="preserve"> not</w:t>
      </w:r>
      <w:r w:rsidR="004C1BCB">
        <w:t xml:space="preserve"> raise a satisfactory and just </w:t>
      </w:r>
      <w:r w:rsidR="004C1BCB" w:rsidRPr="00D36BDB">
        <w:t>outcome</w:t>
      </w:r>
      <w:r w:rsidR="00E67FD6">
        <w:t>, as seen in the cases of ‘the use’</w:t>
      </w:r>
      <w:r w:rsidR="00501F92">
        <w:t xml:space="preserve"> </w:t>
      </w:r>
      <w:r w:rsidR="004C1BCB" w:rsidRPr="00D36BDB">
        <w:t>(</w:t>
      </w:r>
      <w:r w:rsidR="00501F92">
        <w:t>Humphreys, 2023</w:t>
      </w:r>
      <w:r w:rsidR="004C1BCB" w:rsidRPr="00D36BDB">
        <w:t>).</w:t>
      </w:r>
      <w:r w:rsidR="0033321F">
        <w:t xml:space="preserve"> This is</w:t>
      </w:r>
      <w:r w:rsidR="00526C47">
        <w:t xml:space="preserve"> criticism is</w:t>
      </w:r>
      <w:r w:rsidR="0033321F">
        <w:t xml:space="preserve"> supported by </w:t>
      </w:r>
      <w:r w:rsidR="002B4710">
        <w:t>argument</w:t>
      </w:r>
      <w:r w:rsidR="0033321F">
        <w:t xml:space="preserve"> that the common law approach was rigid with no flexibility</w:t>
      </w:r>
      <w:r w:rsidR="00163E99">
        <w:t>, leaving litigants with no fair outcome if their case did not fit within an already established writ</w:t>
      </w:r>
      <w:r w:rsidR="0033321F">
        <w:t xml:space="preserve"> (Todd, 1954).</w:t>
      </w:r>
      <w:r w:rsidR="004C1BCB">
        <w:t xml:space="preserve"> </w:t>
      </w:r>
    </w:p>
    <w:p w14:paraId="33338918" w14:textId="0738E353" w:rsidR="007430B8" w:rsidRDefault="00575D9D" w:rsidP="00DB5DC3">
      <w:pPr>
        <w:spacing w:line="360" w:lineRule="auto"/>
      </w:pPr>
      <w:r>
        <w:t>A lack of just outcomes</w:t>
      </w:r>
      <w:r w:rsidR="004C1BCB">
        <w:t xml:space="preserve"> evolved into a process allowing litigants who were unsatisfied with their local courts decision, based in common law, to make a petition to the King (</w:t>
      </w:r>
      <w:r w:rsidR="00832102">
        <w:t>Ames, 1908</w:t>
      </w:r>
      <w:r w:rsidR="004C1BCB">
        <w:t xml:space="preserve">). These cases would then be heard by the </w:t>
      </w:r>
      <w:r w:rsidR="00501F92">
        <w:t>Chancellor</w:t>
      </w:r>
      <w:r w:rsidR="004C1BCB">
        <w:t xml:space="preserve"> </w:t>
      </w:r>
      <w:r w:rsidR="007430B8">
        <w:t xml:space="preserve">who would issue </w:t>
      </w:r>
      <w:r w:rsidR="00C7634B">
        <w:t xml:space="preserve">a </w:t>
      </w:r>
      <w:r w:rsidR="007430B8">
        <w:t>writ</w:t>
      </w:r>
      <w:r w:rsidR="00C7634B">
        <w:t xml:space="preserve"> demanding litigants to come before him,</w:t>
      </w:r>
      <w:r w:rsidR="007430B8">
        <w:t xml:space="preserve"> to</w:t>
      </w:r>
      <w:r w:rsidR="004C1BCB">
        <w:t xml:space="preserve"> resolve </w:t>
      </w:r>
      <w:r w:rsidR="007430B8">
        <w:t>issues</w:t>
      </w:r>
      <w:r w:rsidR="004C1BCB">
        <w:t xml:space="preserve"> not with common law approach but with principles of what was just and fair</w:t>
      </w:r>
      <w:r w:rsidR="00163E99">
        <w:t xml:space="preserve"> in their own morals. The Chancellor would threaten with imprisonment if his ruling was not abided by, allowing him to enforce the rules which will later be known as equity law</w:t>
      </w:r>
      <w:r w:rsidR="00C7634B">
        <w:t xml:space="preserve"> (</w:t>
      </w:r>
      <w:r w:rsidR="00C7634B" w:rsidRPr="00163E99">
        <w:t>Glister</w:t>
      </w:r>
      <w:r w:rsidR="00C7634B">
        <w:t>, 2015)</w:t>
      </w:r>
      <w:r w:rsidR="00501F92">
        <w:t>. This established the Chancellor as a judicial body by the 14</w:t>
      </w:r>
      <w:r w:rsidR="00501F92" w:rsidRPr="00501F92">
        <w:rPr>
          <w:vertAlign w:val="superscript"/>
        </w:rPr>
        <w:t>th</w:t>
      </w:r>
      <w:r w:rsidR="00501F92">
        <w:t xml:space="preserve"> Century, </w:t>
      </w:r>
      <w:r w:rsidR="004C1BCB">
        <w:t>which in turn developed the principle of equity (</w:t>
      </w:r>
      <w:r w:rsidR="00501F92" w:rsidRPr="00D36BDB">
        <w:t>Courts and Tribunals Judiciary, 2023</w:t>
      </w:r>
      <w:r w:rsidR="004C1BCB">
        <w:t>).</w:t>
      </w:r>
      <w:r w:rsidR="007430B8">
        <w:t xml:space="preserve"> </w:t>
      </w:r>
      <w:r w:rsidR="00383A93">
        <w:t xml:space="preserve">However, </w:t>
      </w:r>
      <w:r w:rsidR="002D35B4">
        <w:t>this process</w:t>
      </w:r>
      <w:r w:rsidR="00383A93">
        <w:t xml:space="preserve"> still faced criticism </w:t>
      </w:r>
      <w:r w:rsidR="00383A93">
        <w:lastRenderedPageBreak/>
        <w:t>due to the uneducated Chancellors decisions being questioned and on occasion rebutted (Clements &amp; Abass, 2013 p 4)</w:t>
      </w:r>
      <w:r w:rsidR="00E02166">
        <w:t>.</w:t>
      </w:r>
    </w:p>
    <w:p w14:paraId="16834E91" w14:textId="76821154" w:rsidR="004C1BCB" w:rsidRDefault="00C75D0A" w:rsidP="00DB5DC3">
      <w:pPr>
        <w:spacing w:line="360" w:lineRule="auto"/>
      </w:pPr>
      <w:r>
        <w:t>Equity recognised the agreement and breaches of agreement between private citizens when the common law approach failed</w:t>
      </w:r>
      <w:r w:rsidR="00040082">
        <w:t xml:space="preserve"> to give fair </w:t>
      </w:r>
      <w:r w:rsidR="004A085C">
        <w:t xml:space="preserve">remedies due to the strict boundaries </w:t>
      </w:r>
      <w:r w:rsidR="00FF70C8">
        <w:t>(</w:t>
      </w:r>
      <w:r w:rsidR="004A085C">
        <w:t>Roebuck &amp; co v Camp, 1938</w:t>
      </w:r>
      <w:r>
        <w:t xml:space="preserve">). </w:t>
      </w:r>
      <w:r w:rsidR="004C1BCB">
        <w:t xml:space="preserve">This represents a strength </w:t>
      </w:r>
      <w:r w:rsidR="00E67FD6">
        <w:t xml:space="preserve">for the evolution ‘the use’ and development of trusts to be fair and equitable for those who enter into the agreements not just the owners by </w:t>
      </w:r>
      <w:r w:rsidR="00843979">
        <w:t xml:space="preserve">legal </w:t>
      </w:r>
      <w:r w:rsidR="00E67FD6">
        <w:t>title.</w:t>
      </w:r>
      <w:r w:rsidR="00843979">
        <w:t xml:space="preserve"> Although, the chancellors equitable approach was criticised due to the nature of individual bias of the chancellor in the outcomes of their equitable decisions, something that was not seen in common law approaches due to the reliance on precedents (McDonald, 2011). However, the Earl of Oxfords Case (1615) would present to argue that this is a strength of the equitable approach</w:t>
      </w:r>
      <w:r w:rsidR="00575D9D">
        <w:t>, and therefore remedies for equitable owners,</w:t>
      </w:r>
      <w:r w:rsidR="00843979">
        <w:t xml:space="preserve"> at the time and is not to be regarded as a weakness. With the unpredictability of individuals decisions no one size fits all rule is suitable. The equitable approach allows for the role of conscience to be seen, which at this time allowed for the case to be considered using facts of ‘private knowledge’ which could not be considered at common law due to rigid need for proof by the hard facts (McNair, 2007). Something that strengthened the development of trusts as it solidified the rights for the equitable owners.</w:t>
      </w:r>
    </w:p>
    <w:p w14:paraId="2F319AEB" w14:textId="740A9B3A" w:rsidR="00B97A5E" w:rsidRDefault="009012AC" w:rsidP="00DB5DC3">
      <w:pPr>
        <w:spacing w:line="360" w:lineRule="auto"/>
      </w:pPr>
      <w:r>
        <w:t>The</w:t>
      </w:r>
      <w:r w:rsidR="00FF70C8">
        <w:t xml:space="preserve"> establishment</w:t>
      </w:r>
      <w:r w:rsidR="00C75D0A">
        <w:t xml:space="preserve"> of equity in the </w:t>
      </w:r>
      <w:r w:rsidR="00C310DE">
        <w:t>fourteenth</w:t>
      </w:r>
      <w:r w:rsidR="00C75D0A">
        <w:t xml:space="preserve"> century allowed for the development of </w:t>
      </w:r>
      <w:r w:rsidR="00D00404">
        <w:t>trusts</w:t>
      </w:r>
      <w:r w:rsidR="00C75D0A">
        <w:t xml:space="preserve"> be legitimised when the common law approach did not recognise their validity</w:t>
      </w:r>
      <w:r w:rsidR="00D75B5D">
        <w:t>. Which allowed the p</w:t>
      </w:r>
      <w:r>
        <w:t>reventi</w:t>
      </w:r>
      <w:r w:rsidR="00D75B5D">
        <w:t>on of</w:t>
      </w:r>
      <w:r>
        <w:t xml:space="preserve"> the </w:t>
      </w:r>
      <w:r w:rsidR="00843979">
        <w:t xml:space="preserve">‘cestuis que use’ </w:t>
      </w:r>
      <w:r>
        <w:t xml:space="preserve">from benefitting from the assets and ensuring the </w:t>
      </w:r>
      <w:r w:rsidR="00843979">
        <w:t xml:space="preserve">feoffees </w:t>
      </w:r>
      <w:r>
        <w:t xml:space="preserve">equitable interests were held </w:t>
      </w:r>
      <w:r w:rsidR="00C75D0A">
        <w:t>(</w:t>
      </w:r>
      <w:r>
        <w:t>Webb, 2008</w:t>
      </w:r>
      <w:r w:rsidR="00C75D0A">
        <w:t xml:space="preserve">). </w:t>
      </w:r>
      <w:r w:rsidR="001E719A">
        <w:t>This is something</w:t>
      </w:r>
      <w:r w:rsidR="00843979">
        <w:t xml:space="preserve"> that</w:t>
      </w:r>
      <w:r w:rsidR="00C75D0A">
        <w:t xml:space="preserve"> strength</w:t>
      </w:r>
      <w:r w:rsidR="00843979">
        <w:t>ens</w:t>
      </w:r>
      <w:r w:rsidR="00C75D0A">
        <w:t xml:space="preserve"> the view of the legal system as being comprehensive in its approac</w:t>
      </w:r>
      <w:r w:rsidR="00B446B1">
        <w:t>h</w:t>
      </w:r>
      <w:r w:rsidR="00526C47">
        <w:t xml:space="preserve"> and the development of trusts</w:t>
      </w:r>
      <w:r w:rsidR="00B446B1">
        <w:t>. During the 15</w:t>
      </w:r>
      <w:r w:rsidR="00B446B1" w:rsidRPr="00B446B1">
        <w:rPr>
          <w:vertAlign w:val="superscript"/>
        </w:rPr>
        <w:t>th</w:t>
      </w:r>
      <w:r w:rsidR="00B446B1">
        <w:t xml:space="preserve"> and 16</w:t>
      </w:r>
      <w:r w:rsidR="00B446B1" w:rsidRPr="00B446B1">
        <w:rPr>
          <w:vertAlign w:val="superscript"/>
        </w:rPr>
        <w:t>th</w:t>
      </w:r>
      <w:r w:rsidR="00B446B1">
        <w:t xml:space="preserve"> centuries </w:t>
      </w:r>
      <w:r w:rsidR="002B4710">
        <w:t>uses</w:t>
      </w:r>
      <w:r w:rsidR="00B446B1">
        <w:t xml:space="preserve"> were used in an attempt to avoid </w:t>
      </w:r>
      <w:r w:rsidR="001E719A">
        <w:t xml:space="preserve">paying </w:t>
      </w:r>
      <w:r w:rsidR="00B446B1">
        <w:t xml:space="preserve">the tax associated with the feudal system (Ramjohn, 2017). This resulted in the crown introducing the Statute of Uses 1535 to restrict the use of </w:t>
      </w:r>
      <w:r w:rsidR="002B4710">
        <w:t>uses</w:t>
      </w:r>
      <w:r w:rsidR="001E719A">
        <w:t>, in an attempt to protect the tax payments they should have received</w:t>
      </w:r>
      <w:r w:rsidR="00B446B1">
        <w:t>. However</w:t>
      </w:r>
      <w:r w:rsidR="001C2C77">
        <w:t>,</w:t>
      </w:r>
      <w:r w:rsidR="00B446B1">
        <w:t xml:space="preserve"> this was short lived and the use of </w:t>
      </w:r>
      <w:r w:rsidR="002B4710">
        <w:t>uses</w:t>
      </w:r>
      <w:r w:rsidR="00B446B1">
        <w:t xml:space="preserve"> was popularised </w:t>
      </w:r>
      <w:r w:rsidR="001E719A">
        <w:t xml:space="preserve">once </w:t>
      </w:r>
      <w:r w:rsidR="00B446B1">
        <w:t>again (Hopkins v Hopkins, 1739).</w:t>
      </w:r>
      <w:r w:rsidR="001C2C77">
        <w:t xml:space="preserve"> </w:t>
      </w:r>
      <w:r w:rsidR="007C6127">
        <w:t>This was due to</w:t>
      </w:r>
      <w:r w:rsidR="00843979">
        <w:t xml:space="preserve"> </w:t>
      </w:r>
      <w:r w:rsidR="007C6127">
        <w:t>a loophole</w:t>
      </w:r>
      <w:r w:rsidR="001E719A">
        <w:t xml:space="preserve"> found</w:t>
      </w:r>
      <w:r w:rsidR="007C6127">
        <w:t xml:space="preserve"> in the Statute of Uses (1535) that </w:t>
      </w:r>
      <w:r w:rsidR="001E719A">
        <w:t>left</w:t>
      </w:r>
      <w:r w:rsidR="007C6127">
        <w:t xml:space="preserve"> </w:t>
      </w:r>
      <w:r w:rsidR="00843979">
        <w:t>land</w:t>
      </w:r>
      <w:r w:rsidR="007C6127">
        <w:t xml:space="preserve"> exempt from the dues to be paid if there was a double use</w:t>
      </w:r>
      <w:r w:rsidR="00843979">
        <w:t xml:space="preserve"> enacted</w:t>
      </w:r>
      <w:r w:rsidR="007C6127">
        <w:t xml:space="preserve">, land was transferred from A for the use of B for the use of C. This developed into the process of using a ‘trust’, </w:t>
      </w:r>
      <w:r w:rsidR="00615C49">
        <w:t xml:space="preserve">A </w:t>
      </w:r>
      <w:r w:rsidR="007C6127">
        <w:t xml:space="preserve">allowing individual B to hold in trust for individual C (Edwards, 2009). </w:t>
      </w:r>
    </w:p>
    <w:p w14:paraId="16C9C29A" w14:textId="28C19B9B" w:rsidR="003F383F" w:rsidRDefault="00AC3ABA" w:rsidP="00DB5DC3">
      <w:pPr>
        <w:spacing w:line="360" w:lineRule="auto"/>
      </w:pPr>
      <w:r>
        <w:t>As</w:t>
      </w:r>
      <w:r w:rsidR="00206537">
        <w:t xml:space="preserve"> the </w:t>
      </w:r>
      <w:r w:rsidR="00C310DE">
        <w:t>sixteenth</w:t>
      </w:r>
      <w:r w:rsidR="00206537">
        <w:t xml:space="preserve"> century progressed the approach to the law of equity and therefore </w:t>
      </w:r>
      <w:r w:rsidR="002B4710">
        <w:t>trusts</w:t>
      </w:r>
      <w:r w:rsidR="00206537">
        <w:t xml:space="preserve"> started to be </w:t>
      </w:r>
      <w:r>
        <w:t>legitimised</w:t>
      </w:r>
      <w:r w:rsidR="00206537">
        <w:t xml:space="preserve">, with legal professionals being appointed as </w:t>
      </w:r>
      <w:r w:rsidR="001E719A">
        <w:t>C</w:t>
      </w:r>
      <w:r w:rsidR="00206537">
        <w:t>hancellors and ruling</w:t>
      </w:r>
      <w:r w:rsidR="00526C47">
        <w:t>s</w:t>
      </w:r>
      <w:r w:rsidR="00206537">
        <w:t xml:space="preserve"> </w:t>
      </w:r>
      <w:r w:rsidR="001E719A">
        <w:t xml:space="preserve">started to </w:t>
      </w:r>
      <w:r w:rsidR="00206537">
        <w:t>rely on precedents in equity</w:t>
      </w:r>
      <w:r w:rsidR="003575FB">
        <w:t xml:space="preserve"> </w:t>
      </w:r>
      <w:r w:rsidR="001E719A">
        <w:t xml:space="preserve">law </w:t>
      </w:r>
      <w:r w:rsidR="003575FB">
        <w:t>(Gee v Prichard, 1818).</w:t>
      </w:r>
      <w:r>
        <w:t xml:space="preserve"> However, the outcomes at equity hearings were still criticised due to lack of consistency seen</w:t>
      </w:r>
      <w:r w:rsidR="00962266">
        <w:t xml:space="preserve"> in the </w:t>
      </w:r>
      <w:r w:rsidR="001E719A">
        <w:t>C</w:t>
      </w:r>
      <w:r w:rsidR="00962266">
        <w:t>hancellors outcomes using conscience</w:t>
      </w:r>
      <w:r w:rsidR="00C66F6D">
        <w:t>,</w:t>
      </w:r>
      <w:r w:rsidR="00962266">
        <w:t xml:space="preserve"> </w:t>
      </w:r>
      <w:r w:rsidR="00962266">
        <w:lastRenderedPageBreak/>
        <w:t>therefor</w:t>
      </w:r>
      <w:r w:rsidR="00615C49">
        <w:t>e</w:t>
      </w:r>
      <w:r w:rsidR="00962266">
        <w:t xml:space="preserve"> weaking the development of trusts as there was no certainty over the protection afforded to beneficiaries in their equitable interests (</w:t>
      </w:r>
      <w:r w:rsidR="00615C49">
        <w:t>Panesar, 2017</w:t>
      </w:r>
      <w:r w:rsidR="00962266">
        <w:t>).</w:t>
      </w:r>
      <w:r w:rsidR="00132CDB">
        <w:t xml:space="preserve"> </w:t>
      </w:r>
      <w:r w:rsidR="00AD22C0">
        <w:t>Although</w:t>
      </w:r>
      <w:r w:rsidR="008D0133">
        <w:t>,</w:t>
      </w:r>
      <w:r w:rsidR="00AD22C0">
        <w:t xml:space="preserve"> the formation of trusts </w:t>
      </w:r>
      <w:r w:rsidR="00C04C27">
        <w:t>began</w:t>
      </w:r>
      <w:r w:rsidR="00AD22C0">
        <w:t xml:space="preserve"> to formalise </w:t>
      </w:r>
      <w:r w:rsidR="00C04C27">
        <w:t xml:space="preserve">further </w:t>
      </w:r>
      <w:r w:rsidR="00AD22C0">
        <w:t xml:space="preserve">with the introduction of the </w:t>
      </w:r>
      <w:r w:rsidR="003F383F">
        <w:t>three</w:t>
      </w:r>
      <w:r w:rsidR="00AD22C0">
        <w:t xml:space="preserve"> certainties</w:t>
      </w:r>
      <w:r w:rsidR="008D0133">
        <w:t xml:space="preserve">, requiring a valid trust to have certainty in the intent to create a trust, the subject matter and in who the beneficiaries are intended to be (Knight v Knight, </w:t>
      </w:r>
      <w:r w:rsidR="005D52C3">
        <w:t>1840).</w:t>
      </w:r>
      <w:r w:rsidR="00AD22C0">
        <w:t xml:space="preserve"> </w:t>
      </w:r>
      <w:r w:rsidR="00C04C27">
        <w:t>Therefore,</w:t>
      </w:r>
      <w:r w:rsidR="00F06D10">
        <w:t xml:space="preserve"> highlighting the evolution of the trust at this time into being a more legitimate process.</w:t>
      </w:r>
      <w:r w:rsidR="003F383F">
        <w:t xml:space="preserve"> However, the three certainties can leave equitable owners without a satisfactory outcome if the rules are</w:t>
      </w:r>
      <w:r w:rsidR="001E719A">
        <w:t xml:space="preserve"> </w:t>
      </w:r>
      <w:r w:rsidR="003F383F">
        <w:t>n</w:t>
      </w:r>
      <w:r w:rsidR="001E719A">
        <w:t>o</w:t>
      </w:r>
      <w:r w:rsidR="003F383F">
        <w:t xml:space="preserve">t followed. </w:t>
      </w:r>
      <w:r w:rsidR="009921BE">
        <w:t>If it is deemed that the wording surrounding the subject matter is too vague the trust will be held to be invalid, again leaving the should be beneficiary without the intended asset (Anthony v Donges, 1998).</w:t>
      </w:r>
      <w:r w:rsidR="003F383F">
        <w:t xml:space="preserve"> </w:t>
      </w:r>
      <w:r w:rsidR="00746444">
        <w:t xml:space="preserve">Similarly, </w:t>
      </w:r>
      <w:r w:rsidR="009921BE">
        <w:t>an intention to create right to an asset through a trust without ensuring the objects group can be listed without uncertainty will cause for trust be deemed invalid (IRC v Broadway Cottages Trust, 1955). However, development in this area allowed for discretionary trusts to utilise a more flexible approach, allowing a trust to be upheld if with certainty you can ascertain if someone is or is not a member of the object group (McPhail v Doulton, 1971). Therefore evidencing the evolution of the trust through time to ensure that the beneficiaries equitable interests are protected.</w:t>
      </w:r>
    </w:p>
    <w:p w14:paraId="26D7A76C" w14:textId="1F52AEDC" w:rsidR="003F4B44" w:rsidRDefault="00E21974" w:rsidP="00DB5DC3">
      <w:pPr>
        <w:spacing w:line="360" w:lineRule="auto"/>
      </w:pPr>
      <w:r>
        <w:t>Through</w:t>
      </w:r>
      <w:r w:rsidR="005D1C73">
        <w:t xml:space="preserve"> the late eighteenth century</w:t>
      </w:r>
      <w:r>
        <w:t xml:space="preserve"> further formalisation of the trust process</w:t>
      </w:r>
      <w:r w:rsidR="005D1C73">
        <w:t xml:space="preserve"> helped to overcome the criticism of a lack of consistency. The introduction of the Judicature Acts 1873 and 1875 </w:t>
      </w:r>
      <w:r w:rsidR="00C66F6D">
        <w:t xml:space="preserve">voided the old </w:t>
      </w:r>
      <w:r w:rsidR="00ED591B">
        <w:t>C</w:t>
      </w:r>
      <w:r w:rsidR="00C66F6D">
        <w:t xml:space="preserve">ommon </w:t>
      </w:r>
      <w:r w:rsidR="00ED591B">
        <w:t>L</w:t>
      </w:r>
      <w:r w:rsidR="00C66F6D">
        <w:t xml:space="preserve">aw </w:t>
      </w:r>
      <w:r w:rsidR="00ED591B">
        <w:t>C</w:t>
      </w:r>
      <w:r w:rsidR="00C66F6D">
        <w:t xml:space="preserve">ourts and the Court of </w:t>
      </w:r>
      <w:r w:rsidR="00AA7774">
        <w:t>Chancery</w:t>
      </w:r>
      <w:r w:rsidR="00C66F6D">
        <w:t xml:space="preserve"> and replaced them with the High Court and</w:t>
      </w:r>
      <w:r w:rsidR="00AA7774">
        <w:t xml:space="preserve"> the Court of Appeal (Parliament, 2023). </w:t>
      </w:r>
      <w:r w:rsidR="00F81FB7">
        <w:t xml:space="preserve"> </w:t>
      </w:r>
      <w:r w:rsidR="000E6709">
        <w:t xml:space="preserve">This allowed for common law and equity to be </w:t>
      </w:r>
      <w:r w:rsidR="00CE381D">
        <w:t>argued</w:t>
      </w:r>
      <w:r w:rsidR="000E6709">
        <w:t xml:space="preserve"> as fused and strengthened the rights afforded to litigants seeking to defend their equitable interest in an asset (Walsh v Lonsdale, 1882).</w:t>
      </w:r>
      <w:r w:rsidR="00CE381D">
        <w:t xml:space="preserve"> Something that is further supported in Errington v Errington and Woods (1952) </w:t>
      </w:r>
      <w:r w:rsidR="00ED591B">
        <w:t>where it is</w:t>
      </w:r>
      <w:r w:rsidR="00CE381D">
        <w:t xml:space="preserve"> </w:t>
      </w:r>
      <w:r w:rsidR="003F3359">
        <w:t>argued</w:t>
      </w:r>
      <w:r w:rsidR="00CE381D">
        <w:t xml:space="preserve"> that the Judicature Acts 1873 and 1875 allowed for the differences in legal and equitable ownership to be void. </w:t>
      </w:r>
      <w:r w:rsidR="005D1C73">
        <w:t>Therefore,</w:t>
      </w:r>
      <w:r w:rsidR="00CE381D">
        <w:t xml:space="preserve"> strengthening the position of a </w:t>
      </w:r>
      <w:r w:rsidR="00B13F4E">
        <w:t>beneficiary’s</w:t>
      </w:r>
      <w:r w:rsidR="00CE381D">
        <w:t xml:space="preserve"> equitable interest</w:t>
      </w:r>
      <w:r w:rsidR="00575D9D">
        <w:t xml:space="preserve"> leaving no gaps</w:t>
      </w:r>
      <w:r w:rsidR="00CE381D">
        <w:t>.</w:t>
      </w:r>
      <w:r w:rsidR="005D1C73">
        <w:t xml:space="preserve"> </w:t>
      </w:r>
      <w:r w:rsidR="00E02166">
        <w:t xml:space="preserve">However, others argue that this is not the case and the Judicature Acts 1873 and 1875 merely bonded the administration of common law and equity law and have not </w:t>
      </w:r>
      <w:r w:rsidR="00DE5A1A">
        <w:t>fused the two laws in their actions (Salt v Cooper, 1880).</w:t>
      </w:r>
      <w:r w:rsidR="00B13F4E">
        <w:t xml:space="preserve"> </w:t>
      </w:r>
      <w:r w:rsidR="00FE0D1E">
        <w:t xml:space="preserve">A point which is supported in the wording of s 11 of the Act which states that ‘equity shall prevail’ if there is a conflict between the two laws. </w:t>
      </w:r>
      <w:r w:rsidR="00B13F4E">
        <w:t xml:space="preserve">Although, this alone could still be argued to be a benefit of the development of trust law. The average cost of taking a case to court is high. Allowing litigants to go to one court instead of having to go to the Common Law court and if they fail then the Court of Chancery, as previous, allows the process to be more accessible and helps to ensure trustees wishes and equitable interests are protected (Beckman, 1997). </w:t>
      </w:r>
      <w:r w:rsidR="00CB3753">
        <w:t xml:space="preserve">The uncertainty here is argued to be cause for further advancements in the law surrounding common law and equity, that the legal system should be able to state that the same principle is met in both approaches (Burrows, 2002). This would evidence the development of </w:t>
      </w:r>
      <w:r w:rsidR="00CB3753">
        <w:lastRenderedPageBreak/>
        <w:t>trusts from a position of equitable owners having almost no recourse to a protection in all elements of the law.</w:t>
      </w:r>
    </w:p>
    <w:p w14:paraId="1E2F8DB5" w14:textId="2A015D67" w:rsidR="00B26306" w:rsidRDefault="005D1C73" w:rsidP="00DB5DC3">
      <w:pPr>
        <w:spacing w:line="360" w:lineRule="auto"/>
      </w:pPr>
      <w:r>
        <w:t xml:space="preserve">Further developments in the law surrounding trusts was seen with the introduction of </w:t>
      </w:r>
      <w:r w:rsidR="00F81FB7">
        <w:t xml:space="preserve">the Trustee Act 1925 which consolidated the laws relating to trustees. </w:t>
      </w:r>
      <w:r w:rsidR="00220DD9">
        <w:t>Th</w:t>
      </w:r>
      <w:r w:rsidR="00F81FB7">
        <w:t xml:space="preserve">e enactments of </w:t>
      </w:r>
      <w:r w:rsidR="00AC13A4">
        <w:t>this</w:t>
      </w:r>
      <w:r w:rsidR="00F81FB7">
        <w:t xml:space="preserve"> legislation</w:t>
      </w:r>
      <w:r w:rsidR="00220DD9">
        <w:t xml:space="preserve"> allowed the laws of equity to be unified into a singular approach rather on the whim of the particular Chancery that a case was being hear</w:t>
      </w:r>
      <w:r w:rsidR="002B4710">
        <w:t>d</w:t>
      </w:r>
      <w:r w:rsidR="00220DD9">
        <w:t xml:space="preserve"> in front of</w:t>
      </w:r>
      <w:r w:rsidR="003A3D53">
        <w:t xml:space="preserve">, something that is argued to </w:t>
      </w:r>
      <w:r w:rsidR="00AC13A4">
        <w:t xml:space="preserve">allow the equitable rules to be rooted and based in the foundations of accepted legal doctrines which in turn improves the validity of outcomes for equitable owners (Allen v Synder, 1977). </w:t>
      </w:r>
      <w:r w:rsidR="00220DD9">
        <w:t xml:space="preserve"> </w:t>
      </w:r>
      <w:r w:rsidR="00AC13A4">
        <w:t>Therefore,</w:t>
      </w:r>
      <w:r w:rsidR="00220DD9">
        <w:t xml:space="preserve"> strengthening the development of trusts in the security </w:t>
      </w:r>
      <w:r w:rsidR="00AC13A4">
        <w:t xml:space="preserve">afforded to </w:t>
      </w:r>
      <w:r w:rsidR="002B4710">
        <w:t>equitable owners</w:t>
      </w:r>
      <w:r w:rsidR="00AC13A4">
        <w:t xml:space="preserve"> in comparison to the outcomes afforded at common law without equitable input</w:t>
      </w:r>
      <w:r w:rsidR="00220DD9">
        <w:t xml:space="preserve">. This is something that is further supported by Heydon (2015) who notes that this </w:t>
      </w:r>
      <w:r w:rsidR="00ED591B">
        <w:t xml:space="preserve">Act </w:t>
      </w:r>
      <w:r w:rsidR="00220DD9">
        <w:t>saw the freedom of the Chancery to wilfully decide outcomes by conscience over</w:t>
      </w:r>
      <w:r w:rsidR="00ED591B">
        <w:t>,</w:t>
      </w:r>
      <w:r w:rsidR="00AC13A4">
        <w:t xml:space="preserve"> legitimising the equitable approach further</w:t>
      </w:r>
      <w:r w:rsidR="00220DD9">
        <w:t>.</w:t>
      </w:r>
      <w:r w:rsidR="00F81FB7">
        <w:t xml:space="preserve"> Although, t</w:t>
      </w:r>
      <w:r w:rsidR="00B26306">
        <w:t>he Law Commission (</w:t>
      </w:r>
      <w:r w:rsidR="001E58BB">
        <w:t>No Date</w:t>
      </w:r>
      <w:r w:rsidR="00B26306">
        <w:t xml:space="preserve">) argues that this </w:t>
      </w:r>
      <w:r w:rsidR="00F81FB7">
        <w:t>area of the law</w:t>
      </w:r>
      <w:r w:rsidR="00B26306">
        <w:t xml:space="preserve"> is </w:t>
      </w:r>
      <w:r w:rsidR="00AC13A4">
        <w:t xml:space="preserve">still </w:t>
      </w:r>
      <w:r w:rsidR="00B26306">
        <w:t xml:space="preserve">outdated and is in need of reform to modernise it </w:t>
      </w:r>
      <w:r w:rsidR="00F81FB7">
        <w:t>with the last update being in</w:t>
      </w:r>
      <w:r w:rsidR="00B26306">
        <w:t xml:space="preserve"> 1925</w:t>
      </w:r>
      <w:r w:rsidR="00F81FB7">
        <w:t xml:space="preserve">. They argue that this </w:t>
      </w:r>
      <w:r w:rsidR="00B26306">
        <w:t>hinders the legals systems ability to be competitive in this area</w:t>
      </w:r>
      <w:r w:rsidR="00F81FB7">
        <w:t xml:space="preserve"> and therefor</w:t>
      </w:r>
      <w:r w:rsidR="00AC13A4">
        <w:t>e</w:t>
      </w:r>
      <w:r w:rsidR="00F81FB7">
        <w:t xml:space="preserve"> is a criticism of the development of trusts since the nineteenth century.</w:t>
      </w:r>
      <w:r w:rsidR="007E1DF5">
        <w:t xml:space="preserve"> 1925 also saw the codification of rules relating to land left in trusts, as previously discussed the initial approach of equity allowed private facts to be utilised. The Law of Property Act 1925 set that for a trust to be valid in leaving lanf a the deed must be executed (s52). Therefore, evidencing the development of trusts into a more formal and legitimate area of the law.</w:t>
      </w:r>
    </w:p>
    <w:p w14:paraId="121446A9" w14:textId="70963254" w:rsidR="00FA6B79" w:rsidRDefault="00AC13A4" w:rsidP="00DB5DC3">
      <w:pPr>
        <w:spacing w:line="360" w:lineRule="auto"/>
      </w:pPr>
      <w:r>
        <w:t xml:space="preserve">Additional legislation was introduced in the form of the Trustee Act 2000. </w:t>
      </w:r>
      <w:r w:rsidR="009F697C">
        <w:t xml:space="preserve">This governed the </w:t>
      </w:r>
      <w:r w:rsidR="0057328D">
        <w:t>duty of care to a beneficiary equitable entitlement, the right to acquire land, appoint agents and the right to compensated (The Trustee Act 2000 s1,</w:t>
      </w:r>
      <w:r w:rsidR="005142F1">
        <w:t xml:space="preserve"> </w:t>
      </w:r>
      <w:r w:rsidR="0057328D">
        <w:t>s2,</w:t>
      </w:r>
      <w:r w:rsidR="005142F1">
        <w:t xml:space="preserve"> </w:t>
      </w:r>
      <w:r w:rsidR="0057328D">
        <w:t>s3,</w:t>
      </w:r>
      <w:r w:rsidR="005142F1">
        <w:t xml:space="preserve"> </w:t>
      </w:r>
      <w:r w:rsidR="0057328D">
        <w:t>s4,</w:t>
      </w:r>
      <w:r w:rsidR="005142F1">
        <w:t xml:space="preserve"> </w:t>
      </w:r>
      <w:r w:rsidR="0057328D">
        <w:t>s5)</w:t>
      </w:r>
      <w:r w:rsidR="005142F1">
        <w:t>.</w:t>
      </w:r>
      <w:r w:rsidR="0057328D">
        <w:t xml:space="preserve">  </w:t>
      </w:r>
      <w:r w:rsidR="005142F1">
        <w:t>T</w:t>
      </w:r>
      <w:r>
        <w:t xml:space="preserve">his </w:t>
      </w:r>
      <w:r w:rsidR="005142F1">
        <w:t>highlights</w:t>
      </w:r>
      <w:r>
        <w:t xml:space="preserve"> </w:t>
      </w:r>
      <w:r w:rsidR="00871B53">
        <w:t xml:space="preserve">an evolution </w:t>
      </w:r>
      <w:r w:rsidR="009F697C">
        <w:t>to the rights afforded</w:t>
      </w:r>
      <w:r w:rsidR="007E1DF5">
        <w:t xml:space="preserve"> to and duties expected</w:t>
      </w:r>
      <w:r w:rsidR="009F697C">
        <w:t xml:space="preserve"> </w:t>
      </w:r>
      <w:r w:rsidR="007E1DF5">
        <w:t>of</w:t>
      </w:r>
      <w:r w:rsidR="009F697C">
        <w:t xml:space="preserve"> Trustees. T</w:t>
      </w:r>
      <w:r w:rsidR="00871B53">
        <w:t xml:space="preserve">he Trustee Act 1925 (s1) gave a specific set of investment options to trustees. The new legislation allowed trustees to invest the asset </w:t>
      </w:r>
      <w:r w:rsidR="00306D9C">
        <w:t xml:space="preserve">held in a trust </w:t>
      </w:r>
      <w:r w:rsidR="00871B53">
        <w:t>in the same way they would if they had total ownership (The Trustee Act 2000 s3 (1)).</w:t>
      </w:r>
      <w:r w:rsidR="00306D9C">
        <w:t xml:space="preserve"> This has been noted to restrict the protection afforded to the beneficiary in the security of their asset (</w:t>
      </w:r>
      <w:r w:rsidR="00ED591B">
        <w:t>Broadway, 2021</w:t>
      </w:r>
      <w:r w:rsidR="00306D9C">
        <w:t>). However, the act imposes a duty of care, one which is higher to professional trustees, to ensure that no reckless investments are made (Trustee Act 2000 s1 (1), s1 (1)(b); Bartlett v Barclays Bank Trust Company Limited 1980).</w:t>
      </w:r>
      <w:r w:rsidR="005A718C">
        <w:t xml:space="preserve"> This </w:t>
      </w:r>
      <w:r w:rsidR="009F697C">
        <w:t xml:space="preserve">heightened duty of care </w:t>
      </w:r>
      <w:r w:rsidR="005A718C">
        <w:t>protects beneficiaries interests even in scenarios when the trustee</w:t>
      </w:r>
      <w:r w:rsidR="009A236F">
        <w:t xml:space="preserve"> is not</w:t>
      </w:r>
      <w:r w:rsidR="005A718C">
        <w:t xml:space="preserve"> </w:t>
      </w:r>
      <w:r w:rsidR="00622545">
        <w:t xml:space="preserve">an experienced trustee or </w:t>
      </w:r>
      <w:r w:rsidR="005A718C">
        <w:t>offering a professional service, giving them the duty to ensure investments are something which will add value to the trust and therefor</w:t>
      </w:r>
      <w:r w:rsidR="009A236F">
        <w:t>e</w:t>
      </w:r>
      <w:r w:rsidR="005A718C">
        <w:t xml:space="preserve"> better the beneficiaries equitable interest (Learoyd v Whiteley, 1886).</w:t>
      </w:r>
      <w:r w:rsidR="009F697C">
        <w:t xml:space="preserve"> </w:t>
      </w:r>
      <w:r w:rsidR="009A236F">
        <w:t xml:space="preserve">This stipulation shows the advancements in the development of trust law in placing importance on the trustee to </w:t>
      </w:r>
      <w:r w:rsidR="009A236F">
        <w:lastRenderedPageBreak/>
        <w:t xml:space="preserve">nurture the asset held to ensure the equitable interest held by the beneficiary is secure and appreciating in value. </w:t>
      </w:r>
    </w:p>
    <w:p w14:paraId="3A3AD83A" w14:textId="1912EBA8" w:rsidR="00C769AD" w:rsidRDefault="00C310DE" w:rsidP="00DB5DC3">
      <w:pPr>
        <w:spacing w:line="360" w:lineRule="auto"/>
      </w:pPr>
      <w:r>
        <w:t xml:space="preserve">It is argued that the development of trusts is one of the most important contributions equity has made to the legal system (Maitland et al, 1916 pp 22). </w:t>
      </w:r>
      <w:r w:rsidR="000375F0">
        <w:t xml:space="preserve">It is evident that the law has evolved to meet the needs of society to fill the gap and ensure a </w:t>
      </w:r>
      <w:r w:rsidR="00C769AD">
        <w:t>beneficiary’s</w:t>
      </w:r>
      <w:r w:rsidR="000375F0">
        <w:t xml:space="preserve"> equitable interests are </w:t>
      </w:r>
      <w:r w:rsidR="00622545">
        <w:t>not ignored</w:t>
      </w:r>
      <w:r w:rsidR="000375F0">
        <w:t xml:space="preserve">. </w:t>
      </w:r>
      <w:r w:rsidR="00526C47">
        <w:t>Therefore,</w:t>
      </w:r>
      <w:r w:rsidR="000375F0">
        <w:t xml:space="preserve"> allowing settlors to be confident in their trust in the legal system to uphold their intention when creating a trust. Criticisms of the rigid common law approach allowed for this evolution of the law and saw the security of trusts evolve over time. This is evident in the popularity in a modern society for uses other than </w:t>
      </w:r>
      <w:r w:rsidR="00C769AD">
        <w:t>to just convey land to future family generations. Although</w:t>
      </w:r>
      <w:r>
        <w:t>,</w:t>
      </w:r>
      <w:r w:rsidR="00C769AD">
        <w:t xml:space="preserve"> there is still argument by The Law Commission (2017) </w:t>
      </w:r>
      <w:r w:rsidR="00622545">
        <w:t>that further updates are needed. They</w:t>
      </w:r>
      <w:r w:rsidR="00C769AD">
        <w:t xml:space="preserve"> state that as the domestic law governing the use of trusts is used internationally there is a need to evaluate this area of the law to maintain its validity in a global market ensuring it is inline with modern societal norms and functions.</w:t>
      </w:r>
      <w:r w:rsidR="00622545">
        <w:t xml:space="preserve"> </w:t>
      </w:r>
    </w:p>
    <w:p w14:paraId="6379B2C0" w14:textId="7E85F9FD" w:rsidR="002264B9" w:rsidRDefault="002264B9" w:rsidP="00DB5DC3">
      <w:pPr>
        <w:spacing w:line="360" w:lineRule="auto"/>
      </w:pPr>
    </w:p>
    <w:p w14:paraId="6B5C6ECA" w14:textId="54131AFE" w:rsidR="002264B9" w:rsidRDefault="002264B9" w:rsidP="00DB5DC3">
      <w:pPr>
        <w:spacing w:line="360" w:lineRule="auto"/>
      </w:pPr>
    </w:p>
    <w:p w14:paraId="7BFF536B" w14:textId="7A309144" w:rsidR="002264B9" w:rsidRDefault="002264B9" w:rsidP="00DB5DC3">
      <w:pPr>
        <w:spacing w:line="360" w:lineRule="auto"/>
      </w:pPr>
      <w:r>
        <w:t>References</w:t>
      </w:r>
    </w:p>
    <w:p w14:paraId="5AFB3A5F" w14:textId="77777777" w:rsidR="007E1DF5" w:rsidRDefault="007E1DF5" w:rsidP="007E1DF5">
      <w:pPr>
        <w:spacing w:line="360" w:lineRule="auto"/>
        <w:ind w:left="360"/>
      </w:pPr>
      <w:r>
        <w:t>Allen v Synder (1977) 2 NSWLR 685</w:t>
      </w:r>
    </w:p>
    <w:p w14:paraId="72FB2666" w14:textId="77777777" w:rsidR="007E1DF5" w:rsidRDefault="007E1DF5" w:rsidP="007E1DF5">
      <w:pPr>
        <w:spacing w:line="360" w:lineRule="auto"/>
        <w:ind w:left="360"/>
      </w:pPr>
      <w:r>
        <w:t>Anthony v Donges (1998) 2 FLR 775</w:t>
      </w:r>
    </w:p>
    <w:p w14:paraId="27FD19BB" w14:textId="77777777" w:rsidR="007E1DF5" w:rsidRDefault="007E1DF5" w:rsidP="007E1DF5">
      <w:pPr>
        <w:spacing w:line="360" w:lineRule="auto"/>
        <w:ind w:left="360"/>
      </w:pPr>
      <w:r>
        <w:t>Barclays Bank Ltd v Quistclose Investments Ltd (1970) AC 567</w:t>
      </w:r>
    </w:p>
    <w:p w14:paraId="33D0EC62" w14:textId="77777777" w:rsidR="007E1DF5" w:rsidRDefault="007E1DF5" w:rsidP="007E1DF5">
      <w:pPr>
        <w:spacing w:line="360" w:lineRule="auto"/>
        <w:ind w:left="360"/>
      </w:pPr>
      <w:r>
        <w:t>Bartlett v Barclays Bank Trust Company Limited (1980) Ch 515</w:t>
      </w:r>
    </w:p>
    <w:p w14:paraId="71093015" w14:textId="77777777" w:rsidR="007E1DF5" w:rsidRDefault="007E1DF5" w:rsidP="007E1DF5">
      <w:pPr>
        <w:spacing w:line="360" w:lineRule="auto"/>
        <w:ind w:left="360"/>
      </w:pPr>
      <w:r>
        <w:t>Earl of Oxfords Case (1615) 21 ER 485</w:t>
      </w:r>
    </w:p>
    <w:p w14:paraId="08869696" w14:textId="77777777" w:rsidR="007E1DF5" w:rsidRDefault="007E1DF5" w:rsidP="007E1DF5">
      <w:pPr>
        <w:spacing w:line="360" w:lineRule="auto"/>
        <w:ind w:left="360"/>
      </w:pPr>
      <w:r>
        <w:t>Errington v Errington and Woods (1952) 1 KB 290</w:t>
      </w:r>
    </w:p>
    <w:p w14:paraId="2E4B9CD5" w14:textId="77777777" w:rsidR="007E1DF5" w:rsidRDefault="007E1DF5" w:rsidP="007E1DF5">
      <w:pPr>
        <w:spacing w:line="360" w:lineRule="auto"/>
        <w:ind w:left="360"/>
      </w:pPr>
      <w:r>
        <w:t xml:space="preserve">Gee v Prichard (1818) 2 Swans 402 </w:t>
      </w:r>
    </w:p>
    <w:p w14:paraId="25CC74E4" w14:textId="77777777" w:rsidR="007E1DF5" w:rsidRDefault="007E1DF5" w:rsidP="007E1DF5">
      <w:pPr>
        <w:spacing w:line="360" w:lineRule="auto"/>
        <w:ind w:left="360"/>
      </w:pPr>
      <w:r>
        <w:t>Hopkins v Hopkins (1739)</w:t>
      </w:r>
    </w:p>
    <w:p w14:paraId="2FAD1CAE" w14:textId="77777777" w:rsidR="007E1DF5" w:rsidRDefault="007E1DF5" w:rsidP="007E1DF5">
      <w:pPr>
        <w:spacing w:line="360" w:lineRule="auto"/>
        <w:ind w:left="360"/>
      </w:pPr>
      <w:r>
        <w:t>IRC v Broadway Cottages Trust (1955) AC 572</w:t>
      </w:r>
    </w:p>
    <w:p w14:paraId="1F320E7D" w14:textId="77777777" w:rsidR="007E1DF5" w:rsidRDefault="007E1DF5" w:rsidP="007E1DF5">
      <w:pPr>
        <w:spacing w:line="360" w:lineRule="auto"/>
        <w:ind w:left="360"/>
      </w:pPr>
      <w:r>
        <w:t>Judicature Acts 1873 and 1875</w:t>
      </w:r>
    </w:p>
    <w:p w14:paraId="5E628BA1" w14:textId="77777777" w:rsidR="007E1DF5" w:rsidRDefault="007E1DF5" w:rsidP="007E1DF5">
      <w:pPr>
        <w:spacing w:line="360" w:lineRule="auto"/>
        <w:ind w:left="360"/>
      </w:pPr>
      <w:r>
        <w:t>Judicature Acts 1873 and 1875 s11</w:t>
      </w:r>
    </w:p>
    <w:p w14:paraId="05937E80" w14:textId="77777777" w:rsidR="007E1DF5" w:rsidRDefault="007E1DF5" w:rsidP="007E1DF5">
      <w:pPr>
        <w:spacing w:line="360" w:lineRule="auto"/>
        <w:ind w:left="360"/>
      </w:pPr>
      <w:r>
        <w:t>Knight v Knight (1840) 3 Beav 77</w:t>
      </w:r>
    </w:p>
    <w:p w14:paraId="0668B445" w14:textId="77777777" w:rsidR="007E1DF5" w:rsidRDefault="007E1DF5" w:rsidP="007E1DF5">
      <w:pPr>
        <w:spacing w:line="360" w:lineRule="auto"/>
        <w:ind w:left="360"/>
      </w:pPr>
      <w:r>
        <w:lastRenderedPageBreak/>
        <w:t>Law of Propety Act 1925 s 52</w:t>
      </w:r>
    </w:p>
    <w:p w14:paraId="79D85E48" w14:textId="77777777" w:rsidR="007E1DF5" w:rsidRDefault="007E1DF5" w:rsidP="007E1DF5">
      <w:pPr>
        <w:spacing w:line="360" w:lineRule="auto"/>
        <w:ind w:left="360"/>
      </w:pPr>
      <w:r>
        <w:t>Learoyd v Whiteley (1886) LR 33 ChD 347</w:t>
      </w:r>
    </w:p>
    <w:p w14:paraId="7CA5D83A" w14:textId="77777777" w:rsidR="007E1DF5" w:rsidRDefault="007E1DF5" w:rsidP="007E1DF5">
      <w:pPr>
        <w:spacing w:line="360" w:lineRule="auto"/>
        <w:ind w:left="360"/>
      </w:pPr>
      <w:r>
        <w:t>McPhail v Doulton (1971) AC 424 (HL)</w:t>
      </w:r>
    </w:p>
    <w:p w14:paraId="016534D1" w14:textId="77777777" w:rsidR="007E1DF5" w:rsidRDefault="007E1DF5" w:rsidP="007E1DF5">
      <w:pPr>
        <w:spacing w:line="360" w:lineRule="auto"/>
        <w:ind w:left="360"/>
      </w:pPr>
      <w:r>
        <w:t>Re London Wine Co (1986) PCC 121</w:t>
      </w:r>
    </w:p>
    <w:p w14:paraId="22A7E043" w14:textId="77777777" w:rsidR="007E1DF5" w:rsidRDefault="007E1DF5" w:rsidP="007E1DF5">
      <w:pPr>
        <w:spacing w:line="360" w:lineRule="auto"/>
        <w:ind w:left="360"/>
      </w:pPr>
      <w:r>
        <w:t>Roebuck &amp; co v Camp (1938) A.2d 425</w:t>
      </w:r>
    </w:p>
    <w:p w14:paraId="1D5335DF" w14:textId="77777777" w:rsidR="007E1DF5" w:rsidRDefault="007E1DF5" w:rsidP="007E1DF5">
      <w:pPr>
        <w:spacing w:line="360" w:lineRule="auto"/>
        <w:ind w:left="360"/>
      </w:pPr>
      <w:r>
        <w:t>Salt v Cooper (1880) 16 ChD 544</w:t>
      </w:r>
    </w:p>
    <w:p w14:paraId="1C466E97" w14:textId="77777777" w:rsidR="007E1DF5" w:rsidRDefault="007E1DF5" w:rsidP="007E1DF5">
      <w:pPr>
        <w:spacing w:line="360" w:lineRule="auto"/>
        <w:ind w:left="360"/>
      </w:pPr>
      <w:r>
        <w:t>Statute of Uses 1535</w:t>
      </w:r>
    </w:p>
    <w:p w14:paraId="550D4606" w14:textId="77777777" w:rsidR="007E1DF5" w:rsidRDefault="007E1DF5" w:rsidP="007E1DF5">
      <w:pPr>
        <w:spacing w:line="360" w:lineRule="auto"/>
        <w:ind w:left="360"/>
      </w:pPr>
      <w:r>
        <w:t>The Trustee Act 1925 s1</w:t>
      </w:r>
    </w:p>
    <w:p w14:paraId="794427FC" w14:textId="77777777" w:rsidR="007E1DF5" w:rsidRDefault="007E1DF5" w:rsidP="007E1DF5">
      <w:pPr>
        <w:spacing w:line="360" w:lineRule="auto"/>
        <w:ind w:left="360"/>
      </w:pPr>
      <w:r>
        <w:t>The Trustee Act 2000</w:t>
      </w:r>
    </w:p>
    <w:p w14:paraId="46BEE1F0" w14:textId="77777777" w:rsidR="007E1DF5" w:rsidRDefault="007E1DF5" w:rsidP="007E1DF5">
      <w:pPr>
        <w:spacing w:line="360" w:lineRule="auto"/>
        <w:ind w:left="360"/>
      </w:pPr>
      <w:r>
        <w:t>The Trustee Act 2000 s1 (1)</w:t>
      </w:r>
    </w:p>
    <w:p w14:paraId="23EE838A" w14:textId="77777777" w:rsidR="007E1DF5" w:rsidRDefault="007E1DF5" w:rsidP="007E1DF5">
      <w:pPr>
        <w:spacing w:line="360" w:lineRule="auto"/>
        <w:ind w:left="360"/>
      </w:pPr>
      <w:r>
        <w:t>The Trustee Act 2000 s2</w:t>
      </w:r>
    </w:p>
    <w:p w14:paraId="10390653" w14:textId="77777777" w:rsidR="007E1DF5" w:rsidRDefault="007E1DF5" w:rsidP="007E1DF5">
      <w:pPr>
        <w:spacing w:line="360" w:lineRule="auto"/>
        <w:ind w:left="360"/>
      </w:pPr>
      <w:r>
        <w:t>The Trustee Act 2000 s3</w:t>
      </w:r>
    </w:p>
    <w:p w14:paraId="76B452AD" w14:textId="77777777" w:rsidR="007E1DF5" w:rsidRDefault="007E1DF5" w:rsidP="007E1DF5">
      <w:pPr>
        <w:spacing w:line="360" w:lineRule="auto"/>
        <w:ind w:left="360"/>
      </w:pPr>
      <w:r>
        <w:t>The Trustee Act 2000 s3 (1))</w:t>
      </w:r>
    </w:p>
    <w:p w14:paraId="7ED49D59" w14:textId="77777777" w:rsidR="007E1DF5" w:rsidRDefault="007E1DF5" w:rsidP="007E1DF5">
      <w:pPr>
        <w:spacing w:line="360" w:lineRule="auto"/>
        <w:ind w:left="360"/>
      </w:pPr>
      <w:r>
        <w:t>The Trustee Act 2000 s4</w:t>
      </w:r>
    </w:p>
    <w:p w14:paraId="3DA54BC1" w14:textId="77777777" w:rsidR="007E1DF5" w:rsidRDefault="007E1DF5" w:rsidP="007E1DF5">
      <w:pPr>
        <w:spacing w:line="360" w:lineRule="auto"/>
        <w:ind w:left="360"/>
      </w:pPr>
      <w:r>
        <w:t>The Trustee Act 2000 s5</w:t>
      </w:r>
    </w:p>
    <w:p w14:paraId="0957FEA9" w14:textId="77777777" w:rsidR="007E1DF5" w:rsidRDefault="007E1DF5" w:rsidP="007E1DF5">
      <w:pPr>
        <w:spacing w:line="360" w:lineRule="auto"/>
        <w:ind w:left="360"/>
      </w:pPr>
      <w:r>
        <w:t>The Trustee Act s1 (1)(b)</w:t>
      </w:r>
    </w:p>
    <w:p w14:paraId="0FD1612E" w14:textId="77777777" w:rsidR="007E1DF5" w:rsidRDefault="007E1DF5" w:rsidP="007E1DF5">
      <w:pPr>
        <w:spacing w:line="360" w:lineRule="auto"/>
        <w:ind w:left="360"/>
      </w:pPr>
      <w:r>
        <w:t>Trustee Act 1925</w:t>
      </w:r>
    </w:p>
    <w:p w14:paraId="6E89D5A2" w14:textId="77777777" w:rsidR="007E1DF5" w:rsidRDefault="007E1DF5" w:rsidP="007E1DF5">
      <w:pPr>
        <w:spacing w:line="360" w:lineRule="auto"/>
        <w:ind w:left="360"/>
      </w:pPr>
      <w:r>
        <w:t>Walsh v Lonsdale (1882) 21 Ch D 9</w:t>
      </w:r>
    </w:p>
    <w:p w14:paraId="3A2C5655" w14:textId="51F8E042" w:rsidR="002E082A" w:rsidRDefault="002E082A" w:rsidP="00DB5DC3">
      <w:pPr>
        <w:spacing w:line="360" w:lineRule="auto"/>
      </w:pPr>
    </w:p>
    <w:p w14:paraId="222523A8" w14:textId="77777777" w:rsidR="007E1DF5" w:rsidRDefault="007E1DF5" w:rsidP="007E1DF5">
      <w:pPr>
        <w:spacing w:line="360" w:lineRule="auto"/>
      </w:pPr>
    </w:p>
    <w:p w14:paraId="05D5BA81" w14:textId="77777777" w:rsidR="007E1DF5" w:rsidRDefault="007E1DF5" w:rsidP="007E1DF5">
      <w:pPr>
        <w:spacing w:line="360" w:lineRule="auto"/>
        <w:ind w:left="360"/>
      </w:pPr>
      <w:r>
        <w:t xml:space="preserve">Ames, J (1908) ‘The Origin of Uses and Trusts’ </w:t>
      </w:r>
      <w:r w:rsidRPr="007E1DF5">
        <w:rPr>
          <w:i/>
          <w:iCs/>
        </w:rPr>
        <w:t xml:space="preserve">Harvard Law Review </w:t>
      </w:r>
      <w:r>
        <w:t xml:space="preserve">21 (4) Available at: </w:t>
      </w:r>
      <w:hyperlink r:id="rId5" w:history="1">
        <w:r>
          <w:rPr>
            <w:rStyle w:val="Hyperlink"/>
          </w:rPr>
          <w:t>The Origin of Uses and Trusts (uwtsd.ac.uk)</w:t>
        </w:r>
      </w:hyperlink>
      <w:r>
        <w:t xml:space="preserve"> (Accessed on: 25.02.23)</w:t>
      </w:r>
    </w:p>
    <w:p w14:paraId="73608B80" w14:textId="77777777" w:rsidR="007E1DF5" w:rsidRDefault="007E1DF5" w:rsidP="007E1DF5">
      <w:pPr>
        <w:spacing w:line="360" w:lineRule="auto"/>
        <w:ind w:left="360"/>
      </w:pPr>
      <w:r>
        <w:t xml:space="preserve">Beckman, M (1997) ‘Cheap Justice’ </w:t>
      </w:r>
      <w:r w:rsidRPr="007E1DF5">
        <w:rPr>
          <w:i/>
          <w:iCs/>
        </w:rPr>
        <w:t xml:space="preserve">The New Law Journal </w:t>
      </w:r>
      <w:r>
        <w:t xml:space="preserve">147 (6798) Available at: </w:t>
      </w:r>
      <w:hyperlink r:id="rId6" w:history="1">
        <w:r>
          <w:rPr>
            <w:rStyle w:val="Hyperlink"/>
          </w:rPr>
          <w:t>Cheap justice (uwtsd.ac.uk)</w:t>
        </w:r>
      </w:hyperlink>
      <w:r>
        <w:t xml:space="preserve"> (Accessed on: 03.03.23)</w:t>
      </w:r>
    </w:p>
    <w:p w14:paraId="59D4A6E2" w14:textId="77777777" w:rsidR="007E1DF5" w:rsidRDefault="007E1DF5" w:rsidP="007E1DF5">
      <w:pPr>
        <w:spacing w:line="360" w:lineRule="auto"/>
        <w:ind w:left="360"/>
      </w:pPr>
      <w:r>
        <w:t>Broadway, L (2021) ‘</w:t>
      </w:r>
      <w:r w:rsidRPr="00ED591B">
        <w:t xml:space="preserve">Trustee </w:t>
      </w:r>
      <w:r>
        <w:t>d</w:t>
      </w:r>
      <w:r w:rsidRPr="00ED591B">
        <w:t>uties versus equity’s moral conscience: trust law’s inadequate facilitation of socially responsible investment</w:t>
      </w:r>
      <w:r w:rsidRPr="007E1DF5">
        <w:rPr>
          <w:i/>
          <w:iCs/>
        </w:rPr>
        <w:t xml:space="preserve">’ Trust &amp; Trustees </w:t>
      </w:r>
      <w:r>
        <w:t xml:space="preserve">21 (8) Available at: </w:t>
      </w:r>
      <w:hyperlink r:id="rId7" w:history="1">
        <w:r>
          <w:rPr>
            <w:rStyle w:val="Hyperlink"/>
          </w:rPr>
          <w:t xml:space="preserve">Trustee duties </w:t>
        </w:r>
        <w:r>
          <w:rPr>
            <w:rStyle w:val="Hyperlink"/>
          </w:rPr>
          <w:lastRenderedPageBreak/>
          <w:t>versus equity's moral conscience: trust law's inadequate facilitation of socially responsible investment (uwtsd.ac.uk)</w:t>
        </w:r>
      </w:hyperlink>
      <w:r>
        <w:t xml:space="preserve"> (Accessed on: 03.03.23)</w:t>
      </w:r>
    </w:p>
    <w:p w14:paraId="4E130FD5" w14:textId="77777777" w:rsidR="007E1DF5" w:rsidRDefault="007E1DF5" w:rsidP="007E1DF5">
      <w:pPr>
        <w:spacing w:line="360" w:lineRule="auto"/>
        <w:ind w:left="360"/>
      </w:pPr>
      <w:r>
        <w:t xml:space="preserve">Burrows, A (20002) ‘We do this at Common Law but that in Equity’ </w:t>
      </w:r>
      <w:r w:rsidRPr="007E1DF5">
        <w:rPr>
          <w:i/>
          <w:iCs/>
        </w:rPr>
        <w:t>Oxford Journal of Legal Studies</w:t>
      </w:r>
      <w:r>
        <w:t xml:space="preserve"> 22 (1) Available at: </w:t>
      </w:r>
      <w:hyperlink r:id="rId8" w:history="1">
        <w:r>
          <w:rPr>
            <w:rStyle w:val="Hyperlink"/>
          </w:rPr>
          <w:t>We Do This At Common Law But That In Equity1 (uwtsd.ac.uk)</w:t>
        </w:r>
      </w:hyperlink>
      <w:r>
        <w:t xml:space="preserve"> (accessed on: 03.03.23)</w:t>
      </w:r>
    </w:p>
    <w:p w14:paraId="4C532F27" w14:textId="77777777" w:rsidR="007E1DF5" w:rsidRDefault="007E1DF5" w:rsidP="007E1DF5">
      <w:pPr>
        <w:spacing w:line="360" w:lineRule="auto"/>
        <w:ind w:left="360"/>
      </w:pPr>
      <w:r>
        <w:t xml:space="preserve">Clements, R &amp; Abass A (2013) </w:t>
      </w:r>
      <w:r w:rsidRPr="007E1DF5">
        <w:rPr>
          <w:i/>
          <w:iCs/>
        </w:rPr>
        <w:t xml:space="preserve">Equity and Trusts </w:t>
      </w:r>
      <w:r>
        <w:t>Oxford: Oxford University Press</w:t>
      </w:r>
    </w:p>
    <w:p w14:paraId="2E44BDAA" w14:textId="77777777" w:rsidR="007E1DF5" w:rsidRDefault="007E1DF5" w:rsidP="007E1DF5">
      <w:pPr>
        <w:spacing w:line="360" w:lineRule="auto"/>
        <w:ind w:left="360"/>
      </w:pPr>
      <w:r w:rsidRPr="00D36BDB">
        <w:t xml:space="preserve">Courts and Tribunals Judiciary </w:t>
      </w:r>
      <w:r>
        <w:t>(</w:t>
      </w:r>
      <w:r w:rsidRPr="00D36BDB">
        <w:t>2023</w:t>
      </w:r>
      <w:r>
        <w:t xml:space="preserve">) </w:t>
      </w:r>
      <w:r w:rsidRPr="007E1DF5">
        <w:rPr>
          <w:i/>
          <w:iCs/>
        </w:rPr>
        <w:t xml:space="preserve">Introduction to the Chancery Division </w:t>
      </w:r>
      <w:r>
        <w:t xml:space="preserve">Available at: </w:t>
      </w:r>
      <w:hyperlink r:id="rId9" w:anchor=":~:text=The%20Court%20of%20Chancery%20was%20dissolved%20and%20its,specialist%20Bankruptcy%2C%20Companies%20and%20Patents%20Courts%20were%20established." w:history="1">
        <w:r>
          <w:rPr>
            <w:rStyle w:val="Hyperlink"/>
          </w:rPr>
          <w:t>Introduction to the Chancery Division - Courts and Tribunals Judiciary</w:t>
        </w:r>
      </w:hyperlink>
      <w:r>
        <w:t xml:space="preserve"> (Accessed on: 25.02.23)</w:t>
      </w:r>
    </w:p>
    <w:p w14:paraId="1E2CFC13" w14:textId="77777777" w:rsidR="007E1DF5" w:rsidRDefault="007E1DF5" w:rsidP="007E1DF5">
      <w:pPr>
        <w:spacing w:line="360" w:lineRule="auto"/>
        <w:ind w:left="360"/>
      </w:pPr>
      <w:r>
        <w:t xml:space="preserve">Edwards, R (2009) </w:t>
      </w:r>
      <w:r w:rsidRPr="007E1DF5">
        <w:rPr>
          <w:i/>
          <w:iCs/>
        </w:rPr>
        <w:t xml:space="preserve">Trusts and Equity </w:t>
      </w:r>
      <w:r>
        <w:t xml:space="preserve">Harlow: Pearson Longman Available at: </w:t>
      </w:r>
      <w:hyperlink r:id="rId10" w:history="1">
        <w:r>
          <w:rPr>
            <w:rStyle w:val="Hyperlink"/>
          </w:rPr>
          <w:t>Trusts and equity : Edwards, Richard, 1946- : Free Download, Borrow, and Streaming : Internet Archive</w:t>
        </w:r>
      </w:hyperlink>
      <w:r>
        <w:t xml:space="preserve"> (Accessed on: 25.02.23)</w:t>
      </w:r>
    </w:p>
    <w:p w14:paraId="3ECF2C29" w14:textId="77777777" w:rsidR="007E1DF5" w:rsidRDefault="007E1DF5" w:rsidP="007E1DF5">
      <w:pPr>
        <w:spacing w:line="360" w:lineRule="auto"/>
        <w:ind w:left="360"/>
      </w:pPr>
      <w:r>
        <w:t xml:space="preserve">Finlay, J (2012) </w:t>
      </w:r>
      <w:r w:rsidRPr="007E1DF5">
        <w:rPr>
          <w:i/>
          <w:iCs/>
        </w:rPr>
        <w:t xml:space="preserve">Trusts Law Essentials </w:t>
      </w:r>
      <w:r>
        <w:t xml:space="preserve">Available at: </w:t>
      </w:r>
      <w:hyperlink r:id="rId11" w:history="1">
        <w:r>
          <w:rPr>
            <w:rStyle w:val="Hyperlink"/>
          </w:rPr>
          <w:t>INTRODUCTION (uwtsd.ac.uk)</w:t>
        </w:r>
      </w:hyperlink>
      <w:r>
        <w:t xml:space="preserve"> (Accessed on: 23.02.23)</w:t>
      </w:r>
    </w:p>
    <w:p w14:paraId="2CDDF0C5" w14:textId="77777777" w:rsidR="007E1DF5" w:rsidRDefault="007E1DF5" w:rsidP="007E1DF5">
      <w:pPr>
        <w:spacing w:line="360" w:lineRule="auto"/>
        <w:ind w:left="360"/>
      </w:pPr>
      <w:r>
        <w:t xml:space="preserve">Glister, J (2015) </w:t>
      </w:r>
      <w:r w:rsidRPr="007E1DF5">
        <w:rPr>
          <w:i/>
          <w:iCs/>
        </w:rPr>
        <w:t xml:space="preserve">Hanbury and Martin Modern Equity </w:t>
      </w:r>
      <w:r>
        <w:t xml:space="preserve">London: Sweet &amp; Maxwell Available at: </w:t>
      </w:r>
      <w:hyperlink r:id="rId12" w:history="1">
        <w:r>
          <w:rPr>
            <w:rStyle w:val="Hyperlink"/>
          </w:rPr>
          <w:t>Hanbury and Martin modern equity : Glister, James, author : Free Download, Borrow, and Streaming : Internet Archive</w:t>
        </w:r>
      </w:hyperlink>
      <w:r>
        <w:t xml:space="preserve"> (Accessed on: 03.03.23)</w:t>
      </w:r>
    </w:p>
    <w:p w14:paraId="596A812B" w14:textId="77777777" w:rsidR="007E1DF5" w:rsidRPr="002264B9" w:rsidRDefault="007E1DF5" w:rsidP="007E1DF5">
      <w:pPr>
        <w:spacing w:line="360" w:lineRule="auto"/>
        <w:ind w:left="360"/>
      </w:pPr>
      <w:r>
        <w:t xml:space="preserve">Heydon, J (2015) </w:t>
      </w:r>
      <w:r w:rsidRPr="007E1DF5">
        <w:rPr>
          <w:i/>
          <w:iCs/>
        </w:rPr>
        <w:t xml:space="preserve">Meagher, Gummow and Lehane’s Equity: Doctrines and Remedies </w:t>
      </w:r>
      <w:r>
        <w:t xml:space="preserve">Chatswood: LexisNexis Butterworths Available at: </w:t>
      </w:r>
      <w:hyperlink r:id="rId13" w:history="1">
        <w:r>
          <w:rPr>
            <w:rStyle w:val="Hyperlink"/>
          </w:rPr>
          <w:t>Meagher, Gummow and Lehane's equity : doctrines and remedies : Heydon, John Dyson, author : Free Download, Borrow, and Streaming : Internet Archive</w:t>
        </w:r>
      </w:hyperlink>
      <w:r>
        <w:t xml:space="preserve"> (accessed on: 01.03.23)</w:t>
      </w:r>
    </w:p>
    <w:p w14:paraId="65EA3306" w14:textId="77777777" w:rsidR="007E1DF5" w:rsidRDefault="007E1DF5" w:rsidP="007E1DF5">
      <w:pPr>
        <w:spacing w:line="360" w:lineRule="auto"/>
        <w:ind w:left="360"/>
      </w:pPr>
      <w:r>
        <w:t>Hudson, A (2007 )</w:t>
      </w:r>
      <w:r w:rsidRPr="007E1DF5">
        <w:rPr>
          <w:i/>
          <w:iCs/>
        </w:rPr>
        <w:t xml:space="preserve">Equity and Trusts </w:t>
      </w:r>
      <w:r>
        <w:t xml:space="preserve">London: Routledge-Cavendish Available at: </w:t>
      </w:r>
      <w:hyperlink r:id="rId14" w:history="1">
        <w:r>
          <w:rPr>
            <w:rStyle w:val="Hyperlink"/>
          </w:rPr>
          <w:t>Equity and trusts : Hudson, Alastair : Free Download, Borrow, and Streaming : Internet Archive</w:t>
        </w:r>
      </w:hyperlink>
      <w:r>
        <w:t xml:space="preserve"> (Accessed on: 03.03.23)</w:t>
      </w:r>
    </w:p>
    <w:p w14:paraId="64B4564D" w14:textId="77777777" w:rsidR="007E1DF5" w:rsidRDefault="007E1DF5" w:rsidP="007E1DF5">
      <w:pPr>
        <w:spacing w:line="360" w:lineRule="auto"/>
        <w:ind w:left="360"/>
      </w:pPr>
      <w:r>
        <w:t xml:space="preserve">Humphreys, S (2023) ‘Equity before Equity’ </w:t>
      </w:r>
      <w:r w:rsidRPr="007E1DF5">
        <w:rPr>
          <w:i/>
          <w:iCs/>
        </w:rPr>
        <w:t xml:space="preserve">Modern Law Review </w:t>
      </w:r>
      <w:r>
        <w:t xml:space="preserve">86 (1) Available at: </w:t>
      </w:r>
      <w:hyperlink r:id="rId15" w:history="1">
        <w:r>
          <w:rPr>
            <w:rStyle w:val="Hyperlink"/>
          </w:rPr>
          <w:t>Equity before 'Equity' (uwtsd.ac.uk)</w:t>
        </w:r>
      </w:hyperlink>
      <w:r>
        <w:t xml:space="preserve"> (Accessed on: 25.02.23)</w:t>
      </w:r>
    </w:p>
    <w:p w14:paraId="755FC21A" w14:textId="77777777" w:rsidR="007E1DF5" w:rsidRDefault="007E1DF5" w:rsidP="007E1DF5">
      <w:pPr>
        <w:spacing w:line="360" w:lineRule="auto"/>
        <w:ind w:left="360"/>
      </w:pPr>
      <w:r>
        <w:t xml:space="preserve">Law Commission (No Date) </w:t>
      </w:r>
      <w:r w:rsidRPr="007E1DF5">
        <w:rPr>
          <w:i/>
          <w:iCs/>
        </w:rPr>
        <w:t xml:space="preserve">Modernisation Trust Law for a Global Britain </w:t>
      </w:r>
      <w:r>
        <w:t xml:space="preserve">Available at: </w:t>
      </w:r>
      <w:hyperlink r:id="rId16" w:anchor=":~:text=A%20reform%20project%20reviewing%20the%20law%20of%20trusts,suitable%20for%20further%20review%20and%20reform.%20Next%20steps" w:history="1">
        <w:r>
          <w:rPr>
            <w:rStyle w:val="Hyperlink"/>
          </w:rPr>
          <w:t>Modernising Trust Law for a Global Britain - Law Commission</w:t>
        </w:r>
      </w:hyperlink>
      <w:r>
        <w:t xml:space="preserve"> (Accessed on: 23.02.23)</w:t>
      </w:r>
    </w:p>
    <w:p w14:paraId="75A6627E" w14:textId="77777777" w:rsidR="007E1DF5" w:rsidRDefault="007E1DF5" w:rsidP="007E1DF5">
      <w:pPr>
        <w:spacing w:line="360" w:lineRule="auto"/>
        <w:ind w:left="360"/>
      </w:pPr>
      <w:r>
        <w:t xml:space="preserve">Law Society (2023) </w:t>
      </w:r>
      <w:r w:rsidRPr="007E1DF5">
        <w:rPr>
          <w:i/>
          <w:iCs/>
        </w:rPr>
        <w:t xml:space="preserve">Trusts </w:t>
      </w:r>
      <w:r>
        <w:t xml:space="preserve">Available at: </w:t>
      </w:r>
      <w:hyperlink r:id="rId17" w:history="1">
        <w:r>
          <w:rPr>
            <w:rStyle w:val="Hyperlink"/>
          </w:rPr>
          <w:t>Trusts | The Law Society</w:t>
        </w:r>
      </w:hyperlink>
      <w:r>
        <w:t xml:space="preserve"> (Accessed on: 04.02.23)</w:t>
      </w:r>
    </w:p>
    <w:p w14:paraId="0B1D7024" w14:textId="77777777" w:rsidR="007E1DF5" w:rsidRDefault="007E1DF5" w:rsidP="007E1DF5">
      <w:pPr>
        <w:spacing w:line="360" w:lineRule="auto"/>
        <w:ind w:left="360"/>
      </w:pPr>
      <w:r>
        <w:t xml:space="preserve">Maitland F et al  (1916) </w:t>
      </w:r>
      <w:r w:rsidRPr="007E1DF5">
        <w:rPr>
          <w:i/>
          <w:iCs/>
        </w:rPr>
        <w:t xml:space="preserve">Equity, also the forms of action at common law, two courses of lectures </w:t>
      </w:r>
      <w:r>
        <w:t xml:space="preserve">Cambridge: University Press Available at: </w:t>
      </w:r>
      <w:hyperlink r:id="rId18" w:history="1">
        <w:r>
          <w:rPr>
            <w:rStyle w:val="Hyperlink"/>
          </w:rPr>
          <w:t xml:space="preserve">Equity, also the forms of action at common law; two </w:t>
        </w:r>
        <w:r>
          <w:rPr>
            <w:rStyle w:val="Hyperlink"/>
          </w:rPr>
          <w:lastRenderedPageBreak/>
          <w:t>courses of lectures : Maitland, Frederic William, 1850-1906 : Free Download, Borrow, and Streaming : Internet Archive</w:t>
        </w:r>
      </w:hyperlink>
      <w:r>
        <w:t xml:space="preserve"> (Accessed on: 25.02.23)</w:t>
      </w:r>
    </w:p>
    <w:p w14:paraId="0363CC01" w14:textId="77777777" w:rsidR="007E1DF5" w:rsidRDefault="007E1DF5" w:rsidP="007E1DF5">
      <w:pPr>
        <w:spacing w:line="360" w:lineRule="auto"/>
        <w:ind w:left="360"/>
      </w:pPr>
      <w:r>
        <w:t xml:space="preserve">Martin, J (2012) </w:t>
      </w:r>
      <w:r w:rsidRPr="007E1DF5">
        <w:rPr>
          <w:i/>
          <w:iCs/>
        </w:rPr>
        <w:t xml:space="preserve">Modern Equity </w:t>
      </w:r>
      <w:r>
        <w:t xml:space="preserve">London: Sweet &amp; Maxwell Available at: </w:t>
      </w:r>
      <w:hyperlink r:id="rId19" w:history="1">
        <w:r>
          <w:rPr>
            <w:rStyle w:val="Hyperlink"/>
          </w:rPr>
          <w:t>Modern equity : Martin, Jill E : Free Download, Borrow, and Streaming : Internet Archive</w:t>
        </w:r>
      </w:hyperlink>
      <w:r>
        <w:t xml:space="preserve"> (accessed on: 25.02.23)</w:t>
      </w:r>
    </w:p>
    <w:p w14:paraId="2695FB50" w14:textId="77777777" w:rsidR="007E1DF5" w:rsidRDefault="007E1DF5" w:rsidP="007E1DF5">
      <w:pPr>
        <w:spacing w:line="360" w:lineRule="auto"/>
        <w:ind w:left="360"/>
      </w:pPr>
      <w:r>
        <w:t xml:space="preserve">McDonald, I (2011) </w:t>
      </w:r>
      <w:r w:rsidRPr="007E1DF5">
        <w:rPr>
          <w:i/>
          <w:iCs/>
        </w:rPr>
        <w:t xml:space="preserve">Equity &amp; Trusts </w:t>
      </w:r>
      <w:r>
        <w:t xml:space="preserve">Oxford: Oxford University Press Available at: </w:t>
      </w:r>
      <w:hyperlink r:id="rId20" w:history="1">
        <w:r>
          <w:rPr>
            <w:rStyle w:val="Hyperlink"/>
          </w:rPr>
          <w:t>Equity &amp; trusts : McDonald, Iain, Lecturer in law : Free Download, Borrow, and Streaming : Internet Archive</w:t>
        </w:r>
      </w:hyperlink>
      <w:r>
        <w:t xml:space="preserve"> (Accessed on: 25.02.23)</w:t>
      </w:r>
    </w:p>
    <w:p w14:paraId="62D6E156" w14:textId="77777777" w:rsidR="007E1DF5" w:rsidRDefault="007E1DF5" w:rsidP="007E1DF5">
      <w:pPr>
        <w:spacing w:line="360" w:lineRule="auto"/>
        <w:ind w:left="360"/>
      </w:pPr>
      <w:r>
        <w:t xml:space="preserve">McNair, M (2007) ‘ Equity and Conscience’ </w:t>
      </w:r>
      <w:r w:rsidRPr="007E1DF5">
        <w:rPr>
          <w:i/>
          <w:iCs/>
        </w:rPr>
        <w:t xml:space="preserve">Oxford Journal of Legal Studies </w:t>
      </w:r>
      <w:r>
        <w:t xml:space="preserve">27 (4) Available at: </w:t>
      </w:r>
      <w:hyperlink r:id="rId21" w:history="1">
        <w:r>
          <w:rPr>
            <w:rStyle w:val="Hyperlink"/>
          </w:rPr>
          <w:t>Equity and Conscience (uwtsd.ac.uk)</w:t>
        </w:r>
      </w:hyperlink>
      <w:r>
        <w:t xml:space="preserve"> (Accessed on: 25.02.23)</w:t>
      </w:r>
    </w:p>
    <w:p w14:paraId="688F7FB3" w14:textId="77777777" w:rsidR="007E1DF5" w:rsidRDefault="007E1DF5" w:rsidP="007E1DF5">
      <w:pPr>
        <w:spacing w:line="360" w:lineRule="auto"/>
        <w:ind w:left="360"/>
      </w:pPr>
      <w:r>
        <w:t xml:space="preserve">Megarry, R (1941) ‘The Statute of Uses and the Power to Devise’ </w:t>
      </w:r>
      <w:r w:rsidRPr="007E1DF5">
        <w:rPr>
          <w:i/>
          <w:iCs/>
        </w:rPr>
        <w:t xml:space="preserve">Cambridge Law Journal </w:t>
      </w:r>
      <w:r>
        <w:t xml:space="preserve">7 (3) Available at: </w:t>
      </w:r>
      <w:hyperlink r:id="rId22" w:history="1">
        <w:r>
          <w:rPr>
            <w:rStyle w:val="Hyperlink"/>
          </w:rPr>
          <w:t>The Statute of Uses and the Power to Devise (cambridge.org)</w:t>
        </w:r>
      </w:hyperlink>
      <w:r>
        <w:t xml:space="preserve"> (Accessed on: 25.02.23)</w:t>
      </w:r>
    </w:p>
    <w:p w14:paraId="6422DF99" w14:textId="77777777" w:rsidR="007E1DF5" w:rsidRDefault="007E1DF5" w:rsidP="007E1DF5">
      <w:pPr>
        <w:spacing w:line="360" w:lineRule="auto"/>
        <w:ind w:left="360"/>
      </w:pPr>
      <w:r>
        <w:t xml:space="preserve">Panesar, S (2017) </w:t>
      </w:r>
      <w:r w:rsidRPr="007E1DF5">
        <w:rPr>
          <w:i/>
          <w:iCs/>
        </w:rPr>
        <w:t xml:space="preserve">Exploring Equity and Trusts </w:t>
      </w:r>
      <w:r>
        <w:t xml:space="preserve">Harlow: Pearson Education Available at: </w:t>
      </w:r>
      <w:hyperlink r:id="rId23" w:history="1">
        <w:r>
          <w:rPr>
            <w:rStyle w:val="Hyperlink"/>
          </w:rPr>
          <w:t>Exploring equity and trusts : Panesar, Sukhninder, author : Free Download, Borrow, and Streaming : Internet Archive</w:t>
        </w:r>
      </w:hyperlink>
      <w:r>
        <w:t xml:space="preserve"> (Accessed on: 03.03.23)</w:t>
      </w:r>
    </w:p>
    <w:p w14:paraId="28E8EE2A" w14:textId="77777777" w:rsidR="007E1DF5" w:rsidRDefault="007E1DF5" w:rsidP="007E1DF5">
      <w:pPr>
        <w:spacing w:line="360" w:lineRule="auto"/>
        <w:ind w:left="360"/>
      </w:pPr>
      <w:r>
        <w:t xml:space="preserve">Potter, H (2015) </w:t>
      </w:r>
      <w:r w:rsidRPr="007E1DF5">
        <w:rPr>
          <w:i/>
          <w:iCs/>
        </w:rPr>
        <w:t>The Promulgation of the Law in Anglo-Saxon England</w:t>
      </w:r>
      <w:r>
        <w:t xml:space="preserve"> Boydon &amp; Brewer Available at: </w:t>
      </w:r>
      <w:hyperlink r:id="rId24" w:history="1">
        <w:r>
          <w:rPr>
            <w:rStyle w:val="Hyperlink"/>
          </w:rPr>
          <w:t>The Promulgation of the Law in Anglo-Saxon England (uwtsd.ac.uk)</w:t>
        </w:r>
      </w:hyperlink>
      <w:r>
        <w:t xml:space="preserve"> (Accessed on: 25.02.23)</w:t>
      </w:r>
    </w:p>
    <w:p w14:paraId="0B058539" w14:textId="77777777" w:rsidR="007E1DF5" w:rsidRDefault="007E1DF5" w:rsidP="007E1DF5">
      <w:pPr>
        <w:spacing w:line="360" w:lineRule="auto"/>
        <w:ind w:left="360"/>
      </w:pPr>
      <w:r>
        <w:t xml:space="preserve">Ramjohn, M (2017) </w:t>
      </w:r>
      <w:r w:rsidRPr="007E1DF5">
        <w:rPr>
          <w:i/>
          <w:iCs/>
        </w:rPr>
        <w:t xml:space="preserve">Unlocking Equity and Trusts </w:t>
      </w:r>
      <w:r>
        <w:t xml:space="preserve">Milton: Taylor Francis Available at: </w:t>
      </w:r>
      <w:hyperlink r:id="rId25" w:history="1">
        <w:r>
          <w:rPr>
            <w:rStyle w:val="Hyperlink"/>
          </w:rPr>
          <w:t>Unlocking Equity and Trusts : Ramjohn, Mohamed : Free Download, Borrow, and Streaming : Internet Archive</w:t>
        </w:r>
      </w:hyperlink>
      <w:r>
        <w:t xml:space="preserve"> (accessed on: 25.02.23)</w:t>
      </w:r>
    </w:p>
    <w:p w14:paraId="6DD48584" w14:textId="77777777" w:rsidR="007E1DF5" w:rsidRDefault="007E1DF5" w:rsidP="007E1DF5">
      <w:pPr>
        <w:spacing w:line="360" w:lineRule="auto"/>
        <w:ind w:left="360"/>
      </w:pPr>
      <w:r>
        <w:t xml:space="preserve">The Law Commission (2017) </w:t>
      </w:r>
      <w:r w:rsidRPr="007E1DF5">
        <w:rPr>
          <w:i/>
          <w:iCs/>
        </w:rPr>
        <w:t>Thirteenth Programme of Law Reform</w:t>
      </w:r>
      <w:r>
        <w:t xml:space="preserve"> (377) Available at: </w:t>
      </w:r>
      <w:hyperlink r:id="rId26" w:history="1">
        <w:r>
          <w:rPr>
            <w:rStyle w:val="Hyperlink"/>
          </w:rPr>
          <w:t>Thirteenth Programme of Law Reform</w:t>
        </w:r>
      </w:hyperlink>
      <w:r>
        <w:t xml:space="preserve"> (Accessed on: 23.02.23) </w:t>
      </w:r>
    </w:p>
    <w:p w14:paraId="0D13006F" w14:textId="77777777" w:rsidR="007E1DF5" w:rsidRDefault="007E1DF5" w:rsidP="007E1DF5">
      <w:pPr>
        <w:spacing w:line="360" w:lineRule="auto"/>
        <w:ind w:left="360"/>
      </w:pPr>
      <w:r>
        <w:t xml:space="preserve">Todd, P (1954) </w:t>
      </w:r>
      <w:r w:rsidRPr="007E1DF5">
        <w:rPr>
          <w:i/>
          <w:iCs/>
        </w:rPr>
        <w:t>Textbook on Trusts</w:t>
      </w:r>
      <w:r>
        <w:t xml:space="preserve"> Oxford: Oxford University Press Available at: </w:t>
      </w:r>
      <w:hyperlink r:id="rId27" w:history="1">
        <w:r>
          <w:rPr>
            <w:rStyle w:val="Hyperlink"/>
          </w:rPr>
          <w:t>Textbook on trusts : Todd, Paul, 1954- : Free Download, Borrow, and Streaming : Internet Archive</w:t>
        </w:r>
      </w:hyperlink>
      <w:r>
        <w:t xml:space="preserve"> (Accessed on: 25.02.23)</w:t>
      </w:r>
    </w:p>
    <w:p w14:paraId="2D044FF5" w14:textId="77777777" w:rsidR="007E1DF5" w:rsidRDefault="007E1DF5" w:rsidP="007E1DF5">
      <w:pPr>
        <w:spacing w:line="360" w:lineRule="auto"/>
        <w:ind w:left="360"/>
      </w:pPr>
      <w:r>
        <w:t xml:space="preserve">UK Parliament (2023) </w:t>
      </w:r>
      <w:r w:rsidRPr="007E1DF5">
        <w:rPr>
          <w:i/>
          <w:iCs/>
        </w:rPr>
        <w:t>The Judicature Acts of 1873 and 1875</w:t>
      </w:r>
      <w:r>
        <w:t xml:space="preserve"> Available at: </w:t>
      </w:r>
      <w:hyperlink r:id="rId28" w:history="1">
        <w:r>
          <w:rPr>
            <w:rStyle w:val="Hyperlink"/>
          </w:rPr>
          <w:t>The Judicature Acts of 1873 and 1875 - UK Parliament</w:t>
        </w:r>
      </w:hyperlink>
      <w:r>
        <w:t xml:space="preserve"> (accessed on: 01.03.23)</w:t>
      </w:r>
    </w:p>
    <w:p w14:paraId="197C353C" w14:textId="77777777" w:rsidR="007E1DF5" w:rsidRDefault="007E1DF5" w:rsidP="007E1DF5">
      <w:pPr>
        <w:spacing w:line="360" w:lineRule="auto"/>
        <w:ind w:left="360"/>
      </w:pPr>
      <w:r>
        <w:lastRenderedPageBreak/>
        <w:t xml:space="preserve">Watt, G (2016) </w:t>
      </w:r>
      <w:r w:rsidRPr="007E1DF5">
        <w:rPr>
          <w:i/>
          <w:iCs/>
        </w:rPr>
        <w:t xml:space="preserve">Trusts &amp; Equity </w:t>
      </w:r>
      <w:r>
        <w:t xml:space="preserve">Oxford: Oxford University Press Available at: </w:t>
      </w:r>
      <w:hyperlink r:id="rId29" w:history="1">
        <w:r>
          <w:rPr>
            <w:rStyle w:val="Hyperlink"/>
          </w:rPr>
          <w:t>Trusts &amp; equity : Watt, Gary, author : Free Download, Borrow, and Streaming : Internet Archive</w:t>
        </w:r>
      </w:hyperlink>
      <w:r>
        <w:t xml:space="preserve"> (Accessed on: 01.03.23)</w:t>
      </w:r>
    </w:p>
    <w:p w14:paraId="4D13005C" w14:textId="77777777" w:rsidR="007E1DF5" w:rsidRDefault="007E1DF5" w:rsidP="007E1DF5">
      <w:pPr>
        <w:spacing w:line="360" w:lineRule="auto"/>
        <w:ind w:left="360"/>
      </w:pPr>
      <w:r>
        <w:t xml:space="preserve">Webb, C (2003) </w:t>
      </w:r>
      <w:r w:rsidRPr="007E1DF5">
        <w:rPr>
          <w:i/>
          <w:iCs/>
        </w:rPr>
        <w:t xml:space="preserve">Trusts Law </w:t>
      </w:r>
      <w:r>
        <w:t xml:space="preserve">Basingstoke: Palgrave Macmillan Available at: </w:t>
      </w:r>
      <w:hyperlink r:id="rId30" w:history="1">
        <w:r>
          <w:rPr>
            <w:rStyle w:val="Hyperlink"/>
          </w:rPr>
          <w:t>Trusts law : Webb, Charlie : Free Download, Borrow, and Streaming : Internet Archive</w:t>
        </w:r>
      </w:hyperlink>
      <w:r>
        <w:t xml:space="preserve"> (Accessed on: 25.02.23)</w:t>
      </w:r>
    </w:p>
    <w:p w14:paraId="6D01A0C9" w14:textId="77777777" w:rsidR="007E1DF5" w:rsidRDefault="007E1DF5" w:rsidP="007E1DF5">
      <w:pPr>
        <w:spacing w:line="360" w:lineRule="auto"/>
        <w:ind w:left="360"/>
      </w:pPr>
      <w:r>
        <w:t xml:space="preserve">Webb, C (2005) </w:t>
      </w:r>
      <w:r w:rsidRPr="007E1DF5">
        <w:rPr>
          <w:i/>
          <w:iCs/>
        </w:rPr>
        <w:t xml:space="preserve">Trusts Law </w:t>
      </w:r>
      <w:r>
        <w:t xml:space="preserve">London: Palgrave Available at: </w:t>
      </w:r>
      <w:hyperlink r:id="rId31" w:history="1">
        <w:r>
          <w:rPr>
            <w:rStyle w:val="Hyperlink"/>
          </w:rPr>
          <w:t>Trusts law : Webb, Charlie, author : Free Download, Borrow, and Streaming : Internet Archive</w:t>
        </w:r>
      </w:hyperlink>
      <w:r>
        <w:t xml:space="preserve"> (Accessed on: 25.02.23)</w:t>
      </w:r>
    </w:p>
    <w:p w14:paraId="72823747" w14:textId="77777777" w:rsidR="007E1DF5" w:rsidRDefault="007E1DF5" w:rsidP="007E1DF5">
      <w:pPr>
        <w:spacing w:line="360" w:lineRule="auto"/>
        <w:ind w:left="360"/>
      </w:pPr>
      <w:r>
        <w:t xml:space="preserve">Zhang, r. (2017) ‘The new role trusts play in modern financial markets: The evolution of trusts from guardian to entrepreneur and the reason for the evolution – Trusts &amp; Trustees’ </w:t>
      </w:r>
      <w:r w:rsidRPr="007E1DF5">
        <w:rPr>
          <w:i/>
          <w:iCs/>
        </w:rPr>
        <w:t xml:space="preserve">Trusts &amp; Trustees </w:t>
      </w:r>
      <w:r>
        <w:t xml:space="preserve">23 (4) Available at: </w:t>
      </w:r>
      <w:hyperlink r:id="rId32" w:history="1">
        <w:r>
          <w:rPr>
            <w:rStyle w:val="Hyperlink"/>
          </w:rPr>
          <w:t>The new role trusts play in modern financial markets: The evolution of trusts from guardian to entrepreneur and the reasons for the evolution (uwtsd.ac.uk)</w:t>
        </w:r>
      </w:hyperlink>
      <w:r>
        <w:t xml:space="preserve"> (Accessed on: 23.02.23)</w:t>
      </w:r>
    </w:p>
    <w:sectPr w:rsidR="007E1D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71134"/>
    <w:multiLevelType w:val="hybridMultilevel"/>
    <w:tmpl w:val="6F4C2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0C17C0"/>
    <w:multiLevelType w:val="hybridMultilevel"/>
    <w:tmpl w:val="B0507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D12F51"/>
    <w:multiLevelType w:val="hybridMultilevel"/>
    <w:tmpl w:val="D940124E"/>
    <w:lvl w:ilvl="0" w:tplc="359CF6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826068">
    <w:abstractNumId w:val="0"/>
  </w:num>
  <w:num w:numId="2" w16cid:durableId="840240976">
    <w:abstractNumId w:val="2"/>
  </w:num>
  <w:num w:numId="3" w16cid:durableId="1483428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4B9"/>
    <w:rsid w:val="0002229E"/>
    <w:rsid w:val="000375F0"/>
    <w:rsid w:val="00040082"/>
    <w:rsid w:val="00081776"/>
    <w:rsid w:val="00082BE9"/>
    <w:rsid w:val="00092311"/>
    <w:rsid w:val="000D5DA3"/>
    <w:rsid w:val="000E6709"/>
    <w:rsid w:val="00132CDB"/>
    <w:rsid w:val="00163E99"/>
    <w:rsid w:val="001B5D86"/>
    <w:rsid w:val="001C2C77"/>
    <w:rsid w:val="001C6624"/>
    <w:rsid w:val="001E58BB"/>
    <w:rsid w:val="001E719A"/>
    <w:rsid w:val="00200F4D"/>
    <w:rsid w:val="00206537"/>
    <w:rsid w:val="00220DD9"/>
    <w:rsid w:val="002264B9"/>
    <w:rsid w:val="002518D7"/>
    <w:rsid w:val="002B4710"/>
    <w:rsid w:val="002D35B4"/>
    <w:rsid w:val="002E082A"/>
    <w:rsid w:val="00306D9C"/>
    <w:rsid w:val="00311F76"/>
    <w:rsid w:val="0033321F"/>
    <w:rsid w:val="003352FF"/>
    <w:rsid w:val="003575FB"/>
    <w:rsid w:val="00363FC6"/>
    <w:rsid w:val="00383A93"/>
    <w:rsid w:val="003A3D53"/>
    <w:rsid w:val="003E2DB9"/>
    <w:rsid w:val="003F3359"/>
    <w:rsid w:val="003F383F"/>
    <w:rsid w:val="003F4B44"/>
    <w:rsid w:val="00446022"/>
    <w:rsid w:val="00482972"/>
    <w:rsid w:val="004A085C"/>
    <w:rsid w:val="004B38E4"/>
    <w:rsid w:val="004C1BCB"/>
    <w:rsid w:val="00501F92"/>
    <w:rsid w:val="005142F1"/>
    <w:rsid w:val="00526C47"/>
    <w:rsid w:val="00553368"/>
    <w:rsid w:val="0057328D"/>
    <w:rsid w:val="00573F76"/>
    <w:rsid w:val="00575D9D"/>
    <w:rsid w:val="005A718C"/>
    <w:rsid w:val="005D1C73"/>
    <w:rsid w:val="005D52C3"/>
    <w:rsid w:val="005F2344"/>
    <w:rsid w:val="00612BA1"/>
    <w:rsid w:val="00615C49"/>
    <w:rsid w:val="00622545"/>
    <w:rsid w:val="007430B8"/>
    <w:rsid w:val="00746444"/>
    <w:rsid w:val="00792F53"/>
    <w:rsid w:val="007C6127"/>
    <w:rsid w:val="007D6A05"/>
    <w:rsid w:val="007E1DF5"/>
    <w:rsid w:val="007F1326"/>
    <w:rsid w:val="00832102"/>
    <w:rsid w:val="00843979"/>
    <w:rsid w:val="008467FB"/>
    <w:rsid w:val="00846E5D"/>
    <w:rsid w:val="00855BB0"/>
    <w:rsid w:val="00871B53"/>
    <w:rsid w:val="00882196"/>
    <w:rsid w:val="00892BB5"/>
    <w:rsid w:val="008D0133"/>
    <w:rsid w:val="009012AC"/>
    <w:rsid w:val="009138AD"/>
    <w:rsid w:val="00962266"/>
    <w:rsid w:val="009921BE"/>
    <w:rsid w:val="009A236F"/>
    <w:rsid w:val="009B6053"/>
    <w:rsid w:val="009C61F7"/>
    <w:rsid w:val="009F697C"/>
    <w:rsid w:val="00A02B6F"/>
    <w:rsid w:val="00A50538"/>
    <w:rsid w:val="00A5071B"/>
    <w:rsid w:val="00A86D4A"/>
    <w:rsid w:val="00AA7774"/>
    <w:rsid w:val="00AC13A4"/>
    <w:rsid w:val="00AC3ABA"/>
    <w:rsid w:val="00AD22C0"/>
    <w:rsid w:val="00AE5F0C"/>
    <w:rsid w:val="00AE6583"/>
    <w:rsid w:val="00AF4954"/>
    <w:rsid w:val="00B13F4E"/>
    <w:rsid w:val="00B26306"/>
    <w:rsid w:val="00B446B1"/>
    <w:rsid w:val="00B5757F"/>
    <w:rsid w:val="00B97A5E"/>
    <w:rsid w:val="00C04C27"/>
    <w:rsid w:val="00C310DE"/>
    <w:rsid w:val="00C66F6D"/>
    <w:rsid w:val="00C73D0D"/>
    <w:rsid w:val="00C75D0A"/>
    <w:rsid w:val="00C7634B"/>
    <w:rsid w:val="00C769AD"/>
    <w:rsid w:val="00C91846"/>
    <w:rsid w:val="00CA7CCD"/>
    <w:rsid w:val="00CB3753"/>
    <w:rsid w:val="00CD728A"/>
    <w:rsid w:val="00CE381D"/>
    <w:rsid w:val="00D00404"/>
    <w:rsid w:val="00D36BDB"/>
    <w:rsid w:val="00D75B5D"/>
    <w:rsid w:val="00D9136F"/>
    <w:rsid w:val="00DB5DC3"/>
    <w:rsid w:val="00DE5A1A"/>
    <w:rsid w:val="00DE786B"/>
    <w:rsid w:val="00DF11C3"/>
    <w:rsid w:val="00E02166"/>
    <w:rsid w:val="00E20CA1"/>
    <w:rsid w:val="00E21974"/>
    <w:rsid w:val="00E32677"/>
    <w:rsid w:val="00E67FD6"/>
    <w:rsid w:val="00E75943"/>
    <w:rsid w:val="00ED591B"/>
    <w:rsid w:val="00F0232D"/>
    <w:rsid w:val="00F03EDC"/>
    <w:rsid w:val="00F06D10"/>
    <w:rsid w:val="00F213F5"/>
    <w:rsid w:val="00F81FB7"/>
    <w:rsid w:val="00FA0CC0"/>
    <w:rsid w:val="00FA6B79"/>
    <w:rsid w:val="00FE0D1E"/>
    <w:rsid w:val="00FF7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6A016"/>
  <w15:chartTrackingRefBased/>
  <w15:docId w15:val="{6DFDF800-D98D-47EF-8A65-1C64F95A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64B9"/>
    <w:rPr>
      <w:color w:val="0000FF"/>
      <w:u w:val="single"/>
    </w:rPr>
  </w:style>
  <w:style w:type="paragraph" w:styleId="ListParagraph">
    <w:name w:val="List Paragraph"/>
    <w:basedOn w:val="Normal"/>
    <w:uiPriority w:val="34"/>
    <w:qFormat/>
    <w:rsid w:val="002264B9"/>
    <w:pPr>
      <w:ind w:left="720"/>
      <w:contextualSpacing/>
    </w:pPr>
  </w:style>
  <w:style w:type="character" w:styleId="FollowedHyperlink">
    <w:name w:val="FollowedHyperlink"/>
    <w:basedOn w:val="DefaultParagraphFont"/>
    <w:uiPriority w:val="99"/>
    <w:semiHidden/>
    <w:unhideWhenUsed/>
    <w:rsid w:val="00D36B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chive.org/details/meaghergummowleh0000heyd/page/70/mode/2up" TargetMode="External"/><Relationship Id="rId18" Type="http://schemas.openxmlformats.org/officeDocument/2006/relationships/hyperlink" Target="https://archive.org/details/equityalsoformso00mait/page/22/mode/2up" TargetMode="External"/><Relationship Id="rId26" Type="http://schemas.openxmlformats.org/officeDocument/2006/relationships/hyperlink" Target="https://s3-eu-west-2.amazonaws.com/lawcom-prod-storage-11jsxou24uy7q/uploads/2017/12/13th-Programme-of-Law-Reform.pdf" TargetMode="External"/><Relationship Id="rId3" Type="http://schemas.openxmlformats.org/officeDocument/2006/relationships/settings" Target="settings.xml"/><Relationship Id="rId21" Type="http://schemas.openxmlformats.org/officeDocument/2006/relationships/hyperlink" Target="https://plus-lexis-com.ezproxy.uwtsd.ac.uk/uk/document/?pdmfid=1001073&amp;crid=dcb13e8d-9997-4078-9249-fc94c8b5846e&amp;pddocfullpath=%2Fshared%2Fdocument%2Fanalytical-materials-uk%2Furn%3AcontentItem%3A4RJ4-FW80-TXJJ-T04S-00000-00&amp;pdcontentcomponentid=302218&amp;pdteaserkey=&amp;pdislpamode=false&amp;pddocumentnumber=3&amp;ecomp=ht5k&amp;earg=sr2&amp;prid=2035f219-a756-42dc-8315-cffd7af63f54" TargetMode="External"/><Relationship Id="rId34" Type="http://schemas.openxmlformats.org/officeDocument/2006/relationships/theme" Target="theme/theme1.xml"/><Relationship Id="rId7" Type="http://schemas.openxmlformats.org/officeDocument/2006/relationships/hyperlink" Target="https://plus-lexis-com.ezproxy.uwtsd.ac.uk/uk/document/?pdmfid=1001073&amp;crid=74351606-8fcf-4657-a86e-26fa2ed9b75b&amp;pddocfullpath=%2Fshared%2Fdocument%2Fanalytical-materials-uk%2Furn%3AcontentItem%3A64K0-TJ83-CGX8-040B-00000-00&amp;pdcontentcomponentid=228880&amp;pdteaserkey=&amp;pdislpamode=false&amp;pddocumentnumber=3&amp;ecomp=ht5k&amp;earg=sr2&amp;prid=8375a301-27fb-4409-8d56-dc7e6e2caa8d" TargetMode="External"/><Relationship Id="rId12" Type="http://schemas.openxmlformats.org/officeDocument/2006/relationships/hyperlink" Target="https://archive.org/details/hanburymartinmod0000glis_p9h1/page/6/mode/2up" TargetMode="External"/><Relationship Id="rId17" Type="http://schemas.openxmlformats.org/officeDocument/2006/relationships/hyperlink" Target="https://www.lawsociety.org.uk/public/for-public-visitors/common-legal-issues/trusts" TargetMode="External"/><Relationship Id="rId25" Type="http://schemas.openxmlformats.org/officeDocument/2006/relationships/hyperlink" Target="https://archive.org/details/unlockingequityt0006ramj/page/4/mode/2up"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awcom.gov.uk/project/modernising-trust-law-for-a-global-britain/" TargetMode="External"/><Relationship Id="rId20" Type="http://schemas.openxmlformats.org/officeDocument/2006/relationships/hyperlink" Target="https://archive.org/details/equitytrusts0002edmcdo/page/2/mode/2up" TargetMode="External"/><Relationship Id="rId29" Type="http://schemas.openxmlformats.org/officeDocument/2006/relationships/hyperlink" Target="https://archive.org/details/trustsequity0000watt_t7t1/page/6/mode/2up" TargetMode="External"/><Relationship Id="rId1" Type="http://schemas.openxmlformats.org/officeDocument/2006/relationships/numbering" Target="numbering.xml"/><Relationship Id="rId6" Type="http://schemas.openxmlformats.org/officeDocument/2006/relationships/hyperlink" Target="https://plus-lexis-com.ezproxy.uwtsd.ac.uk/uk/document/?pdmfid=1001073&amp;crid=8a65f16d-9896-4ecd-9789-8385684f4f74&amp;pddocfullpath=%2Fshared%2Fdocument%2Fanalytical-materials-uk%2Furn%3AcontentItem%3A4RCW-XHM0-TWWR-G1J4-00000-00&amp;pdcontentcomponentid=280276&amp;pdteaserkey=&amp;pdislpamode=false&amp;pddocumentnumber=3&amp;ecomp=ht5k&amp;earg=sr2&amp;prid=0bcf346c-4ace-411b-9b6f-1958719b4fb0" TargetMode="External"/><Relationship Id="rId11" Type="http://schemas.openxmlformats.org/officeDocument/2006/relationships/hyperlink" Target="https://www-jstor-org.ezproxy.uwtsd.ac.uk/stable/pdf/10.3366/j.ctt1g0b2fr.5.pdf?refreqid=excelsior%3A6a1dfe18c317c2abfa59817ae5b70244&amp;ab_segments=&amp;origin=&amp;initiator=&amp;acceptTC=1" TargetMode="External"/><Relationship Id="rId24" Type="http://schemas.openxmlformats.org/officeDocument/2006/relationships/hyperlink" Target="https://www-jstor-org.ezproxy.uwtsd.ac.uk/stable/pdf/10.7722/j.ctt9qdmjr.6.pdf?refreqid=excelsior%3A0b668f1e0d2b0a28cdec63645c3a5245&amp;ab_segments=&amp;origin=&amp;initiator=" TargetMode="External"/><Relationship Id="rId32" Type="http://schemas.openxmlformats.org/officeDocument/2006/relationships/hyperlink" Target="https://plus-lexis-com.ezproxy.uwtsd.ac.uk/uk/document/?pdmfid=1001073&amp;crid=e7697bc8-fe7e-4c12-b9d4-b2e21c5bebd2&amp;pddocfullpath=%2Fshared%2Fdocument%2Fanalytical-materials-uk%2Furn%3AcontentItem%3A5NMH-7XG1-F05F-33NX-00000-00&amp;pdcontentcomponentid=228880&amp;pdteaserkey=&amp;pdislpamode=false&amp;pddocumentnumber=3&amp;ecomp=ht5k&amp;earg=sr2&amp;prid=8f69d448-9fc5-46ab-b7d3-14f608c7d70a" TargetMode="External"/><Relationship Id="rId5" Type="http://schemas.openxmlformats.org/officeDocument/2006/relationships/hyperlink" Target="https://www-jstor-org.ezproxy.uwtsd.ac.uk/stable/pdf/1324734.pdf?refreqid=excelsior%3Acc8c5a72d841e812ad6c67df4862bf95&amp;ab_segments=&amp;origin=&amp;initiator=&amp;acceptTC=1" TargetMode="External"/><Relationship Id="rId15" Type="http://schemas.openxmlformats.org/officeDocument/2006/relationships/hyperlink" Target="https://plus-lexis-com.ezproxy.uwtsd.ac.uk/uk/document/?pdmfid=1001073&amp;crid=38c03185-e160-4a38-bb96-87a23dd8e307&amp;pddocfullpath=%2Fshared%2Fdocument%2Fanalytical-materials-uk%2Furn%3AcontentItem%3A676B-PHN3-CGX8-01HK-00000-00&amp;pdcontentcomponentid=420531&amp;pdteaserkey=&amp;pdislpamode=false&amp;pddocumentnumber=2&amp;ecomp=ht5k&amp;earg=sr1&amp;prid=2035f219-a756-42dc-8315-cffd7af63f54" TargetMode="External"/><Relationship Id="rId23" Type="http://schemas.openxmlformats.org/officeDocument/2006/relationships/hyperlink" Target="https://archive.org/details/exploringequityt03edpane/page/4/mode/2up" TargetMode="External"/><Relationship Id="rId28" Type="http://schemas.openxmlformats.org/officeDocument/2006/relationships/hyperlink" Target="https://www.parliament.uk/about/living-heritage/transformingsociety/laworder/court/overview/judicatureacts/" TargetMode="External"/><Relationship Id="rId10" Type="http://schemas.openxmlformats.org/officeDocument/2006/relationships/hyperlink" Target="https://archive.org/details/trustsequity0000edwa_x8g3/page/6/mode/2up" TargetMode="External"/><Relationship Id="rId19" Type="http://schemas.openxmlformats.org/officeDocument/2006/relationships/hyperlink" Target="https://archive.org/details/modernequity0000mart/page/8/mode/2up" TargetMode="External"/><Relationship Id="rId31" Type="http://schemas.openxmlformats.org/officeDocument/2006/relationships/hyperlink" Target="https://archive.org/details/trustslaw0000webb_l1k8/page/2/mode/2up" TargetMode="External"/><Relationship Id="rId4" Type="http://schemas.openxmlformats.org/officeDocument/2006/relationships/webSettings" Target="webSettings.xml"/><Relationship Id="rId9" Type="http://schemas.openxmlformats.org/officeDocument/2006/relationships/hyperlink" Target="https://www.judiciary.uk/courts-and-tribunals/business-and-property-courts/chancery-division/the-work-of-the-chancery-division/introduction-to-the-chancery-division/" TargetMode="External"/><Relationship Id="rId14" Type="http://schemas.openxmlformats.org/officeDocument/2006/relationships/hyperlink" Target="https://archive.org/details/equitytrusts0000huds/page/42/mode/2up" TargetMode="External"/><Relationship Id="rId22" Type="http://schemas.openxmlformats.org/officeDocument/2006/relationships/hyperlink" Target="https://www.cambridge.org/core/services/aop-cambridge-core/content/view/E35E1E390AF44B8D91EAAF7EB492DB63/S000819730012608Xa.pdf/the-statute-of-uses-and-the-power-to-devise1.pdf" TargetMode="External"/><Relationship Id="rId27" Type="http://schemas.openxmlformats.org/officeDocument/2006/relationships/hyperlink" Target="https://archive.org/details/textbookontrusts0000todd/page/8/mode/2up" TargetMode="External"/><Relationship Id="rId30" Type="http://schemas.openxmlformats.org/officeDocument/2006/relationships/hyperlink" Target="https://archive.org/details/trustslaw0000webb/page/6/mode/2up" TargetMode="External"/><Relationship Id="rId8" Type="http://schemas.openxmlformats.org/officeDocument/2006/relationships/hyperlink" Target="https://plus-lexis-com.ezproxy.uwtsd.ac.uk/uk/document/?pdmfid=1001073&amp;crid=b83d737b-f971-4af9-baea-92fdf7f887f7&amp;pddocfullpath=%2Fshared%2Fdocument%2Fanalytical-materials-uk%2Furn%3AcontentItem%3A4M0H-YXD0-TXJJ-T0BD-00000-00&amp;pdcontentcomponentid=302218&amp;pdteaserkey=&amp;pdislpamode=false&amp;pddocumentnumber=17&amp;ecomp=ht5k&amp;earg=sr16&amp;prid=4cba5aee-814e-4a76-a6d8-baa67bb13c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1922</TotalTime>
  <Pages>9</Pages>
  <Words>3831</Words>
  <Characters>21839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77</cp:revision>
  <dcterms:created xsi:type="dcterms:W3CDTF">2023-02-04T18:36:00Z</dcterms:created>
  <dcterms:modified xsi:type="dcterms:W3CDTF">2023-03-04T20:03:00Z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eee927de-cbb1-43af-8a53-ae6660002dd3</vt:lpwstr>
  </property>
</Properties>
</file>