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60AA8" w14:textId="44A6A655" w:rsidR="006A3BB3" w:rsidRDefault="00EA2012" w:rsidP="00DE6355">
      <w:pPr>
        <w:spacing w:line="360" w:lineRule="auto"/>
        <w:textAlignment w:val="baseline"/>
        <w:rPr>
          <w:rFonts w:asciiTheme="minorHAnsi" w:eastAsiaTheme="minorEastAsia" w:hAnsiTheme="minorHAnsi" w:cstheme="minorHAnsi"/>
        </w:rPr>
      </w:pPr>
      <w:r>
        <w:rPr>
          <w:rFonts w:asciiTheme="minorHAnsi" w:eastAsiaTheme="minorEastAsia" w:hAnsiTheme="minorHAnsi" w:cstheme="minorHAnsi"/>
        </w:rPr>
        <w:t>This resource pack is a w</w:t>
      </w:r>
      <w:bookmarkStart w:id="0" w:name="_GoBack"/>
      <w:bookmarkEnd w:id="0"/>
      <w:r>
        <w:rPr>
          <w:rFonts w:asciiTheme="minorHAnsi" w:eastAsiaTheme="minorEastAsia" w:hAnsiTheme="minorHAnsi" w:cstheme="minorHAnsi"/>
        </w:rPr>
        <w:t>ork book based upon the Roald Dahl books. It consists of five activities to aid children from key stage two, year</w:t>
      </w:r>
      <w:r w:rsidR="00A46210">
        <w:rPr>
          <w:rFonts w:asciiTheme="minorHAnsi" w:eastAsiaTheme="minorEastAsia" w:hAnsiTheme="minorHAnsi" w:cstheme="minorHAnsi"/>
        </w:rPr>
        <w:t>s three and</w:t>
      </w:r>
      <w:r>
        <w:rPr>
          <w:rFonts w:asciiTheme="minorHAnsi" w:eastAsiaTheme="minorEastAsia" w:hAnsiTheme="minorHAnsi" w:cstheme="minorHAnsi"/>
        </w:rPr>
        <w:t xml:space="preserve"> four in their numerical learning. Throughout the pack, there are visual aids and activities that involve the child having to physically move things around in order to complete the task. Traditionally, education has </w:t>
      </w:r>
      <w:r w:rsidRPr="00EA2012">
        <w:rPr>
          <w:rFonts w:asciiTheme="minorHAnsi" w:eastAsiaTheme="minorEastAsia" w:hAnsiTheme="minorHAnsi" w:cstheme="minorHAnsi"/>
        </w:rPr>
        <w:t>been focused around linguistic and logical-mathematical learning styles</w:t>
      </w:r>
      <w:r>
        <w:rPr>
          <w:rFonts w:asciiTheme="minorHAnsi" w:eastAsiaTheme="minorEastAsia" w:hAnsiTheme="minorHAnsi" w:cstheme="minorHAnsi"/>
        </w:rPr>
        <w:t xml:space="preserve"> (Mead, 2019) </w:t>
      </w:r>
      <w:r w:rsidR="006A3BB3">
        <w:rPr>
          <w:rFonts w:asciiTheme="minorHAnsi" w:eastAsiaTheme="minorEastAsia" w:hAnsiTheme="minorHAnsi" w:cstheme="minorHAnsi"/>
        </w:rPr>
        <w:t xml:space="preserve">however in this pack it is based more on a visual and </w:t>
      </w:r>
      <w:r w:rsidR="006A3BB3" w:rsidRPr="006A3BB3">
        <w:rPr>
          <w:rFonts w:asciiTheme="minorHAnsi" w:eastAsiaTheme="minorEastAsia" w:hAnsiTheme="minorHAnsi" w:cstheme="minorHAnsi"/>
        </w:rPr>
        <w:t>kinesthetic learn</w:t>
      </w:r>
      <w:r w:rsidR="006A3BB3">
        <w:rPr>
          <w:rFonts w:asciiTheme="minorHAnsi" w:eastAsiaTheme="minorEastAsia" w:hAnsiTheme="minorHAnsi" w:cstheme="minorHAnsi"/>
        </w:rPr>
        <w:t xml:space="preserve">ing approach. It also encourages them to use equipment such as rulers and calculators. </w:t>
      </w:r>
    </w:p>
    <w:p w14:paraId="25197622" w14:textId="77777777" w:rsidR="006A3BB3" w:rsidRDefault="006A3BB3" w:rsidP="00DE6355">
      <w:pPr>
        <w:spacing w:line="360" w:lineRule="auto"/>
        <w:textAlignment w:val="baseline"/>
        <w:rPr>
          <w:rFonts w:asciiTheme="minorHAnsi" w:eastAsiaTheme="minorEastAsia" w:hAnsiTheme="minorHAnsi" w:cstheme="minorHAnsi"/>
        </w:rPr>
      </w:pPr>
    </w:p>
    <w:p w14:paraId="7B3D5C36" w14:textId="77777777" w:rsidR="00DE6355" w:rsidRDefault="00502033"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Currently within the Welsh curriculum through the Literacy and Numeracy Framework (LNF), mathematics and literacy are considered priority subjects (Donaldson, 2015). With Donaldson’s new curriculum review hoping to be coming in to education by 2022, his six arears of learning and experience are considered the best way to educate. Donaldson (2015) says that they should not be considered as ‘watertight </w:t>
      </w:r>
      <w:r w:rsidR="00D02E4C">
        <w:rPr>
          <w:rFonts w:asciiTheme="minorHAnsi" w:eastAsiaTheme="minorEastAsia" w:hAnsiTheme="minorHAnsi" w:cstheme="minorHAnsi"/>
        </w:rPr>
        <w:t>compartments</w:t>
      </w:r>
      <w:r>
        <w:rPr>
          <w:rFonts w:asciiTheme="minorHAnsi" w:eastAsiaTheme="minorEastAsia" w:hAnsiTheme="minorHAnsi" w:cstheme="minorHAnsi"/>
        </w:rPr>
        <w:t>’ but</w:t>
      </w:r>
      <w:r w:rsidR="00D02E4C">
        <w:rPr>
          <w:rFonts w:asciiTheme="minorHAnsi" w:eastAsiaTheme="minorEastAsia" w:hAnsiTheme="minorHAnsi" w:cstheme="minorHAnsi"/>
        </w:rPr>
        <w:t xml:space="preserve"> a ‘means of organisation’ to aid teachers in the direction of teaching with every learner considered. This has been criticized by some pioneer schools, one of which explained ‘</w:t>
      </w:r>
      <w:r w:rsidR="00D02E4C" w:rsidRPr="00D02E4C">
        <w:rPr>
          <w:rFonts w:asciiTheme="minorHAnsi" w:eastAsiaTheme="minorEastAsia" w:hAnsiTheme="minorHAnsi" w:cstheme="minorHAnsi"/>
        </w:rPr>
        <w:t xml:space="preserve">It's fine to get teachers to create this and build it from the ground up, but sooner or later, we need one clear goal, we need one document to </w:t>
      </w:r>
      <w:r w:rsidR="00A46210" w:rsidRPr="00D02E4C">
        <w:rPr>
          <w:rFonts w:asciiTheme="minorHAnsi" w:eastAsiaTheme="minorEastAsia" w:hAnsiTheme="minorHAnsi" w:cstheme="minorHAnsi"/>
        </w:rPr>
        <w:t>say,</w:t>
      </w:r>
      <w:r w:rsidR="00D02E4C" w:rsidRPr="00D02E4C">
        <w:rPr>
          <w:rFonts w:asciiTheme="minorHAnsi" w:eastAsiaTheme="minorEastAsia" w:hAnsiTheme="minorHAnsi" w:cstheme="minorHAnsi"/>
        </w:rPr>
        <w:t xml:space="preserve"> 'this is the model'</w:t>
      </w:r>
      <w:r w:rsidR="00D02E4C">
        <w:rPr>
          <w:rFonts w:asciiTheme="minorHAnsi" w:eastAsiaTheme="minorEastAsia" w:hAnsiTheme="minorHAnsi" w:cstheme="minorHAnsi"/>
        </w:rPr>
        <w:t xml:space="preserve"> (The BBC, 2017). </w:t>
      </w:r>
    </w:p>
    <w:p w14:paraId="487E13D8" w14:textId="77777777" w:rsidR="00DE6355" w:rsidRDefault="00DE6355" w:rsidP="00DE6355">
      <w:pPr>
        <w:spacing w:line="360" w:lineRule="auto"/>
        <w:rPr>
          <w:rFonts w:asciiTheme="minorHAnsi" w:eastAsiaTheme="minorEastAsia" w:hAnsiTheme="minorHAnsi" w:cstheme="minorHAnsi"/>
        </w:rPr>
      </w:pPr>
    </w:p>
    <w:p w14:paraId="2CA5C0EF" w14:textId="7C078B75" w:rsidR="00892412" w:rsidRDefault="00502033"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 </w:t>
      </w:r>
      <w:r w:rsidR="006A3BB3">
        <w:rPr>
          <w:rFonts w:asciiTheme="minorHAnsi" w:eastAsiaTheme="minorEastAsia" w:hAnsiTheme="minorHAnsi" w:cstheme="minorHAnsi"/>
        </w:rPr>
        <w:t>‘</w:t>
      </w:r>
      <w:r w:rsidR="006A3BB3" w:rsidRPr="006A3BB3">
        <w:rPr>
          <w:rFonts w:asciiTheme="minorHAnsi" w:eastAsiaTheme="minorEastAsia" w:hAnsiTheme="minorHAnsi" w:cstheme="minorHAnsi"/>
        </w:rPr>
        <w:t>Attempts to make maths more fun are essential to engage students in the subject from a young age</w:t>
      </w:r>
      <w:r w:rsidR="006A3BB3">
        <w:rPr>
          <w:rFonts w:asciiTheme="minorHAnsi" w:eastAsiaTheme="minorEastAsia" w:hAnsiTheme="minorHAnsi" w:cstheme="minorHAnsi"/>
        </w:rPr>
        <w:t xml:space="preserve">’ (The Guardian, 2014). In order to do this, throughout the resource pack there are visual aids in order to help the children see the problem rather than just read it. This enables children to develop </w:t>
      </w:r>
      <w:r w:rsidR="00557FC0">
        <w:rPr>
          <w:rFonts w:asciiTheme="minorHAnsi" w:eastAsiaTheme="minorEastAsia" w:hAnsiTheme="minorHAnsi" w:cstheme="minorHAnsi"/>
        </w:rPr>
        <w:t xml:space="preserve">new concepts (Mead, 2019) and to understand the question in the way they best understand. </w:t>
      </w:r>
      <w:r w:rsidR="00C94A18" w:rsidRPr="00296B02">
        <w:rPr>
          <w:rFonts w:asciiTheme="minorHAnsi" w:eastAsiaTheme="minorEastAsia" w:hAnsiTheme="minorHAnsi" w:cstheme="minorHAnsi"/>
        </w:rPr>
        <w:t>Shabiralyani,</w:t>
      </w:r>
      <w:r w:rsidR="00C94A18">
        <w:rPr>
          <w:rFonts w:asciiTheme="minorHAnsi" w:eastAsiaTheme="minorEastAsia" w:hAnsiTheme="minorHAnsi" w:cstheme="minorHAnsi"/>
        </w:rPr>
        <w:t xml:space="preserve"> </w:t>
      </w:r>
      <w:r w:rsidR="00C94A18" w:rsidRPr="00296B02">
        <w:rPr>
          <w:rFonts w:asciiTheme="minorHAnsi" w:eastAsiaTheme="minorEastAsia" w:hAnsiTheme="minorHAnsi" w:cstheme="minorHAnsi"/>
        </w:rPr>
        <w:t>Hasan, Hamad,</w:t>
      </w:r>
      <w:r w:rsidR="00C94A18">
        <w:rPr>
          <w:rFonts w:asciiTheme="minorHAnsi" w:eastAsiaTheme="minorEastAsia" w:hAnsiTheme="minorHAnsi" w:cstheme="minorHAnsi"/>
        </w:rPr>
        <w:t xml:space="preserve"> </w:t>
      </w:r>
      <w:r w:rsidR="00C94A18">
        <w:rPr>
          <w:rFonts w:asciiTheme="minorHAnsi" w:eastAsiaTheme="minorEastAsia" w:hAnsiTheme="minorHAnsi" w:cstheme="minorHAnsi"/>
        </w:rPr>
        <w:t>and</w:t>
      </w:r>
      <w:r w:rsidR="00C94A18">
        <w:rPr>
          <w:rFonts w:asciiTheme="minorHAnsi" w:eastAsiaTheme="minorEastAsia" w:hAnsiTheme="minorHAnsi" w:cstheme="minorHAnsi"/>
        </w:rPr>
        <w:t xml:space="preserve"> </w:t>
      </w:r>
      <w:r w:rsidR="00C94A18" w:rsidRPr="00296B02">
        <w:rPr>
          <w:rFonts w:asciiTheme="minorHAnsi" w:eastAsiaTheme="minorEastAsia" w:hAnsiTheme="minorHAnsi" w:cstheme="minorHAnsi"/>
        </w:rPr>
        <w:t>Nadeem</w:t>
      </w:r>
      <w:r w:rsidR="00C94A18">
        <w:rPr>
          <w:rFonts w:asciiTheme="minorHAnsi" w:eastAsiaTheme="minorEastAsia" w:hAnsiTheme="minorHAnsi" w:cstheme="minorHAnsi"/>
        </w:rPr>
        <w:t xml:space="preserve"> (2015) state that,</w:t>
      </w:r>
      <w:r w:rsidR="00C94A18">
        <w:rPr>
          <w:rFonts w:asciiTheme="minorHAnsi" w:eastAsiaTheme="minorEastAsia" w:hAnsiTheme="minorHAnsi" w:cstheme="minorHAnsi"/>
        </w:rPr>
        <w:t xml:space="preserve"> </w:t>
      </w:r>
      <w:r w:rsidR="00C94A18">
        <w:rPr>
          <w:rFonts w:asciiTheme="minorHAnsi" w:eastAsiaTheme="minorEastAsia" w:hAnsiTheme="minorHAnsi" w:cstheme="minorHAnsi"/>
        </w:rPr>
        <w:t>‘</w:t>
      </w:r>
      <w:r w:rsidR="00C94A18" w:rsidRPr="00C94A18">
        <w:rPr>
          <w:rFonts w:asciiTheme="minorHAnsi" w:eastAsiaTheme="minorEastAsia" w:hAnsiTheme="minorHAnsi" w:cstheme="minorHAnsi"/>
        </w:rPr>
        <w:t>Visual aids arouse the interest of learners and help the teachers to explain the concepts easily.</w:t>
      </w:r>
      <w:r w:rsidR="00C94A18">
        <w:rPr>
          <w:rFonts w:asciiTheme="minorHAnsi" w:eastAsiaTheme="minorEastAsia" w:hAnsiTheme="minorHAnsi" w:cstheme="minorHAnsi"/>
        </w:rPr>
        <w:t xml:space="preserve"> (p. 226). </w:t>
      </w:r>
      <w:r w:rsidR="00892412">
        <w:rPr>
          <w:rFonts w:asciiTheme="minorHAnsi" w:eastAsiaTheme="minorEastAsia" w:hAnsiTheme="minorHAnsi" w:cstheme="minorHAnsi"/>
        </w:rPr>
        <w:t xml:space="preserve"> </w:t>
      </w:r>
      <w:r w:rsidR="00A46210">
        <w:rPr>
          <w:rFonts w:asciiTheme="minorHAnsi" w:eastAsiaTheme="minorEastAsia" w:hAnsiTheme="minorHAnsi" w:cstheme="minorHAnsi"/>
        </w:rPr>
        <w:t xml:space="preserve">Therefore, throughout this resource pack there are visual aids to allow children to take their learning into their own hands and develop an individual understanding of their questions. </w:t>
      </w:r>
    </w:p>
    <w:p w14:paraId="357899D3" w14:textId="77777777" w:rsidR="00780221" w:rsidRDefault="00A46210"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ab/>
      </w:r>
    </w:p>
    <w:p w14:paraId="674DE5DC" w14:textId="49D2C266" w:rsidR="004A65FF" w:rsidRDefault="00AB2B4D"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The first activity</w:t>
      </w:r>
      <w:r w:rsidR="00A46210">
        <w:rPr>
          <w:rFonts w:asciiTheme="minorHAnsi" w:eastAsiaTheme="minorEastAsia" w:hAnsiTheme="minorHAnsi" w:cstheme="minorHAnsi"/>
        </w:rPr>
        <w:t xml:space="preserve"> consists of an activity</w:t>
      </w:r>
      <w:r w:rsidR="003E68E7">
        <w:rPr>
          <w:rFonts w:asciiTheme="minorHAnsi" w:eastAsiaTheme="minorEastAsia" w:hAnsiTheme="minorHAnsi" w:cstheme="minorHAnsi"/>
        </w:rPr>
        <w:t xml:space="preserve"> based on The BFG</w:t>
      </w:r>
      <w:r w:rsidR="00A46210">
        <w:rPr>
          <w:rFonts w:asciiTheme="minorHAnsi" w:eastAsiaTheme="minorEastAsia" w:hAnsiTheme="minorHAnsi" w:cstheme="minorHAnsi"/>
        </w:rPr>
        <w:t xml:space="preserve"> where by children need to use a ruler in order to measure each giant to the nearest half centimetre. They are then asked to work out what the difference in height is from the giant to the little girl. This underpins the LNF </w:t>
      </w:r>
      <w:r w:rsidR="009707F3">
        <w:rPr>
          <w:rFonts w:asciiTheme="minorHAnsi" w:eastAsiaTheme="minorEastAsia" w:hAnsiTheme="minorHAnsi" w:cstheme="minorHAnsi"/>
        </w:rPr>
        <w:t>framework</w:t>
      </w:r>
      <w:r w:rsidR="00C6663B">
        <w:rPr>
          <w:rFonts w:asciiTheme="minorHAnsi" w:eastAsiaTheme="minorEastAsia" w:hAnsiTheme="minorHAnsi" w:cstheme="minorHAnsi"/>
        </w:rPr>
        <w:t xml:space="preserve"> (2013) </w:t>
      </w:r>
      <w:r w:rsidR="003C6A10">
        <w:rPr>
          <w:rFonts w:asciiTheme="minorHAnsi" w:eastAsiaTheme="minorEastAsia" w:hAnsiTheme="minorHAnsi" w:cstheme="minorHAnsi"/>
        </w:rPr>
        <w:t>with</w:t>
      </w:r>
      <w:r w:rsidR="009707F3">
        <w:rPr>
          <w:rFonts w:asciiTheme="minorHAnsi" w:eastAsiaTheme="minorEastAsia" w:hAnsiTheme="minorHAnsi" w:cstheme="minorHAnsi"/>
        </w:rPr>
        <w:t xml:space="preserve">in the using </w:t>
      </w:r>
      <w:r w:rsidR="000C7EDC">
        <w:rPr>
          <w:rFonts w:asciiTheme="minorHAnsi" w:eastAsiaTheme="minorEastAsia" w:hAnsiTheme="minorHAnsi" w:cstheme="minorHAnsi"/>
        </w:rPr>
        <w:t xml:space="preserve">the </w:t>
      </w:r>
      <w:r w:rsidR="00C6663B">
        <w:rPr>
          <w:rFonts w:asciiTheme="minorHAnsi" w:eastAsiaTheme="minorEastAsia" w:hAnsiTheme="minorHAnsi" w:cstheme="minorHAnsi"/>
        </w:rPr>
        <w:t>‘</w:t>
      </w:r>
      <w:r w:rsidR="000C7EDC">
        <w:rPr>
          <w:rFonts w:asciiTheme="minorHAnsi" w:eastAsiaTheme="minorEastAsia" w:hAnsiTheme="minorHAnsi" w:cstheme="minorHAnsi"/>
        </w:rPr>
        <w:t>l</w:t>
      </w:r>
      <w:r w:rsidR="000C7EDC" w:rsidRPr="000C7EDC">
        <w:rPr>
          <w:rFonts w:asciiTheme="minorHAnsi" w:eastAsiaTheme="minorEastAsia" w:hAnsiTheme="minorHAnsi" w:cstheme="minorHAnsi"/>
        </w:rPr>
        <w:t>ength,</w:t>
      </w:r>
      <w:r w:rsidR="000C7EDC">
        <w:rPr>
          <w:rFonts w:asciiTheme="minorHAnsi" w:eastAsiaTheme="minorEastAsia" w:hAnsiTheme="minorHAnsi" w:cstheme="minorHAnsi"/>
        </w:rPr>
        <w:t xml:space="preserve"> </w:t>
      </w:r>
      <w:r w:rsidR="000C7EDC" w:rsidRPr="000C7EDC">
        <w:rPr>
          <w:rFonts w:asciiTheme="minorHAnsi" w:eastAsiaTheme="minorEastAsia" w:hAnsiTheme="minorHAnsi" w:cstheme="minorHAnsi"/>
        </w:rPr>
        <w:t>weight/mass,</w:t>
      </w:r>
      <w:r w:rsidR="000C7EDC">
        <w:rPr>
          <w:rFonts w:asciiTheme="minorHAnsi" w:eastAsiaTheme="minorEastAsia" w:hAnsiTheme="minorHAnsi" w:cstheme="minorHAnsi"/>
        </w:rPr>
        <w:t xml:space="preserve"> </w:t>
      </w:r>
      <w:r w:rsidR="000C7EDC" w:rsidRPr="000C7EDC">
        <w:rPr>
          <w:rFonts w:asciiTheme="minorHAnsi" w:eastAsiaTheme="minorEastAsia" w:hAnsiTheme="minorHAnsi" w:cstheme="minorHAnsi"/>
        </w:rPr>
        <w:t>capacity</w:t>
      </w:r>
      <w:r w:rsidR="00C6663B">
        <w:rPr>
          <w:rFonts w:asciiTheme="minorHAnsi" w:eastAsiaTheme="minorEastAsia" w:hAnsiTheme="minorHAnsi" w:cstheme="minorHAnsi"/>
        </w:rPr>
        <w:t>’</w:t>
      </w:r>
      <w:r w:rsidR="000C7EDC">
        <w:rPr>
          <w:rFonts w:asciiTheme="minorHAnsi" w:eastAsiaTheme="minorEastAsia" w:hAnsiTheme="minorHAnsi" w:cstheme="minorHAnsi"/>
        </w:rPr>
        <w:t xml:space="preserve"> element within the </w:t>
      </w:r>
      <w:r w:rsidR="009707F3">
        <w:rPr>
          <w:rFonts w:asciiTheme="minorHAnsi" w:eastAsiaTheme="minorEastAsia" w:hAnsiTheme="minorHAnsi" w:cstheme="minorHAnsi"/>
        </w:rPr>
        <w:t>measuring skills strand</w:t>
      </w:r>
      <w:r w:rsidR="000C7EDC">
        <w:rPr>
          <w:rFonts w:asciiTheme="minorHAnsi" w:eastAsiaTheme="minorEastAsia" w:hAnsiTheme="minorHAnsi" w:cstheme="minorHAnsi"/>
        </w:rPr>
        <w:t>.</w:t>
      </w:r>
      <w:r w:rsidR="009707F3">
        <w:rPr>
          <w:rFonts w:asciiTheme="minorHAnsi" w:eastAsiaTheme="minorEastAsia" w:hAnsiTheme="minorHAnsi" w:cstheme="minorHAnsi"/>
        </w:rPr>
        <w:t xml:space="preserve"> </w:t>
      </w:r>
    </w:p>
    <w:p w14:paraId="464A0A87" w14:textId="77777777" w:rsidR="00780221" w:rsidRDefault="00780221" w:rsidP="00DE6355">
      <w:pPr>
        <w:spacing w:line="360" w:lineRule="auto"/>
        <w:rPr>
          <w:rFonts w:asciiTheme="minorHAnsi" w:eastAsiaTheme="minorEastAsia" w:hAnsiTheme="minorHAnsi" w:cstheme="minorHAnsi"/>
        </w:rPr>
      </w:pPr>
    </w:p>
    <w:p w14:paraId="00509FE7" w14:textId="21A15BC3" w:rsidR="004A65FF" w:rsidRDefault="0085631C"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The second activity </w:t>
      </w:r>
      <w:r w:rsidR="003E68E7">
        <w:rPr>
          <w:rFonts w:asciiTheme="minorHAnsi" w:eastAsiaTheme="minorEastAsia" w:hAnsiTheme="minorHAnsi" w:cstheme="minorHAnsi"/>
        </w:rPr>
        <w:t xml:space="preserve">allows the child to physically move objects in order to complete an equation. </w:t>
      </w:r>
      <w:r w:rsidR="000C7EDC">
        <w:rPr>
          <w:rFonts w:asciiTheme="minorHAnsi" w:eastAsiaTheme="minorEastAsia" w:hAnsiTheme="minorHAnsi" w:cstheme="minorHAnsi"/>
        </w:rPr>
        <w:t xml:space="preserve">This is based on James and the Giant Peach where the learner will need to take </w:t>
      </w:r>
      <w:r w:rsidR="00D03F66">
        <w:rPr>
          <w:rFonts w:asciiTheme="minorHAnsi" w:eastAsiaTheme="minorEastAsia" w:hAnsiTheme="minorHAnsi" w:cstheme="minorHAnsi"/>
        </w:rPr>
        <w:t xml:space="preserve">a </w:t>
      </w:r>
      <w:r w:rsidR="000C7EDC">
        <w:rPr>
          <w:rFonts w:asciiTheme="minorHAnsi" w:eastAsiaTheme="minorEastAsia" w:hAnsiTheme="minorHAnsi" w:cstheme="minorHAnsi"/>
        </w:rPr>
        <w:t>leaf off of the tree with the correct number or symbol to fill in the gap</w:t>
      </w:r>
      <w:r w:rsidR="00D03F66">
        <w:rPr>
          <w:rFonts w:asciiTheme="minorHAnsi" w:eastAsiaTheme="minorEastAsia" w:hAnsiTheme="minorHAnsi" w:cstheme="minorHAnsi"/>
        </w:rPr>
        <w:t xml:space="preserve"> </w:t>
      </w:r>
      <w:r w:rsidR="000C7EDC">
        <w:rPr>
          <w:rFonts w:asciiTheme="minorHAnsi" w:eastAsiaTheme="minorEastAsia" w:hAnsiTheme="minorHAnsi" w:cstheme="minorHAnsi"/>
        </w:rPr>
        <w:t xml:space="preserve">of the questions. </w:t>
      </w:r>
      <w:r w:rsidR="00D03F66">
        <w:rPr>
          <w:rFonts w:asciiTheme="minorHAnsi" w:eastAsiaTheme="minorEastAsia" w:hAnsiTheme="minorHAnsi" w:cstheme="minorHAnsi"/>
        </w:rPr>
        <w:t xml:space="preserve">This uses methods including multiplication and </w:t>
      </w:r>
      <w:r w:rsidR="00D03F66">
        <w:rPr>
          <w:rFonts w:asciiTheme="minorHAnsi" w:eastAsiaTheme="minorEastAsia" w:hAnsiTheme="minorHAnsi" w:cstheme="minorHAnsi"/>
        </w:rPr>
        <w:lastRenderedPageBreak/>
        <w:t>division which underpins the ‘u</w:t>
      </w:r>
      <w:r w:rsidR="00D03F66" w:rsidRPr="00D03F66">
        <w:rPr>
          <w:rFonts w:asciiTheme="minorHAnsi" w:eastAsiaTheme="minorEastAsia" w:hAnsiTheme="minorHAnsi" w:cstheme="minorHAnsi"/>
        </w:rPr>
        <w:t>se number facts</w:t>
      </w:r>
      <w:r w:rsidR="00D03F66">
        <w:rPr>
          <w:rFonts w:asciiTheme="minorHAnsi" w:eastAsiaTheme="minorEastAsia" w:hAnsiTheme="minorHAnsi" w:cstheme="minorHAnsi"/>
        </w:rPr>
        <w:t xml:space="preserve"> </w:t>
      </w:r>
      <w:r w:rsidR="00D03F66" w:rsidRPr="00D03F66">
        <w:rPr>
          <w:rFonts w:asciiTheme="minorHAnsi" w:eastAsiaTheme="minorEastAsia" w:hAnsiTheme="minorHAnsi" w:cstheme="minorHAnsi"/>
        </w:rPr>
        <w:t>and relationships</w:t>
      </w:r>
      <w:r w:rsidR="00D03F66">
        <w:rPr>
          <w:rFonts w:asciiTheme="minorHAnsi" w:eastAsiaTheme="minorEastAsia" w:hAnsiTheme="minorHAnsi" w:cstheme="minorHAnsi"/>
        </w:rPr>
        <w:t>’ element within the using number skills strand</w:t>
      </w:r>
      <w:r w:rsidR="00C6663B">
        <w:rPr>
          <w:rFonts w:asciiTheme="minorHAnsi" w:eastAsiaTheme="minorEastAsia" w:hAnsiTheme="minorHAnsi" w:cstheme="minorHAnsi"/>
        </w:rPr>
        <w:t xml:space="preserve"> of the LNF (2013). </w:t>
      </w:r>
    </w:p>
    <w:p w14:paraId="2CBAA447" w14:textId="77777777" w:rsidR="00780221" w:rsidRDefault="00780221" w:rsidP="00DE6355">
      <w:pPr>
        <w:spacing w:line="360" w:lineRule="auto"/>
        <w:rPr>
          <w:rFonts w:asciiTheme="minorHAnsi" w:eastAsiaTheme="minorEastAsia" w:hAnsiTheme="minorHAnsi" w:cstheme="minorHAnsi"/>
        </w:rPr>
      </w:pPr>
    </w:p>
    <w:p w14:paraId="7C74317D" w14:textId="2182A9D9" w:rsidR="00A46210" w:rsidRDefault="00DE2C93"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The third activity is based on Charlie and the Chocolate Factory where </w:t>
      </w:r>
      <w:r w:rsidR="003C3F55">
        <w:rPr>
          <w:rFonts w:asciiTheme="minorHAnsi" w:eastAsiaTheme="minorEastAsia" w:hAnsiTheme="minorHAnsi" w:cstheme="minorHAnsi"/>
        </w:rPr>
        <w:t xml:space="preserve">the question is purposely written out. In order to answer these questions, the learner can either use ‘mental maths’ or use the box provided to write the question out in number form. Alongside this is another activity in which a visual of a six-segment chocolate bar is placed which is detachable. Instead of having to imagine a shaded area to work out a fraction or a division, the learner can physically take this away or share it out.  </w:t>
      </w:r>
      <w:r w:rsidR="003C3F55" w:rsidRPr="00296B02">
        <w:rPr>
          <w:rFonts w:asciiTheme="minorHAnsi" w:eastAsiaTheme="minorEastAsia" w:hAnsiTheme="minorHAnsi" w:cstheme="minorHAnsi"/>
        </w:rPr>
        <w:t>Shabiralyani,</w:t>
      </w:r>
      <w:r w:rsidR="003C3F55">
        <w:rPr>
          <w:rFonts w:asciiTheme="minorHAnsi" w:eastAsiaTheme="minorEastAsia" w:hAnsiTheme="minorHAnsi" w:cstheme="minorHAnsi"/>
        </w:rPr>
        <w:t xml:space="preserve"> </w:t>
      </w:r>
      <w:r w:rsidR="003C3F55" w:rsidRPr="00296B02">
        <w:rPr>
          <w:rFonts w:asciiTheme="minorHAnsi" w:eastAsiaTheme="minorEastAsia" w:hAnsiTheme="minorHAnsi" w:cstheme="minorHAnsi"/>
        </w:rPr>
        <w:t>Hasan, Hamad,</w:t>
      </w:r>
      <w:r w:rsidR="003C3F55">
        <w:rPr>
          <w:rFonts w:asciiTheme="minorHAnsi" w:eastAsiaTheme="minorEastAsia" w:hAnsiTheme="minorHAnsi" w:cstheme="minorHAnsi"/>
        </w:rPr>
        <w:t xml:space="preserve"> and </w:t>
      </w:r>
      <w:r w:rsidR="003C3F55" w:rsidRPr="00296B02">
        <w:rPr>
          <w:rFonts w:asciiTheme="minorHAnsi" w:eastAsiaTheme="minorEastAsia" w:hAnsiTheme="minorHAnsi" w:cstheme="minorHAnsi"/>
        </w:rPr>
        <w:t>Nadeem</w:t>
      </w:r>
      <w:r w:rsidR="003C3F55">
        <w:rPr>
          <w:rFonts w:asciiTheme="minorHAnsi" w:eastAsiaTheme="minorEastAsia" w:hAnsiTheme="minorHAnsi" w:cstheme="minorHAnsi"/>
        </w:rPr>
        <w:t xml:space="preserve"> (2015) s</w:t>
      </w:r>
      <w:r w:rsidR="003C3F55">
        <w:rPr>
          <w:rFonts w:asciiTheme="minorHAnsi" w:eastAsiaTheme="minorEastAsia" w:hAnsiTheme="minorHAnsi" w:cstheme="minorHAnsi"/>
        </w:rPr>
        <w:t>tate that</w:t>
      </w:r>
      <w:r w:rsidR="003C3F55">
        <w:rPr>
          <w:rFonts w:asciiTheme="minorHAnsi" w:eastAsiaTheme="minorEastAsia" w:hAnsiTheme="minorHAnsi" w:cstheme="minorHAnsi"/>
        </w:rPr>
        <w:t xml:space="preserve"> </w:t>
      </w:r>
      <w:r w:rsidR="003C3F55">
        <w:rPr>
          <w:rFonts w:asciiTheme="minorHAnsi" w:eastAsiaTheme="minorEastAsia" w:hAnsiTheme="minorHAnsi" w:cstheme="minorHAnsi"/>
        </w:rPr>
        <w:t>‘vi</w:t>
      </w:r>
      <w:r w:rsidR="003C3F55" w:rsidRPr="00892412">
        <w:rPr>
          <w:rFonts w:asciiTheme="minorHAnsi" w:eastAsiaTheme="minorEastAsia" w:hAnsiTheme="minorHAnsi" w:cstheme="minorHAnsi"/>
        </w:rPr>
        <w:t>sual aids are the best</w:t>
      </w:r>
      <w:r w:rsidR="003C3F55">
        <w:rPr>
          <w:rFonts w:asciiTheme="minorHAnsi" w:eastAsiaTheme="minorEastAsia" w:hAnsiTheme="minorHAnsi" w:cstheme="minorHAnsi"/>
        </w:rPr>
        <w:t xml:space="preserve"> </w:t>
      </w:r>
      <w:r w:rsidR="003C3F55" w:rsidRPr="00892412">
        <w:rPr>
          <w:rFonts w:asciiTheme="minorHAnsi" w:eastAsiaTheme="minorEastAsia" w:hAnsiTheme="minorHAnsi" w:cstheme="minorHAnsi"/>
        </w:rPr>
        <w:t>tool for making teaching effective and the best dissemination of knowledge</w:t>
      </w:r>
      <w:r w:rsidR="003C3F55">
        <w:rPr>
          <w:rFonts w:asciiTheme="minorHAnsi" w:eastAsiaTheme="minorEastAsia" w:hAnsiTheme="minorHAnsi" w:cstheme="minorHAnsi"/>
        </w:rPr>
        <w:t>’ thus demonstrating the ability to effectively move the question and shape it so that the learner can best understand.  This is using the element of ‘c</w:t>
      </w:r>
      <w:r w:rsidR="003C3F55" w:rsidRPr="003C3F55">
        <w:rPr>
          <w:rFonts w:asciiTheme="minorHAnsi" w:eastAsiaTheme="minorEastAsia" w:hAnsiTheme="minorHAnsi" w:cstheme="minorHAnsi"/>
        </w:rPr>
        <w:t>alculate using</w:t>
      </w:r>
      <w:r w:rsidR="003C3F55">
        <w:rPr>
          <w:rFonts w:asciiTheme="minorHAnsi" w:eastAsiaTheme="minorEastAsia" w:hAnsiTheme="minorHAnsi" w:cstheme="minorHAnsi"/>
        </w:rPr>
        <w:t xml:space="preserve"> </w:t>
      </w:r>
      <w:r w:rsidR="003C3F55" w:rsidRPr="003C3F55">
        <w:rPr>
          <w:rFonts w:asciiTheme="minorHAnsi" w:eastAsiaTheme="minorEastAsia" w:hAnsiTheme="minorHAnsi" w:cstheme="minorHAnsi"/>
        </w:rPr>
        <w:t>mental and</w:t>
      </w:r>
      <w:r w:rsidR="003C3F55">
        <w:rPr>
          <w:rFonts w:asciiTheme="minorHAnsi" w:eastAsiaTheme="minorEastAsia" w:hAnsiTheme="minorHAnsi" w:cstheme="minorHAnsi"/>
        </w:rPr>
        <w:t xml:space="preserve"> </w:t>
      </w:r>
      <w:r w:rsidR="003C3F55" w:rsidRPr="003C3F55">
        <w:rPr>
          <w:rFonts w:asciiTheme="minorHAnsi" w:eastAsiaTheme="minorEastAsia" w:hAnsiTheme="minorHAnsi" w:cstheme="minorHAnsi"/>
        </w:rPr>
        <w:t>written methods</w:t>
      </w:r>
      <w:r w:rsidR="003C3F55">
        <w:rPr>
          <w:rFonts w:asciiTheme="minorHAnsi" w:eastAsiaTheme="minorEastAsia" w:hAnsiTheme="minorHAnsi" w:cstheme="minorHAnsi"/>
        </w:rPr>
        <w:t xml:space="preserve">’ within the using number skills strand. </w:t>
      </w:r>
    </w:p>
    <w:p w14:paraId="0E8DC202" w14:textId="6F58921A" w:rsidR="004A65FF" w:rsidRDefault="004A65FF" w:rsidP="00DE6355">
      <w:pPr>
        <w:spacing w:line="360" w:lineRule="auto"/>
        <w:rPr>
          <w:rFonts w:asciiTheme="minorHAnsi" w:eastAsiaTheme="minorEastAsia" w:hAnsiTheme="minorHAnsi" w:cstheme="minorHAnsi"/>
        </w:rPr>
      </w:pPr>
    </w:p>
    <w:p w14:paraId="33E9E54F" w14:textId="72D6BC06" w:rsidR="004A65FF" w:rsidRDefault="004A65FF"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The fourth activity is based upon Matilda and involves the skill of collecting data in order to answer the questions. Attached to the work sheet there are a range of coloured books. This is where the learner will </w:t>
      </w:r>
      <w:r w:rsidR="00131401">
        <w:rPr>
          <w:rFonts w:asciiTheme="minorHAnsi" w:eastAsiaTheme="minorEastAsia" w:hAnsiTheme="minorHAnsi" w:cstheme="minorHAnsi"/>
        </w:rPr>
        <w:t xml:space="preserve">extract all of their data. Using the completed tally chart, the learner can answer the questions. This </w:t>
      </w:r>
      <w:r w:rsidR="00331612">
        <w:rPr>
          <w:rFonts w:asciiTheme="minorHAnsi" w:eastAsiaTheme="minorEastAsia" w:hAnsiTheme="minorHAnsi" w:cstheme="minorHAnsi"/>
        </w:rPr>
        <w:t>coincides</w:t>
      </w:r>
      <w:r w:rsidR="00131401">
        <w:rPr>
          <w:rFonts w:asciiTheme="minorHAnsi" w:eastAsiaTheme="minorEastAsia" w:hAnsiTheme="minorHAnsi" w:cstheme="minorHAnsi"/>
        </w:rPr>
        <w:t xml:space="preserve"> with the ‘c</w:t>
      </w:r>
      <w:r w:rsidR="00131401" w:rsidRPr="00131401">
        <w:rPr>
          <w:rFonts w:asciiTheme="minorHAnsi" w:eastAsiaTheme="minorEastAsia" w:hAnsiTheme="minorHAnsi" w:cstheme="minorHAnsi"/>
        </w:rPr>
        <w:t>ollect and</w:t>
      </w:r>
      <w:r w:rsidR="00131401">
        <w:rPr>
          <w:rFonts w:asciiTheme="minorHAnsi" w:eastAsiaTheme="minorEastAsia" w:hAnsiTheme="minorHAnsi" w:cstheme="minorHAnsi"/>
        </w:rPr>
        <w:t xml:space="preserve"> </w:t>
      </w:r>
      <w:r w:rsidR="00131401" w:rsidRPr="00131401">
        <w:rPr>
          <w:rFonts w:asciiTheme="minorHAnsi" w:eastAsiaTheme="minorEastAsia" w:hAnsiTheme="minorHAnsi" w:cstheme="minorHAnsi"/>
        </w:rPr>
        <w:t>record data</w:t>
      </w:r>
      <w:r w:rsidR="00131401">
        <w:rPr>
          <w:rFonts w:asciiTheme="minorHAnsi" w:eastAsiaTheme="minorEastAsia" w:hAnsiTheme="minorHAnsi" w:cstheme="minorHAnsi"/>
        </w:rPr>
        <w:t>, p</w:t>
      </w:r>
      <w:r w:rsidR="00131401" w:rsidRPr="00131401">
        <w:rPr>
          <w:rFonts w:asciiTheme="minorHAnsi" w:eastAsiaTheme="minorEastAsia" w:hAnsiTheme="minorHAnsi" w:cstheme="minorHAnsi"/>
        </w:rPr>
        <w:t>resent and</w:t>
      </w:r>
      <w:r w:rsidR="00131401">
        <w:rPr>
          <w:rFonts w:asciiTheme="minorHAnsi" w:eastAsiaTheme="minorEastAsia" w:hAnsiTheme="minorHAnsi" w:cstheme="minorHAnsi"/>
        </w:rPr>
        <w:t xml:space="preserve"> </w:t>
      </w:r>
      <w:r w:rsidR="00131401" w:rsidRPr="00131401">
        <w:rPr>
          <w:rFonts w:asciiTheme="minorHAnsi" w:eastAsiaTheme="minorEastAsia" w:hAnsiTheme="minorHAnsi" w:cstheme="minorHAnsi"/>
        </w:rPr>
        <w:t>analyse data</w:t>
      </w:r>
      <w:r w:rsidR="00131401">
        <w:rPr>
          <w:rFonts w:asciiTheme="minorHAnsi" w:eastAsiaTheme="minorEastAsia" w:hAnsiTheme="minorHAnsi" w:cstheme="minorHAnsi"/>
        </w:rPr>
        <w:t xml:space="preserve"> and i</w:t>
      </w:r>
      <w:r w:rsidR="00131401" w:rsidRPr="00131401">
        <w:rPr>
          <w:rFonts w:asciiTheme="minorHAnsi" w:eastAsiaTheme="minorEastAsia" w:hAnsiTheme="minorHAnsi" w:cstheme="minorHAnsi"/>
        </w:rPr>
        <w:t>nterpret results</w:t>
      </w:r>
      <w:r w:rsidR="00131401">
        <w:rPr>
          <w:rFonts w:asciiTheme="minorHAnsi" w:eastAsiaTheme="minorEastAsia" w:hAnsiTheme="minorHAnsi" w:cstheme="minorHAnsi"/>
        </w:rPr>
        <w:t xml:space="preserve">’ element within the using data skills strand of the LNF (2013). </w:t>
      </w:r>
    </w:p>
    <w:p w14:paraId="52A6C4E1" w14:textId="62DBCA25" w:rsidR="00331612" w:rsidRDefault="00331612" w:rsidP="00DE6355">
      <w:pPr>
        <w:spacing w:line="360" w:lineRule="auto"/>
        <w:rPr>
          <w:rFonts w:asciiTheme="minorHAnsi" w:eastAsiaTheme="minorEastAsia" w:hAnsiTheme="minorHAnsi" w:cstheme="minorHAnsi"/>
        </w:rPr>
      </w:pPr>
    </w:p>
    <w:p w14:paraId="5AFFFEA5" w14:textId="2F731487" w:rsidR="00D56273" w:rsidRPr="00D56273" w:rsidRDefault="00331612"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 xml:space="preserve">The final task is based upon George’s Marvellous Medicine where the children have George’s recipe and are asked to work out how much it would cost to buy all of the ingredients from two different supermarkets. A box is provided where they can calculate the cost of the products. When they have worked this out, they are then asked to find out which one is cheaper and how much money they are saving. This again will ensure they can take a worded question and adapt it into a numeric equation. </w:t>
      </w:r>
      <w:r w:rsidR="00D56273">
        <w:rPr>
          <w:rFonts w:asciiTheme="minorHAnsi" w:eastAsiaTheme="minorEastAsia" w:hAnsiTheme="minorHAnsi" w:cstheme="minorHAnsi"/>
        </w:rPr>
        <w:t>This underpins a few of the elements within the using number skills strand like ‘managing money’, ‘using number facts’ and ‘c</w:t>
      </w:r>
      <w:r w:rsidR="00D56273" w:rsidRPr="00D56273">
        <w:rPr>
          <w:rFonts w:asciiTheme="minorHAnsi" w:eastAsiaTheme="minorEastAsia" w:hAnsiTheme="minorHAnsi" w:cstheme="minorHAnsi"/>
        </w:rPr>
        <w:t>alculat</w:t>
      </w:r>
      <w:r w:rsidR="00D56273">
        <w:rPr>
          <w:rFonts w:asciiTheme="minorHAnsi" w:eastAsiaTheme="minorEastAsia" w:hAnsiTheme="minorHAnsi" w:cstheme="minorHAnsi"/>
        </w:rPr>
        <w:t>e</w:t>
      </w:r>
      <w:r w:rsidR="00D56273" w:rsidRPr="00D56273">
        <w:rPr>
          <w:rFonts w:asciiTheme="minorHAnsi" w:eastAsiaTheme="minorEastAsia" w:hAnsiTheme="minorHAnsi" w:cstheme="minorHAnsi"/>
        </w:rPr>
        <w:t xml:space="preserve"> using</w:t>
      </w:r>
    </w:p>
    <w:p w14:paraId="1C96E532" w14:textId="2D33618A" w:rsidR="00892412" w:rsidRDefault="00D56273" w:rsidP="00DE6355">
      <w:pPr>
        <w:spacing w:line="360" w:lineRule="auto"/>
        <w:rPr>
          <w:rFonts w:asciiTheme="minorHAnsi" w:eastAsiaTheme="minorEastAsia" w:hAnsiTheme="minorHAnsi" w:cstheme="minorHAnsi"/>
        </w:rPr>
      </w:pPr>
      <w:r w:rsidRPr="00D56273">
        <w:rPr>
          <w:rFonts w:asciiTheme="minorHAnsi" w:eastAsiaTheme="minorEastAsia" w:hAnsiTheme="minorHAnsi" w:cstheme="minorHAnsi"/>
        </w:rPr>
        <w:t>mental and</w:t>
      </w:r>
      <w:r>
        <w:rPr>
          <w:rFonts w:asciiTheme="minorHAnsi" w:eastAsiaTheme="minorEastAsia" w:hAnsiTheme="minorHAnsi" w:cstheme="minorHAnsi"/>
        </w:rPr>
        <w:t xml:space="preserve"> </w:t>
      </w:r>
      <w:r w:rsidRPr="00D56273">
        <w:rPr>
          <w:rFonts w:asciiTheme="minorHAnsi" w:eastAsiaTheme="minorEastAsia" w:hAnsiTheme="minorHAnsi" w:cstheme="minorHAnsi"/>
        </w:rPr>
        <w:t>written methods</w:t>
      </w:r>
      <w:r>
        <w:rPr>
          <w:rFonts w:asciiTheme="minorHAnsi" w:eastAsiaTheme="minorEastAsia" w:hAnsiTheme="minorHAnsi" w:cstheme="minorHAnsi"/>
        </w:rPr>
        <w:t xml:space="preserve">.’ </w:t>
      </w:r>
    </w:p>
    <w:p w14:paraId="2731BEE8" w14:textId="3A75809B" w:rsidR="00EA47EE" w:rsidRDefault="00EA47EE" w:rsidP="00DE6355">
      <w:pPr>
        <w:spacing w:line="360" w:lineRule="auto"/>
        <w:rPr>
          <w:rFonts w:asciiTheme="minorHAnsi" w:eastAsiaTheme="minorEastAsia" w:hAnsiTheme="minorHAnsi" w:cstheme="minorHAnsi"/>
        </w:rPr>
      </w:pPr>
    </w:p>
    <w:p w14:paraId="48D3883C" w14:textId="01DFB9C6" w:rsidR="00EA47EE" w:rsidRDefault="007A1ED8" w:rsidP="00DE6355">
      <w:pPr>
        <w:spacing w:line="360" w:lineRule="auto"/>
        <w:rPr>
          <w:rFonts w:asciiTheme="minorHAnsi" w:eastAsiaTheme="minorEastAsia" w:hAnsiTheme="minorHAnsi" w:cstheme="minorHAnsi"/>
        </w:rPr>
      </w:pPr>
      <w:r>
        <w:rPr>
          <w:rFonts w:asciiTheme="minorHAnsi" w:eastAsiaTheme="minorEastAsia" w:hAnsiTheme="minorHAnsi" w:cstheme="minorHAnsi"/>
        </w:rPr>
        <w:t>Throughout</w:t>
      </w:r>
      <w:r w:rsidR="00EA47EE">
        <w:rPr>
          <w:rFonts w:asciiTheme="minorHAnsi" w:eastAsiaTheme="minorEastAsia" w:hAnsiTheme="minorHAnsi" w:cstheme="minorHAnsi"/>
        </w:rPr>
        <w:t xml:space="preserve"> this resource pack, there are a range of different approaches </w:t>
      </w:r>
      <w:r w:rsidR="00780221">
        <w:rPr>
          <w:rFonts w:asciiTheme="minorHAnsi" w:eastAsiaTheme="minorEastAsia" w:hAnsiTheme="minorHAnsi" w:cstheme="minorHAnsi"/>
        </w:rPr>
        <w:t xml:space="preserve">where </w:t>
      </w:r>
      <w:r w:rsidR="00EA47EE">
        <w:rPr>
          <w:rFonts w:asciiTheme="minorHAnsi" w:eastAsiaTheme="minorEastAsia" w:hAnsiTheme="minorHAnsi" w:cstheme="minorHAnsi"/>
        </w:rPr>
        <w:t>children wi</w:t>
      </w:r>
      <w:r>
        <w:rPr>
          <w:rFonts w:asciiTheme="minorHAnsi" w:eastAsiaTheme="minorEastAsia" w:hAnsiTheme="minorHAnsi" w:cstheme="minorHAnsi"/>
        </w:rPr>
        <w:t xml:space="preserve">ll have the ability to practice in order to understand new concepts. Through their own research </w:t>
      </w:r>
      <w:r w:rsidRPr="00296B02">
        <w:rPr>
          <w:rFonts w:asciiTheme="minorHAnsi" w:eastAsiaTheme="minorEastAsia" w:hAnsiTheme="minorHAnsi" w:cstheme="minorHAnsi"/>
        </w:rPr>
        <w:t>Shabiralyani,</w:t>
      </w:r>
      <w:r>
        <w:rPr>
          <w:rFonts w:asciiTheme="minorHAnsi" w:eastAsiaTheme="minorEastAsia" w:hAnsiTheme="minorHAnsi" w:cstheme="minorHAnsi"/>
        </w:rPr>
        <w:t xml:space="preserve"> </w:t>
      </w:r>
      <w:r w:rsidRPr="00296B02">
        <w:rPr>
          <w:rFonts w:asciiTheme="minorHAnsi" w:eastAsiaTheme="minorEastAsia" w:hAnsiTheme="minorHAnsi" w:cstheme="minorHAnsi"/>
        </w:rPr>
        <w:t xml:space="preserve">Hasan, Hamad, </w:t>
      </w:r>
      <w:r>
        <w:rPr>
          <w:rFonts w:asciiTheme="minorHAnsi" w:eastAsiaTheme="minorEastAsia" w:hAnsiTheme="minorHAnsi" w:cstheme="minorHAnsi"/>
        </w:rPr>
        <w:t>and</w:t>
      </w:r>
      <w:r>
        <w:rPr>
          <w:rFonts w:asciiTheme="minorHAnsi" w:eastAsiaTheme="minorEastAsia" w:hAnsiTheme="minorHAnsi" w:cstheme="minorHAnsi"/>
        </w:rPr>
        <w:t xml:space="preserve"> </w:t>
      </w:r>
      <w:r w:rsidRPr="00296B02">
        <w:rPr>
          <w:rFonts w:asciiTheme="minorHAnsi" w:eastAsiaTheme="minorEastAsia" w:hAnsiTheme="minorHAnsi" w:cstheme="minorHAnsi"/>
        </w:rPr>
        <w:t>Nadeem</w:t>
      </w:r>
      <w:r>
        <w:rPr>
          <w:rFonts w:asciiTheme="minorHAnsi" w:eastAsiaTheme="minorEastAsia" w:hAnsiTheme="minorHAnsi" w:cstheme="minorHAnsi"/>
        </w:rPr>
        <w:t xml:space="preserve"> found that ‘p</w:t>
      </w:r>
      <w:r w:rsidRPr="007A1ED8">
        <w:rPr>
          <w:rFonts w:asciiTheme="minorHAnsi" w:eastAsiaTheme="minorEastAsia" w:hAnsiTheme="minorHAnsi" w:cstheme="minorHAnsi"/>
        </w:rPr>
        <w:t>roper use of visual aids helps to retain more concept</w:t>
      </w:r>
      <w:r>
        <w:rPr>
          <w:rFonts w:asciiTheme="minorHAnsi" w:eastAsiaTheme="minorEastAsia" w:hAnsiTheme="minorHAnsi" w:cstheme="minorHAnsi"/>
        </w:rPr>
        <w:t xml:space="preserve"> </w:t>
      </w:r>
      <w:r w:rsidRPr="007A1ED8">
        <w:rPr>
          <w:rFonts w:asciiTheme="minorHAnsi" w:eastAsiaTheme="minorEastAsia" w:hAnsiTheme="minorHAnsi" w:cstheme="minorHAnsi"/>
        </w:rPr>
        <w:t>permanently</w:t>
      </w:r>
      <w:r>
        <w:rPr>
          <w:rFonts w:asciiTheme="minorHAnsi" w:eastAsiaTheme="minorEastAsia" w:hAnsiTheme="minorHAnsi" w:cstheme="minorHAnsi"/>
        </w:rPr>
        <w:t>’ (2015).</w:t>
      </w:r>
      <w:r w:rsidR="00C4377D">
        <w:rPr>
          <w:rFonts w:asciiTheme="minorHAnsi" w:eastAsiaTheme="minorEastAsia" w:hAnsiTheme="minorHAnsi" w:cstheme="minorHAnsi"/>
        </w:rPr>
        <w:t xml:space="preserve"> This is also supported by </w:t>
      </w:r>
      <w:r w:rsidR="00C4377D" w:rsidRPr="00C4377D">
        <w:rPr>
          <w:rFonts w:asciiTheme="minorHAnsi" w:eastAsiaTheme="minorEastAsia" w:hAnsiTheme="minorHAnsi" w:cstheme="minorHAnsi"/>
        </w:rPr>
        <w:t>Vygotsky’s</w:t>
      </w:r>
      <w:r w:rsidR="00C4377D">
        <w:rPr>
          <w:rFonts w:asciiTheme="minorHAnsi" w:eastAsiaTheme="minorEastAsia" w:hAnsiTheme="minorHAnsi" w:cstheme="minorHAnsi"/>
        </w:rPr>
        <w:t xml:space="preserve"> (1962)</w:t>
      </w:r>
      <w:r w:rsidR="00C4377D" w:rsidRPr="00C4377D">
        <w:rPr>
          <w:rFonts w:asciiTheme="minorHAnsi" w:eastAsiaTheme="minorEastAsia" w:hAnsiTheme="minorHAnsi" w:cstheme="minorHAnsi"/>
        </w:rPr>
        <w:t xml:space="preserve"> </w:t>
      </w:r>
      <w:r w:rsidR="00853F9C">
        <w:rPr>
          <w:rFonts w:asciiTheme="minorHAnsi" w:eastAsiaTheme="minorEastAsia" w:hAnsiTheme="minorHAnsi" w:cstheme="minorHAnsi"/>
        </w:rPr>
        <w:t>s</w:t>
      </w:r>
      <w:r w:rsidR="00853F9C" w:rsidRPr="00853F9C">
        <w:rPr>
          <w:rFonts w:asciiTheme="minorHAnsi" w:eastAsiaTheme="minorEastAsia" w:hAnsiTheme="minorHAnsi" w:cstheme="minorHAnsi"/>
        </w:rPr>
        <w:t xml:space="preserve">ociocultural </w:t>
      </w:r>
      <w:r w:rsidR="00853F9C">
        <w:rPr>
          <w:rFonts w:asciiTheme="minorHAnsi" w:eastAsiaTheme="minorEastAsia" w:hAnsiTheme="minorHAnsi" w:cstheme="minorHAnsi"/>
        </w:rPr>
        <w:t>t</w:t>
      </w:r>
      <w:r w:rsidR="00853F9C" w:rsidRPr="00853F9C">
        <w:rPr>
          <w:rFonts w:asciiTheme="minorHAnsi" w:eastAsiaTheme="minorEastAsia" w:hAnsiTheme="minorHAnsi" w:cstheme="minorHAnsi"/>
        </w:rPr>
        <w:t xml:space="preserve">heory of </w:t>
      </w:r>
      <w:r w:rsidR="00853F9C">
        <w:rPr>
          <w:rFonts w:asciiTheme="minorHAnsi" w:eastAsiaTheme="minorEastAsia" w:hAnsiTheme="minorHAnsi" w:cstheme="minorHAnsi"/>
        </w:rPr>
        <w:t>c</w:t>
      </w:r>
      <w:r w:rsidR="00853F9C" w:rsidRPr="00853F9C">
        <w:rPr>
          <w:rFonts w:asciiTheme="minorHAnsi" w:eastAsiaTheme="minorEastAsia" w:hAnsiTheme="minorHAnsi" w:cstheme="minorHAnsi"/>
        </w:rPr>
        <w:t xml:space="preserve">ognitive </w:t>
      </w:r>
      <w:r w:rsidR="00853F9C">
        <w:rPr>
          <w:rFonts w:asciiTheme="minorHAnsi" w:eastAsiaTheme="minorEastAsia" w:hAnsiTheme="minorHAnsi" w:cstheme="minorHAnsi"/>
        </w:rPr>
        <w:t>d</w:t>
      </w:r>
      <w:r w:rsidR="00853F9C" w:rsidRPr="00853F9C">
        <w:rPr>
          <w:rFonts w:asciiTheme="minorHAnsi" w:eastAsiaTheme="minorEastAsia" w:hAnsiTheme="minorHAnsi" w:cstheme="minorHAnsi"/>
        </w:rPr>
        <w:t>evelopment</w:t>
      </w:r>
      <w:r w:rsidR="00853F9C">
        <w:rPr>
          <w:rFonts w:asciiTheme="minorHAnsi" w:eastAsiaTheme="minorEastAsia" w:hAnsiTheme="minorHAnsi" w:cstheme="minorHAnsi"/>
        </w:rPr>
        <w:t xml:space="preserve">. </w:t>
      </w:r>
      <w:r w:rsidR="00C4377D">
        <w:rPr>
          <w:rFonts w:asciiTheme="minorHAnsi" w:eastAsiaTheme="minorEastAsia" w:hAnsiTheme="minorHAnsi" w:cstheme="minorHAnsi"/>
        </w:rPr>
        <w:t>I</w:t>
      </w:r>
      <w:r w:rsidR="00C4377D" w:rsidRPr="00C4377D">
        <w:rPr>
          <w:rFonts w:asciiTheme="minorHAnsi" w:eastAsiaTheme="minorEastAsia" w:hAnsiTheme="minorHAnsi" w:cstheme="minorHAnsi"/>
        </w:rPr>
        <w:t>t is a theory which encourages and promotes contextual learning, led by the child as an active learner</w:t>
      </w:r>
      <w:r w:rsidR="00C4377D">
        <w:rPr>
          <w:rFonts w:asciiTheme="minorHAnsi" w:eastAsiaTheme="minorEastAsia" w:hAnsiTheme="minorHAnsi" w:cstheme="minorHAnsi"/>
        </w:rPr>
        <w:t>’</w:t>
      </w:r>
      <w:r w:rsidR="00513893">
        <w:rPr>
          <w:rFonts w:asciiTheme="minorHAnsi" w:eastAsiaTheme="minorEastAsia" w:hAnsiTheme="minorHAnsi" w:cstheme="minorHAnsi"/>
        </w:rPr>
        <w:t xml:space="preserve"> (Thompson, 2018)</w:t>
      </w:r>
      <w:r w:rsidR="00C4377D">
        <w:rPr>
          <w:rFonts w:asciiTheme="minorHAnsi" w:eastAsiaTheme="minorEastAsia" w:hAnsiTheme="minorHAnsi" w:cstheme="minorHAnsi"/>
        </w:rPr>
        <w:t xml:space="preserve"> thus </w:t>
      </w:r>
      <w:r w:rsidR="00C4377D">
        <w:rPr>
          <w:rFonts w:asciiTheme="minorHAnsi" w:eastAsiaTheme="minorEastAsia" w:hAnsiTheme="minorHAnsi" w:cstheme="minorHAnsi"/>
        </w:rPr>
        <w:lastRenderedPageBreak/>
        <w:t xml:space="preserve">ensuring that if a child can use this pack to be able to </w:t>
      </w:r>
      <w:r w:rsidR="00513893">
        <w:rPr>
          <w:rFonts w:asciiTheme="minorHAnsi" w:eastAsiaTheme="minorEastAsia" w:hAnsiTheme="minorHAnsi" w:cstheme="minorHAnsi"/>
        </w:rPr>
        <w:t>understand the question from different angles,</w:t>
      </w:r>
      <w:r w:rsidR="00F7324C">
        <w:rPr>
          <w:rFonts w:asciiTheme="minorHAnsi" w:eastAsiaTheme="minorEastAsia" w:hAnsiTheme="minorHAnsi" w:cstheme="minorHAnsi"/>
        </w:rPr>
        <w:t xml:space="preserve"> this</w:t>
      </w:r>
      <w:r w:rsidR="00513893">
        <w:rPr>
          <w:rFonts w:asciiTheme="minorHAnsi" w:eastAsiaTheme="minorEastAsia" w:hAnsiTheme="minorHAnsi" w:cstheme="minorHAnsi"/>
        </w:rPr>
        <w:t xml:space="preserve"> will lead </w:t>
      </w:r>
      <w:r w:rsidR="00F7324C">
        <w:rPr>
          <w:rFonts w:asciiTheme="minorHAnsi" w:eastAsiaTheme="minorEastAsia" w:hAnsiTheme="minorHAnsi" w:cstheme="minorHAnsi"/>
        </w:rPr>
        <w:t xml:space="preserve">them on the path </w:t>
      </w:r>
      <w:r w:rsidR="00513893">
        <w:rPr>
          <w:rFonts w:asciiTheme="minorHAnsi" w:eastAsiaTheme="minorEastAsia" w:hAnsiTheme="minorHAnsi" w:cstheme="minorHAnsi"/>
        </w:rPr>
        <w:t>to reaching the z</w:t>
      </w:r>
      <w:r w:rsidR="00513893" w:rsidRPr="00513893">
        <w:rPr>
          <w:rFonts w:asciiTheme="minorHAnsi" w:eastAsiaTheme="minorEastAsia" w:hAnsiTheme="minorHAnsi" w:cstheme="minorHAnsi"/>
        </w:rPr>
        <w:t xml:space="preserve">one of </w:t>
      </w:r>
      <w:r w:rsidR="00513893">
        <w:rPr>
          <w:rFonts w:asciiTheme="minorHAnsi" w:eastAsiaTheme="minorEastAsia" w:hAnsiTheme="minorHAnsi" w:cstheme="minorHAnsi"/>
        </w:rPr>
        <w:t>p</w:t>
      </w:r>
      <w:r w:rsidR="00513893" w:rsidRPr="00513893">
        <w:rPr>
          <w:rFonts w:asciiTheme="minorHAnsi" w:eastAsiaTheme="minorEastAsia" w:hAnsiTheme="minorHAnsi" w:cstheme="minorHAnsi"/>
        </w:rPr>
        <w:t xml:space="preserve">roximal </w:t>
      </w:r>
      <w:r w:rsidR="00513893">
        <w:rPr>
          <w:rFonts w:asciiTheme="minorHAnsi" w:eastAsiaTheme="minorEastAsia" w:hAnsiTheme="minorHAnsi" w:cstheme="minorHAnsi"/>
        </w:rPr>
        <w:t>d</w:t>
      </w:r>
      <w:r w:rsidR="00513893" w:rsidRPr="00513893">
        <w:rPr>
          <w:rFonts w:asciiTheme="minorHAnsi" w:eastAsiaTheme="minorEastAsia" w:hAnsiTheme="minorHAnsi" w:cstheme="minorHAnsi"/>
        </w:rPr>
        <w:t>evelopment (ZPD)</w:t>
      </w:r>
      <w:r w:rsidR="00513893">
        <w:rPr>
          <w:rFonts w:asciiTheme="minorHAnsi" w:eastAsiaTheme="minorEastAsia" w:hAnsiTheme="minorHAnsi" w:cstheme="minorHAnsi"/>
        </w:rPr>
        <w:t xml:space="preserve">. </w:t>
      </w:r>
      <w:r w:rsidR="008F0D17">
        <w:rPr>
          <w:rFonts w:asciiTheme="minorHAnsi" w:eastAsiaTheme="minorEastAsia" w:hAnsiTheme="minorHAnsi" w:cstheme="minorHAnsi"/>
        </w:rPr>
        <w:t xml:space="preserve">This pack can be adapted to best fit any year group. For example, for activity </w:t>
      </w:r>
      <w:r w:rsidR="00F14D66">
        <w:rPr>
          <w:rFonts w:asciiTheme="minorHAnsi" w:eastAsiaTheme="minorEastAsia" w:hAnsiTheme="minorHAnsi" w:cstheme="minorHAnsi"/>
        </w:rPr>
        <w:t xml:space="preserve">two, the equations could be made more difficult or for activity four, the children could convert the tally chart into a bar graph. </w:t>
      </w:r>
      <w:r w:rsidR="007E2BD4">
        <w:rPr>
          <w:rFonts w:asciiTheme="minorHAnsi" w:eastAsiaTheme="minorEastAsia" w:hAnsiTheme="minorHAnsi" w:cstheme="minorHAnsi"/>
        </w:rPr>
        <w:t xml:space="preserve">By using the Roald Dahl books as the theme for this, it provides a meaningful context for the learner to work with. </w:t>
      </w:r>
    </w:p>
    <w:p w14:paraId="3302DABC" w14:textId="0F8E2901" w:rsidR="00780221" w:rsidRDefault="00780221" w:rsidP="007A1ED8">
      <w:pPr>
        <w:rPr>
          <w:rFonts w:asciiTheme="minorHAnsi" w:eastAsiaTheme="minorEastAsia" w:hAnsiTheme="minorHAnsi" w:cstheme="minorHAnsi"/>
        </w:rPr>
      </w:pPr>
    </w:p>
    <w:p w14:paraId="51E1C03D" w14:textId="7453B994" w:rsidR="004A4E43" w:rsidRPr="009D5D7B" w:rsidRDefault="004A4E43" w:rsidP="00EA2012">
      <w:pPr>
        <w:textAlignment w:val="baseline"/>
        <w:rPr>
          <w:rFonts w:asciiTheme="minorHAnsi" w:eastAsiaTheme="minorEastAsia" w:hAnsiTheme="minorHAnsi" w:cstheme="minorHAnsi"/>
        </w:rPr>
      </w:pPr>
      <w:r w:rsidRPr="004A4E43">
        <w:rPr>
          <w:rFonts w:asciiTheme="minorHAnsi" w:eastAsiaTheme="minorEastAsia" w:hAnsiTheme="minorHAnsi" w:cstheme="minorHAnsi"/>
          <w:u w:val="single"/>
        </w:rPr>
        <w:t>Reference list</w:t>
      </w:r>
    </w:p>
    <w:p w14:paraId="70EE1783" w14:textId="77777777" w:rsidR="00780221" w:rsidRDefault="00780221" w:rsidP="004A4E43">
      <w:pPr>
        <w:textAlignment w:val="baseline"/>
        <w:rPr>
          <w:rFonts w:asciiTheme="minorHAnsi" w:eastAsiaTheme="minorEastAsia" w:hAnsiTheme="minorHAnsi" w:cstheme="minorHAnsi"/>
          <w:u w:val="single"/>
        </w:rPr>
      </w:pPr>
    </w:p>
    <w:p w14:paraId="4E287948" w14:textId="7476141A" w:rsidR="00780221" w:rsidRDefault="00780221" w:rsidP="004A4E43">
      <w:pPr>
        <w:textAlignment w:val="baseline"/>
        <w:rPr>
          <w:rFonts w:asciiTheme="minorHAnsi" w:eastAsiaTheme="minorEastAsia" w:hAnsiTheme="minorHAnsi" w:cstheme="minorHAnsi"/>
        </w:rPr>
      </w:pPr>
      <w:r>
        <w:rPr>
          <w:rFonts w:asciiTheme="minorHAnsi" w:eastAsiaTheme="minorEastAsia" w:hAnsiTheme="minorHAnsi" w:cstheme="minorHAnsi"/>
        </w:rPr>
        <w:t xml:space="preserve">Mead, S. (2019) </w:t>
      </w:r>
      <w:r w:rsidRPr="004A4E43">
        <w:rPr>
          <w:rFonts w:asciiTheme="minorHAnsi" w:eastAsiaTheme="minorEastAsia" w:hAnsiTheme="minorHAnsi" w:cstheme="minorHAnsi"/>
          <w:i/>
        </w:rPr>
        <w:t>The Theory of Multiple Intelligences</w:t>
      </w:r>
      <w:r>
        <w:rPr>
          <w:rFonts w:asciiTheme="minorHAnsi" w:eastAsiaTheme="minorEastAsia" w:hAnsiTheme="minorHAnsi" w:cstheme="minorHAnsi"/>
          <w:i/>
        </w:rPr>
        <w:t xml:space="preserve">. </w:t>
      </w:r>
      <w:r>
        <w:rPr>
          <w:rFonts w:asciiTheme="minorHAnsi" w:eastAsiaTheme="minorEastAsia" w:hAnsiTheme="minorHAnsi" w:cstheme="minorHAnsi"/>
        </w:rPr>
        <w:t xml:space="preserve">Available at: </w:t>
      </w:r>
      <w:hyperlink r:id="rId5" w:history="1">
        <w:r w:rsidRPr="00C07657">
          <w:rPr>
            <w:rStyle w:val="Hyperlink"/>
            <w:rFonts w:asciiTheme="minorHAnsi" w:eastAsiaTheme="minorEastAsia" w:hAnsiTheme="minorHAnsi" w:cstheme="minorHAnsi"/>
          </w:rPr>
          <w:t>https://www.whitbyschool.org/passionforlearning/auditory-visual-and-kinesthetic-helping-children-succeed-through-different-learning-styles</w:t>
        </w:r>
      </w:hyperlink>
      <w:r>
        <w:rPr>
          <w:rFonts w:asciiTheme="minorHAnsi" w:eastAsiaTheme="minorEastAsia" w:hAnsiTheme="minorHAnsi" w:cstheme="minorHAnsi"/>
        </w:rPr>
        <w:t xml:space="preserve"> (Accessed 20 March 2019). </w:t>
      </w:r>
    </w:p>
    <w:p w14:paraId="67DF949D" w14:textId="77777777" w:rsidR="00780221" w:rsidRDefault="00780221" w:rsidP="00296B02">
      <w:pPr>
        <w:textAlignment w:val="baseline"/>
        <w:rPr>
          <w:rFonts w:asciiTheme="minorHAnsi" w:eastAsiaTheme="minorEastAsia" w:hAnsiTheme="minorHAnsi" w:cstheme="minorHAnsi"/>
        </w:rPr>
      </w:pPr>
    </w:p>
    <w:p w14:paraId="01C1A01E" w14:textId="7908F658" w:rsidR="00780221" w:rsidRDefault="00780221" w:rsidP="00296B02">
      <w:pPr>
        <w:textAlignment w:val="baseline"/>
        <w:rPr>
          <w:rFonts w:asciiTheme="minorHAnsi" w:eastAsiaTheme="minorEastAsia" w:hAnsiTheme="minorHAnsi" w:cstheme="minorHAnsi"/>
        </w:rPr>
      </w:pPr>
      <w:r w:rsidRPr="00296B02">
        <w:rPr>
          <w:rFonts w:asciiTheme="minorHAnsi" w:eastAsiaTheme="minorEastAsia" w:hAnsiTheme="minorHAnsi" w:cstheme="minorHAnsi"/>
        </w:rPr>
        <w:t>Shabiralyani, G</w:t>
      </w:r>
      <w:r>
        <w:rPr>
          <w:rFonts w:asciiTheme="minorHAnsi" w:eastAsiaTheme="minorEastAsia" w:hAnsiTheme="minorHAnsi" w:cstheme="minorHAnsi"/>
        </w:rPr>
        <w:t xml:space="preserve">., </w:t>
      </w:r>
      <w:r w:rsidRPr="00296B02">
        <w:rPr>
          <w:rFonts w:asciiTheme="minorHAnsi" w:eastAsiaTheme="minorEastAsia" w:hAnsiTheme="minorHAnsi" w:cstheme="minorHAnsi"/>
        </w:rPr>
        <w:t xml:space="preserve">Hasan, </w:t>
      </w:r>
      <w:r>
        <w:rPr>
          <w:rFonts w:asciiTheme="minorHAnsi" w:eastAsiaTheme="minorEastAsia" w:hAnsiTheme="minorHAnsi" w:cstheme="minorHAnsi"/>
        </w:rPr>
        <w:t xml:space="preserve">K S., </w:t>
      </w:r>
      <w:r w:rsidRPr="00296B02">
        <w:rPr>
          <w:rFonts w:asciiTheme="minorHAnsi" w:eastAsiaTheme="minorEastAsia" w:hAnsiTheme="minorHAnsi" w:cstheme="minorHAnsi"/>
        </w:rPr>
        <w:t xml:space="preserve">Hamad, </w:t>
      </w:r>
      <w:r>
        <w:rPr>
          <w:rFonts w:asciiTheme="minorHAnsi" w:eastAsiaTheme="minorEastAsia" w:hAnsiTheme="minorHAnsi" w:cstheme="minorHAnsi"/>
        </w:rPr>
        <w:t xml:space="preserve">N., &amp; </w:t>
      </w:r>
      <w:r w:rsidRPr="00296B02">
        <w:rPr>
          <w:rFonts w:asciiTheme="minorHAnsi" w:eastAsiaTheme="minorEastAsia" w:hAnsiTheme="minorHAnsi" w:cstheme="minorHAnsi"/>
        </w:rPr>
        <w:t>Nadeem</w:t>
      </w:r>
      <w:r>
        <w:rPr>
          <w:rFonts w:asciiTheme="minorHAnsi" w:eastAsiaTheme="minorEastAsia" w:hAnsiTheme="minorHAnsi" w:cstheme="minorHAnsi"/>
        </w:rPr>
        <w:t>, I. (2015)</w:t>
      </w:r>
      <w:r w:rsidRPr="00C94A18">
        <w:rPr>
          <w:rFonts w:asciiTheme="minorHAnsi" w:eastAsiaTheme="minorEastAsia" w:hAnsiTheme="minorHAnsi" w:cstheme="minorHAnsi"/>
          <w:i/>
        </w:rPr>
        <w:t xml:space="preserve"> </w:t>
      </w:r>
      <w:r w:rsidRPr="00C94A18">
        <w:rPr>
          <w:rFonts w:asciiTheme="minorHAnsi" w:eastAsiaTheme="minorEastAsia" w:hAnsiTheme="minorHAnsi" w:cstheme="minorHAnsi"/>
          <w:i/>
        </w:rPr>
        <w:t>Journal of Education and Practice</w:t>
      </w:r>
      <w:r w:rsidRPr="00296B02">
        <w:rPr>
          <w:rFonts w:asciiTheme="minorHAnsi" w:eastAsiaTheme="minorEastAsia" w:hAnsiTheme="minorHAnsi" w:cstheme="minorHAnsi"/>
        </w:rPr>
        <w:t xml:space="preserve">, </w:t>
      </w:r>
      <w:r>
        <w:rPr>
          <w:rFonts w:asciiTheme="minorHAnsi" w:eastAsiaTheme="minorEastAsia" w:hAnsiTheme="minorHAnsi" w:cstheme="minorHAnsi"/>
        </w:rPr>
        <w:t xml:space="preserve">Vol </w:t>
      </w:r>
      <w:r w:rsidRPr="00296B02">
        <w:rPr>
          <w:rFonts w:asciiTheme="minorHAnsi" w:eastAsiaTheme="minorEastAsia" w:hAnsiTheme="minorHAnsi" w:cstheme="minorHAnsi"/>
        </w:rPr>
        <w:t xml:space="preserve">6 n19 </w:t>
      </w:r>
      <w:r>
        <w:rPr>
          <w:rFonts w:asciiTheme="minorHAnsi" w:eastAsiaTheme="minorEastAsia" w:hAnsiTheme="minorHAnsi" w:cstheme="minorHAnsi"/>
        </w:rPr>
        <w:t>(</w:t>
      </w:r>
      <w:r w:rsidRPr="00296B02">
        <w:rPr>
          <w:rFonts w:asciiTheme="minorHAnsi" w:eastAsiaTheme="minorEastAsia" w:hAnsiTheme="minorHAnsi" w:cstheme="minorHAnsi"/>
        </w:rPr>
        <w:t>p226-233</w:t>
      </w:r>
      <w:r>
        <w:rPr>
          <w:rFonts w:asciiTheme="minorHAnsi" w:eastAsiaTheme="minorEastAsia" w:hAnsiTheme="minorHAnsi" w:cstheme="minorHAnsi"/>
        </w:rPr>
        <w:t xml:space="preserve">). </w:t>
      </w:r>
      <w:r w:rsidRPr="00296B02">
        <w:rPr>
          <w:rFonts w:asciiTheme="minorHAnsi" w:eastAsiaTheme="minorEastAsia" w:hAnsiTheme="minorHAnsi" w:cstheme="minorHAnsi"/>
        </w:rPr>
        <w:t xml:space="preserve"> </w:t>
      </w:r>
    </w:p>
    <w:p w14:paraId="6AD01BE3" w14:textId="77777777" w:rsidR="00780221" w:rsidRDefault="00780221" w:rsidP="004A4E43">
      <w:pPr>
        <w:textAlignment w:val="baseline"/>
        <w:rPr>
          <w:rFonts w:asciiTheme="minorHAnsi" w:eastAsiaTheme="minorEastAsia" w:hAnsiTheme="minorHAnsi" w:cstheme="minorHAnsi"/>
        </w:rPr>
      </w:pPr>
    </w:p>
    <w:p w14:paraId="7C285405" w14:textId="0755349D" w:rsidR="00780221" w:rsidRPr="00D02E4C" w:rsidRDefault="00780221" w:rsidP="004A4E43">
      <w:pPr>
        <w:textAlignment w:val="baseline"/>
        <w:rPr>
          <w:rFonts w:asciiTheme="minorHAnsi" w:eastAsiaTheme="minorEastAsia" w:hAnsiTheme="minorHAnsi" w:cstheme="minorHAnsi"/>
        </w:rPr>
      </w:pPr>
      <w:r>
        <w:rPr>
          <w:rFonts w:asciiTheme="minorHAnsi" w:eastAsiaTheme="minorEastAsia" w:hAnsiTheme="minorHAnsi" w:cstheme="minorHAnsi"/>
        </w:rPr>
        <w:t xml:space="preserve">The BBC. (2017) </w:t>
      </w:r>
      <w:r w:rsidRPr="00D02E4C">
        <w:rPr>
          <w:rFonts w:asciiTheme="minorHAnsi" w:eastAsiaTheme="minorEastAsia" w:hAnsiTheme="minorHAnsi" w:cstheme="minorHAnsi"/>
          <w:i/>
        </w:rPr>
        <w:t>New Wales Donaldson curriculum facing 'challenges'</w:t>
      </w:r>
      <w:r>
        <w:rPr>
          <w:rFonts w:asciiTheme="minorHAnsi" w:eastAsiaTheme="minorEastAsia" w:hAnsiTheme="minorHAnsi" w:cstheme="minorHAnsi"/>
          <w:i/>
        </w:rPr>
        <w:t>.</w:t>
      </w:r>
      <w:r>
        <w:rPr>
          <w:rFonts w:asciiTheme="minorHAnsi" w:eastAsiaTheme="minorEastAsia" w:hAnsiTheme="minorHAnsi" w:cstheme="minorHAnsi"/>
        </w:rPr>
        <w:t xml:space="preserve"> Available at: </w:t>
      </w:r>
      <w:hyperlink r:id="rId6" w:history="1">
        <w:r w:rsidRPr="00C07657">
          <w:rPr>
            <w:rStyle w:val="Hyperlink"/>
            <w:rFonts w:asciiTheme="minorHAnsi" w:eastAsiaTheme="minorEastAsia" w:hAnsiTheme="minorHAnsi" w:cstheme="minorHAnsi"/>
          </w:rPr>
          <w:t>https://www.bbc.co.uk/news/uk-wales-38855531</w:t>
        </w:r>
      </w:hyperlink>
      <w:r>
        <w:rPr>
          <w:rFonts w:asciiTheme="minorHAnsi" w:eastAsiaTheme="minorEastAsia" w:hAnsiTheme="minorHAnsi" w:cstheme="minorHAnsi"/>
        </w:rPr>
        <w:t xml:space="preserve"> (Accessed 20 March 2019).</w:t>
      </w:r>
    </w:p>
    <w:p w14:paraId="175DA3FF" w14:textId="77777777" w:rsidR="00EA2DFB" w:rsidRDefault="00EA2DFB" w:rsidP="00EA2012">
      <w:pPr>
        <w:textAlignment w:val="baseline"/>
        <w:rPr>
          <w:rFonts w:asciiTheme="minorHAnsi" w:eastAsiaTheme="minorEastAsia" w:hAnsiTheme="minorHAnsi" w:cstheme="minorHAnsi"/>
        </w:rPr>
      </w:pPr>
    </w:p>
    <w:p w14:paraId="322C3BB5" w14:textId="2BE8A70F" w:rsidR="00780221" w:rsidRDefault="00780221" w:rsidP="00EA2012">
      <w:pPr>
        <w:textAlignment w:val="baseline"/>
        <w:rPr>
          <w:rFonts w:asciiTheme="minorHAnsi" w:eastAsiaTheme="minorEastAsia" w:hAnsiTheme="minorHAnsi" w:cstheme="minorHAnsi"/>
        </w:rPr>
      </w:pPr>
      <w:r>
        <w:rPr>
          <w:rFonts w:asciiTheme="minorHAnsi" w:eastAsiaTheme="minorEastAsia" w:hAnsiTheme="minorHAnsi" w:cstheme="minorHAnsi"/>
        </w:rPr>
        <w:t xml:space="preserve">The Guardian. (2014) </w:t>
      </w:r>
      <w:r w:rsidRPr="004A4E43">
        <w:rPr>
          <w:rFonts w:asciiTheme="minorHAnsi" w:eastAsiaTheme="minorEastAsia" w:hAnsiTheme="minorHAnsi" w:cstheme="minorHAnsi"/>
          <w:i/>
        </w:rPr>
        <w:t>How to teach … mental arithmetic</w:t>
      </w:r>
      <w:r>
        <w:rPr>
          <w:rFonts w:asciiTheme="minorHAnsi" w:eastAsiaTheme="minorEastAsia" w:hAnsiTheme="minorHAnsi" w:cstheme="minorHAnsi"/>
          <w:i/>
        </w:rPr>
        <w:t xml:space="preserve">. </w:t>
      </w:r>
      <w:r>
        <w:rPr>
          <w:rFonts w:asciiTheme="minorHAnsi" w:eastAsiaTheme="minorEastAsia" w:hAnsiTheme="minorHAnsi" w:cstheme="minorHAnsi"/>
        </w:rPr>
        <w:t xml:space="preserve">Available at: </w:t>
      </w:r>
      <w:hyperlink r:id="rId7" w:history="1">
        <w:r w:rsidRPr="00C07657">
          <w:rPr>
            <w:rStyle w:val="Hyperlink"/>
            <w:rFonts w:asciiTheme="minorHAnsi" w:eastAsiaTheme="minorEastAsia" w:hAnsiTheme="minorHAnsi" w:cstheme="minorHAnsi"/>
          </w:rPr>
          <w:t>https://www.theguardian.com/teacher-network/tea</w:t>
        </w:r>
        <w:r w:rsidRPr="00C07657">
          <w:rPr>
            <w:rStyle w:val="Hyperlink"/>
            <w:rFonts w:asciiTheme="minorHAnsi" w:eastAsiaTheme="minorEastAsia" w:hAnsiTheme="minorHAnsi" w:cstheme="minorHAnsi"/>
          </w:rPr>
          <w:t>c</w:t>
        </w:r>
        <w:r w:rsidRPr="00C07657">
          <w:rPr>
            <w:rStyle w:val="Hyperlink"/>
            <w:rFonts w:asciiTheme="minorHAnsi" w:eastAsiaTheme="minorEastAsia" w:hAnsiTheme="minorHAnsi" w:cstheme="minorHAnsi"/>
          </w:rPr>
          <w:t>her-blog/2014/may/19/how-to-teach-mental-arithmetic-maths</w:t>
        </w:r>
      </w:hyperlink>
      <w:r>
        <w:rPr>
          <w:rFonts w:asciiTheme="minorHAnsi" w:eastAsiaTheme="minorEastAsia" w:hAnsiTheme="minorHAnsi" w:cstheme="minorHAnsi"/>
        </w:rPr>
        <w:t xml:space="preserve"> (Accessed 20 March 2019). </w:t>
      </w:r>
    </w:p>
    <w:p w14:paraId="18DFBEA2" w14:textId="77777777" w:rsidR="00780221" w:rsidRDefault="00780221" w:rsidP="00296B02">
      <w:pPr>
        <w:textAlignment w:val="baseline"/>
        <w:rPr>
          <w:rFonts w:asciiTheme="minorHAnsi" w:eastAsiaTheme="minorEastAsia" w:hAnsiTheme="minorHAnsi" w:cstheme="minorHAnsi"/>
        </w:rPr>
      </w:pPr>
    </w:p>
    <w:p w14:paraId="65FB4AEB" w14:textId="182EB9C1" w:rsidR="00780221" w:rsidRDefault="00780221" w:rsidP="00296B02">
      <w:pPr>
        <w:textAlignment w:val="baseline"/>
        <w:rPr>
          <w:rFonts w:asciiTheme="minorHAnsi" w:eastAsiaTheme="minorEastAsia" w:hAnsiTheme="minorHAnsi" w:cstheme="minorHAnsi"/>
        </w:rPr>
      </w:pPr>
      <w:r>
        <w:rPr>
          <w:rFonts w:asciiTheme="minorHAnsi" w:eastAsiaTheme="minorEastAsia" w:hAnsiTheme="minorHAnsi" w:cstheme="minorHAnsi"/>
        </w:rPr>
        <w:t xml:space="preserve">Thompson, J. (2018) </w:t>
      </w:r>
      <w:r w:rsidRPr="00513893">
        <w:rPr>
          <w:rFonts w:asciiTheme="minorHAnsi" w:eastAsiaTheme="minorEastAsia" w:hAnsiTheme="minorHAnsi" w:cstheme="minorHAnsi"/>
          <w:i/>
        </w:rPr>
        <w:t>Piaget vs Vygotsky.</w:t>
      </w:r>
      <w:r>
        <w:rPr>
          <w:rFonts w:asciiTheme="minorHAnsi" w:eastAsiaTheme="minorEastAsia" w:hAnsiTheme="minorHAnsi" w:cstheme="minorHAnsi"/>
          <w:i/>
        </w:rPr>
        <w:t xml:space="preserve"> </w:t>
      </w:r>
      <w:r>
        <w:rPr>
          <w:rFonts w:asciiTheme="minorHAnsi" w:eastAsiaTheme="minorEastAsia" w:hAnsiTheme="minorHAnsi" w:cstheme="minorHAnsi"/>
        </w:rPr>
        <w:t xml:space="preserve">Available at: </w:t>
      </w:r>
      <w:hyperlink r:id="rId8" w:history="1">
        <w:r w:rsidRPr="00C07657">
          <w:rPr>
            <w:rStyle w:val="Hyperlink"/>
            <w:rFonts w:asciiTheme="minorHAnsi" w:eastAsiaTheme="minorEastAsia" w:hAnsiTheme="minorHAnsi" w:cstheme="minorHAnsi"/>
          </w:rPr>
          <w:t>https://educationlearningtoys.com/knowledge-base/piaget-vs-vygotsky/</w:t>
        </w:r>
      </w:hyperlink>
      <w:r>
        <w:rPr>
          <w:rFonts w:asciiTheme="minorHAnsi" w:eastAsiaTheme="minorEastAsia" w:hAnsiTheme="minorHAnsi" w:cstheme="minorHAnsi"/>
        </w:rPr>
        <w:t xml:space="preserve"> (Accessed 20 March 2019).</w:t>
      </w:r>
    </w:p>
    <w:p w14:paraId="5398D20A" w14:textId="28BEBAED" w:rsidR="00CB23C9" w:rsidRDefault="00CB23C9" w:rsidP="00296B02">
      <w:pPr>
        <w:textAlignment w:val="baseline"/>
        <w:rPr>
          <w:rFonts w:asciiTheme="minorHAnsi" w:eastAsiaTheme="minorEastAsia" w:hAnsiTheme="minorHAnsi" w:cstheme="minorHAnsi"/>
        </w:rPr>
      </w:pPr>
    </w:p>
    <w:p w14:paraId="3815E227" w14:textId="663DCD76" w:rsidR="00CB23C9" w:rsidRPr="00CB23C9" w:rsidRDefault="00CB23C9" w:rsidP="00CB23C9">
      <w:pPr>
        <w:textAlignment w:val="baseline"/>
        <w:rPr>
          <w:rFonts w:asciiTheme="minorHAnsi" w:eastAsiaTheme="minorEastAsia" w:hAnsiTheme="minorHAnsi" w:cstheme="minorHAnsi"/>
        </w:rPr>
      </w:pPr>
      <w:r>
        <w:rPr>
          <w:rFonts w:asciiTheme="minorHAnsi" w:eastAsiaTheme="minorEastAsia" w:hAnsiTheme="minorHAnsi" w:cstheme="minorHAnsi"/>
        </w:rPr>
        <w:t xml:space="preserve">Welsh Government. (2013) </w:t>
      </w:r>
      <w:r w:rsidRPr="00CB23C9">
        <w:rPr>
          <w:rFonts w:asciiTheme="minorHAnsi" w:eastAsiaTheme="minorEastAsia" w:hAnsiTheme="minorHAnsi" w:cstheme="minorHAnsi"/>
          <w:i/>
        </w:rPr>
        <w:t>National Literacy and</w:t>
      </w:r>
      <w:r w:rsidRPr="00CB23C9">
        <w:rPr>
          <w:rFonts w:asciiTheme="minorHAnsi" w:eastAsiaTheme="minorEastAsia" w:hAnsiTheme="minorHAnsi" w:cstheme="minorHAnsi"/>
          <w:i/>
        </w:rPr>
        <w:t xml:space="preserve"> </w:t>
      </w:r>
      <w:r w:rsidRPr="00CB23C9">
        <w:rPr>
          <w:rFonts w:asciiTheme="minorHAnsi" w:eastAsiaTheme="minorEastAsia" w:hAnsiTheme="minorHAnsi" w:cstheme="minorHAnsi"/>
          <w:i/>
        </w:rPr>
        <w:t>Numeracy Framework</w:t>
      </w:r>
      <w:r>
        <w:rPr>
          <w:rFonts w:asciiTheme="minorHAnsi" w:eastAsiaTheme="minorEastAsia" w:hAnsiTheme="minorHAnsi" w:cstheme="minorHAnsi"/>
          <w:i/>
        </w:rPr>
        <w:t xml:space="preserve">. </w:t>
      </w:r>
      <w:r>
        <w:rPr>
          <w:rFonts w:asciiTheme="minorHAnsi" w:eastAsiaTheme="minorEastAsia" w:hAnsiTheme="minorHAnsi" w:cstheme="minorHAnsi"/>
        </w:rPr>
        <w:t xml:space="preserve">Available at: </w:t>
      </w:r>
      <w:hyperlink r:id="rId9" w:history="1">
        <w:r w:rsidRPr="00C07657">
          <w:rPr>
            <w:rStyle w:val="Hyperlink"/>
            <w:rFonts w:asciiTheme="minorHAnsi" w:eastAsiaTheme="minorEastAsia" w:hAnsiTheme="minorHAnsi" w:cstheme="minorHAnsi"/>
          </w:rPr>
          <w:t>https://learning.gov.wales/docs/learningwales/publications/130415-lnf-guidance-en.pdf</w:t>
        </w:r>
      </w:hyperlink>
      <w:r>
        <w:rPr>
          <w:rFonts w:asciiTheme="minorHAnsi" w:eastAsiaTheme="minorEastAsia" w:hAnsiTheme="minorHAnsi" w:cstheme="minorHAnsi"/>
        </w:rPr>
        <w:t xml:space="preserve"> (Accessed 20 March 2019). </w:t>
      </w:r>
    </w:p>
    <w:p w14:paraId="5ADF2163" w14:textId="3D10B14D" w:rsidR="00296B02" w:rsidRDefault="00296B02" w:rsidP="004A4E43">
      <w:pPr>
        <w:textAlignment w:val="baseline"/>
        <w:rPr>
          <w:rFonts w:asciiTheme="minorHAnsi" w:eastAsiaTheme="minorEastAsia" w:hAnsiTheme="minorHAnsi" w:cstheme="minorHAnsi"/>
        </w:rPr>
      </w:pPr>
    </w:p>
    <w:p w14:paraId="446EA4C0" w14:textId="77777777" w:rsidR="00296B02" w:rsidRDefault="00296B02" w:rsidP="004A4E43">
      <w:pPr>
        <w:textAlignment w:val="baseline"/>
        <w:rPr>
          <w:rFonts w:asciiTheme="minorHAnsi" w:eastAsiaTheme="minorEastAsia" w:hAnsiTheme="minorHAnsi" w:cstheme="minorHAnsi"/>
        </w:rPr>
      </w:pPr>
    </w:p>
    <w:p w14:paraId="6AB06CAA" w14:textId="71A47DD8" w:rsidR="004A4E43" w:rsidRPr="004A4E43" w:rsidRDefault="004A4E43" w:rsidP="004A4E43">
      <w:pPr>
        <w:textAlignment w:val="baseline"/>
        <w:rPr>
          <w:rFonts w:asciiTheme="minorHAnsi" w:eastAsiaTheme="minorEastAsia" w:hAnsiTheme="minorHAnsi" w:cstheme="minorHAnsi"/>
        </w:rPr>
      </w:pPr>
      <w:r>
        <w:rPr>
          <w:rFonts w:asciiTheme="minorHAnsi" w:eastAsiaTheme="minorEastAsia" w:hAnsiTheme="minorHAnsi" w:cstheme="minorHAnsi"/>
        </w:rPr>
        <w:t xml:space="preserve"> </w:t>
      </w:r>
    </w:p>
    <w:p w14:paraId="7C6E3EDC" w14:textId="55DF2E2C" w:rsidR="00371205" w:rsidRDefault="00371205"/>
    <w:sectPr w:rsidR="00371205" w:rsidSect="00FB315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D694E"/>
    <w:multiLevelType w:val="hybridMultilevel"/>
    <w:tmpl w:val="74262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225"/>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012"/>
    <w:rsid w:val="000C7EDC"/>
    <w:rsid w:val="00131401"/>
    <w:rsid w:val="00296B02"/>
    <w:rsid w:val="00331612"/>
    <w:rsid w:val="00371205"/>
    <w:rsid w:val="003C3F55"/>
    <w:rsid w:val="003C6A10"/>
    <w:rsid w:val="003E68E7"/>
    <w:rsid w:val="004A4E43"/>
    <w:rsid w:val="004A65FF"/>
    <w:rsid w:val="00502033"/>
    <w:rsid w:val="00513893"/>
    <w:rsid w:val="00557FC0"/>
    <w:rsid w:val="006A3BB3"/>
    <w:rsid w:val="00780221"/>
    <w:rsid w:val="007A1ED8"/>
    <w:rsid w:val="007E2BD4"/>
    <w:rsid w:val="00853F9C"/>
    <w:rsid w:val="0085631C"/>
    <w:rsid w:val="00892412"/>
    <w:rsid w:val="008F0D17"/>
    <w:rsid w:val="009707F3"/>
    <w:rsid w:val="009D5D7B"/>
    <w:rsid w:val="00A46210"/>
    <w:rsid w:val="00AB2B4D"/>
    <w:rsid w:val="00C4377D"/>
    <w:rsid w:val="00C6663B"/>
    <w:rsid w:val="00C94A18"/>
    <w:rsid w:val="00CB23C9"/>
    <w:rsid w:val="00CE76BB"/>
    <w:rsid w:val="00D02E4C"/>
    <w:rsid w:val="00D03F66"/>
    <w:rsid w:val="00D56273"/>
    <w:rsid w:val="00DC3628"/>
    <w:rsid w:val="00DE2C93"/>
    <w:rsid w:val="00DE6355"/>
    <w:rsid w:val="00EA2012"/>
    <w:rsid w:val="00EA2DFB"/>
    <w:rsid w:val="00EA47EE"/>
    <w:rsid w:val="00F14D66"/>
    <w:rsid w:val="00F7324C"/>
    <w:rsid w:val="00FB3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7EDCA6"/>
  <w14:defaultImageDpi w14:val="32767"/>
  <w15:chartTrackingRefBased/>
  <w15:docId w15:val="{B49D075C-B6FC-0A4A-93CA-3E604F021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pacing w:val="-15"/>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012"/>
    <w:pPr>
      <w:ind w:left="720"/>
      <w:contextualSpacing/>
    </w:pPr>
    <w:rPr>
      <w:rFonts w:ascii="Times New Roman" w:eastAsia="Times New Roman" w:hAnsi="Times New Roman" w:cs="Times New Roman"/>
      <w:color w:val="auto"/>
      <w:spacing w:val="0"/>
      <w:lang w:eastAsia="en-GB"/>
    </w:rPr>
  </w:style>
  <w:style w:type="character" w:styleId="Hyperlink">
    <w:name w:val="Hyperlink"/>
    <w:basedOn w:val="DefaultParagraphFont"/>
    <w:uiPriority w:val="99"/>
    <w:unhideWhenUsed/>
    <w:rsid w:val="004A4E43"/>
    <w:rPr>
      <w:color w:val="0563C1" w:themeColor="hyperlink"/>
      <w:u w:val="single"/>
    </w:rPr>
  </w:style>
  <w:style w:type="character" w:styleId="UnresolvedMention">
    <w:name w:val="Unresolved Mention"/>
    <w:basedOn w:val="DefaultParagraphFont"/>
    <w:uiPriority w:val="99"/>
    <w:rsid w:val="004A4E43"/>
    <w:rPr>
      <w:color w:val="605E5C"/>
      <w:shd w:val="clear" w:color="auto" w:fill="E1DFDD"/>
    </w:rPr>
  </w:style>
  <w:style w:type="character" w:styleId="FollowedHyperlink">
    <w:name w:val="FollowedHyperlink"/>
    <w:basedOn w:val="DefaultParagraphFont"/>
    <w:uiPriority w:val="99"/>
    <w:semiHidden/>
    <w:unhideWhenUsed/>
    <w:rsid w:val="003316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9146">
      <w:bodyDiv w:val="1"/>
      <w:marLeft w:val="0"/>
      <w:marRight w:val="0"/>
      <w:marTop w:val="0"/>
      <w:marBottom w:val="0"/>
      <w:divBdr>
        <w:top w:val="none" w:sz="0" w:space="0" w:color="auto"/>
        <w:left w:val="none" w:sz="0" w:space="0" w:color="auto"/>
        <w:bottom w:val="none" w:sz="0" w:space="0" w:color="auto"/>
        <w:right w:val="none" w:sz="0" w:space="0" w:color="auto"/>
      </w:divBdr>
    </w:div>
    <w:div w:id="82916885">
      <w:bodyDiv w:val="1"/>
      <w:marLeft w:val="0"/>
      <w:marRight w:val="0"/>
      <w:marTop w:val="0"/>
      <w:marBottom w:val="0"/>
      <w:divBdr>
        <w:top w:val="none" w:sz="0" w:space="0" w:color="auto"/>
        <w:left w:val="none" w:sz="0" w:space="0" w:color="auto"/>
        <w:bottom w:val="none" w:sz="0" w:space="0" w:color="auto"/>
        <w:right w:val="none" w:sz="0" w:space="0" w:color="auto"/>
      </w:divBdr>
    </w:div>
    <w:div w:id="93138900">
      <w:bodyDiv w:val="1"/>
      <w:marLeft w:val="0"/>
      <w:marRight w:val="0"/>
      <w:marTop w:val="0"/>
      <w:marBottom w:val="0"/>
      <w:divBdr>
        <w:top w:val="none" w:sz="0" w:space="0" w:color="auto"/>
        <w:left w:val="none" w:sz="0" w:space="0" w:color="auto"/>
        <w:bottom w:val="none" w:sz="0" w:space="0" w:color="auto"/>
        <w:right w:val="none" w:sz="0" w:space="0" w:color="auto"/>
      </w:divBdr>
    </w:div>
    <w:div w:id="174735337">
      <w:bodyDiv w:val="1"/>
      <w:marLeft w:val="0"/>
      <w:marRight w:val="0"/>
      <w:marTop w:val="0"/>
      <w:marBottom w:val="0"/>
      <w:divBdr>
        <w:top w:val="none" w:sz="0" w:space="0" w:color="auto"/>
        <w:left w:val="none" w:sz="0" w:space="0" w:color="auto"/>
        <w:bottom w:val="none" w:sz="0" w:space="0" w:color="auto"/>
        <w:right w:val="none" w:sz="0" w:space="0" w:color="auto"/>
      </w:divBdr>
    </w:div>
    <w:div w:id="238905428">
      <w:bodyDiv w:val="1"/>
      <w:marLeft w:val="0"/>
      <w:marRight w:val="0"/>
      <w:marTop w:val="0"/>
      <w:marBottom w:val="0"/>
      <w:divBdr>
        <w:top w:val="none" w:sz="0" w:space="0" w:color="auto"/>
        <w:left w:val="none" w:sz="0" w:space="0" w:color="auto"/>
        <w:bottom w:val="none" w:sz="0" w:space="0" w:color="auto"/>
        <w:right w:val="none" w:sz="0" w:space="0" w:color="auto"/>
      </w:divBdr>
      <w:divsChild>
        <w:div w:id="2127386933">
          <w:marLeft w:val="0"/>
          <w:marRight w:val="0"/>
          <w:marTop w:val="0"/>
          <w:marBottom w:val="0"/>
          <w:divBdr>
            <w:top w:val="none" w:sz="0" w:space="0" w:color="auto"/>
            <w:left w:val="none" w:sz="0" w:space="0" w:color="auto"/>
            <w:bottom w:val="none" w:sz="0" w:space="0" w:color="auto"/>
            <w:right w:val="none" w:sz="0" w:space="0" w:color="auto"/>
          </w:divBdr>
        </w:div>
        <w:div w:id="1816876585">
          <w:marLeft w:val="0"/>
          <w:marRight w:val="0"/>
          <w:marTop w:val="0"/>
          <w:marBottom w:val="0"/>
          <w:divBdr>
            <w:top w:val="none" w:sz="0" w:space="0" w:color="auto"/>
            <w:left w:val="none" w:sz="0" w:space="0" w:color="auto"/>
            <w:bottom w:val="none" w:sz="0" w:space="0" w:color="auto"/>
            <w:right w:val="none" w:sz="0" w:space="0" w:color="auto"/>
          </w:divBdr>
        </w:div>
      </w:divsChild>
    </w:div>
    <w:div w:id="244416259">
      <w:bodyDiv w:val="1"/>
      <w:marLeft w:val="0"/>
      <w:marRight w:val="0"/>
      <w:marTop w:val="0"/>
      <w:marBottom w:val="0"/>
      <w:divBdr>
        <w:top w:val="none" w:sz="0" w:space="0" w:color="auto"/>
        <w:left w:val="none" w:sz="0" w:space="0" w:color="auto"/>
        <w:bottom w:val="none" w:sz="0" w:space="0" w:color="auto"/>
        <w:right w:val="none" w:sz="0" w:space="0" w:color="auto"/>
      </w:divBdr>
    </w:div>
    <w:div w:id="372467287">
      <w:bodyDiv w:val="1"/>
      <w:marLeft w:val="0"/>
      <w:marRight w:val="0"/>
      <w:marTop w:val="0"/>
      <w:marBottom w:val="0"/>
      <w:divBdr>
        <w:top w:val="none" w:sz="0" w:space="0" w:color="auto"/>
        <w:left w:val="none" w:sz="0" w:space="0" w:color="auto"/>
        <w:bottom w:val="none" w:sz="0" w:space="0" w:color="auto"/>
        <w:right w:val="none" w:sz="0" w:space="0" w:color="auto"/>
      </w:divBdr>
    </w:div>
    <w:div w:id="419331291">
      <w:bodyDiv w:val="1"/>
      <w:marLeft w:val="0"/>
      <w:marRight w:val="0"/>
      <w:marTop w:val="0"/>
      <w:marBottom w:val="0"/>
      <w:divBdr>
        <w:top w:val="none" w:sz="0" w:space="0" w:color="auto"/>
        <w:left w:val="none" w:sz="0" w:space="0" w:color="auto"/>
        <w:bottom w:val="none" w:sz="0" w:space="0" w:color="auto"/>
        <w:right w:val="none" w:sz="0" w:space="0" w:color="auto"/>
      </w:divBdr>
    </w:div>
    <w:div w:id="430321351">
      <w:bodyDiv w:val="1"/>
      <w:marLeft w:val="0"/>
      <w:marRight w:val="0"/>
      <w:marTop w:val="0"/>
      <w:marBottom w:val="0"/>
      <w:divBdr>
        <w:top w:val="none" w:sz="0" w:space="0" w:color="auto"/>
        <w:left w:val="none" w:sz="0" w:space="0" w:color="auto"/>
        <w:bottom w:val="none" w:sz="0" w:space="0" w:color="auto"/>
        <w:right w:val="none" w:sz="0" w:space="0" w:color="auto"/>
      </w:divBdr>
    </w:div>
    <w:div w:id="479734228">
      <w:bodyDiv w:val="1"/>
      <w:marLeft w:val="0"/>
      <w:marRight w:val="0"/>
      <w:marTop w:val="0"/>
      <w:marBottom w:val="0"/>
      <w:divBdr>
        <w:top w:val="none" w:sz="0" w:space="0" w:color="auto"/>
        <w:left w:val="none" w:sz="0" w:space="0" w:color="auto"/>
        <w:bottom w:val="none" w:sz="0" w:space="0" w:color="auto"/>
        <w:right w:val="none" w:sz="0" w:space="0" w:color="auto"/>
      </w:divBdr>
    </w:div>
    <w:div w:id="479929719">
      <w:bodyDiv w:val="1"/>
      <w:marLeft w:val="0"/>
      <w:marRight w:val="0"/>
      <w:marTop w:val="0"/>
      <w:marBottom w:val="0"/>
      <w:divBdr>
        <w:top w:val="none" w:sz="0" w:space="0" w:color="auto"/>
        <w:left w:val="none" w:sz="0" w:space="0" w:color="auto"/>
        <w:bottom w:val="none" w:sz="0" w:space="0" w:color="auto"/>
        <w:right w:val="none" w:sz="0" w:space="0" w:color="auto"/>
      </w:divBdr>
    </w:div>
    <w:div w:id="582496955">
      <w:bodyDiv w:val="1"/>
      <w:marLeft w:val="0"/>
      <w:marRight w:val="0"/>
      <w:marTop w:val="0"/>
      <w:marBottom w:val="0"/>
      <w:divBdr>
        <w:top w:val="none" w:sz="0" w:space="0" w:color="auto"/>
        <w:left w:val="none" w:sz="0" w:space="0" w:color="auto"/>
        <w:bottom w:val="none" w:sz="0" w:space="0" w:color="auto"/>
        <w:right w:val="none" w:sz="0" w:space="0" w:color="auto"/>
      </w:divBdr>
      <w:divsChild>
        <w:div w:id="250240687">
          <w:marLeft w:val="0"/>
          <w:marRight w:val="0"/>
          <w:marTop w:val="0"/>
          <w:marBottom w:val="0"/>
          <w:divBdr>
            <w:top w:val="none" w:sz="0" w:space="0" w:color="auto"/>
            <w:left w:val="none" w:sz="0" w:space="0" w:color="auto"/>
            <w:bottom w:val="none" w:sz="0" w:space="0" w:color="auto"/>
            <w:right w:val="none" w:sz="0" w:space="0" w:color="auto"/>
          </w:divBdr>
        </w:div>
        <w:div w:id="1992130126">
          <w:marLeft w:val="0"/>
          <w:marRight w:val="0"/>
          <w:marTop w:val="0"/>
          <w:marBottom w:val="0"/>
          <w:divBdr>
            <w:top w:val="none" w:sz="0" w:space="0" w:color="auto"/>
            <w:left w:val="none" w:sz="0" w:space="0" w:color="auto"/>
            <w:bottom w:val="none" w:sz="0" w:space="0" w:color="auto"/>
            <w:right w:val="none" w:sz="0" w:space="0" w:color="auto"/>
          </w:divBdr>
        </w:div>
      </w:divsChild>
    </w:div>
    <w:div w:id="659887338">
      <w:bodyDiv w:val="1"/>
      <w:marLeft w:val="0"/>
      <w:marRight w:val="0"/>
      <w:marTop w:val="0"/>
      <w:marBottom w:val="0"/>
      <w:divBdr>
        <w:top w:val="none" w:sz="0" w:space="0" w:color="auto"/>
        <w:left w:val="none" w:sz="0" w:space="0" w:color="auto"/>
        <w:bottom w:val="none" w:sz="0" w:space="0" w:color="auto"/>
        <w:right w:val="none" w:sz="0" w:space="0" w:color="auto"/>
      </w:divBdr>
    </w:div>
    <w:div w:id="889801779">
      <w:bodyDiv w:val="1"/>
      <w:marLeft w:val="0"/>
      <w:marRight w:val="0"/>
      <w:marTop w:val="0"/>
      <w:marBottom w:val="0"/>
      <w:divBdr>
        <w:top w:val="none" w:sz="0" w:space="0" w:color="auto"/>
        <w:left w:val="none" w:sz="0" w:space="0" w:color="auto"/>
        <w:bottom w:val="none" w:sz="0" w:space="0" w:color="auto"/>
        <w:right w:val="none" w:sz="0" w:space="0" w:color="auto"/>
      </w:divBdr>
    </w:div>
    <w:div w:id="896208240">
      <w:bodyDiv w:val="1"/>
      <w:marLeft w:val="0"/>
      <w:marRight w:val="0"/>
      <w:marTop w:val="0"/>
      <w:marBottom w:val="0"/>
      <w:divBdr>
        <w:top w:val="none" w:sz="0" w:space="0" w:color="auto"/>
        <w:left w:val="none" w:sz="0" w:space="0" w:color="auto"/>
        <w:bottom w:val="none" w:sz="0" w:space="0" w:color="auto"/>
        <w:right w:val="none" w:sz="0" w:space="0" w:color="auto"/>
      </w:divBdr>
    </w:div>
    <w:div w:id="910626086">
      <w:bodyDiv w:val="1"/>
      <w:marLeft w:val="0"/>
      <w:marRight w:val="0"/>
      <w:marTop w:val="0"/>
      <w:marBottom w:val="0"/>
      <w:divBdr>
        <w:top w:val="none" w:sz="0" w:space="0" w:color="auto"/>
        <w:left w:val="none" w:sz="0" w:space="0" w:color="auto"/>
        <w:bottom w:val="none" w:sz="0" w:space="0" w:color="auto"/>
        <w:right w:val="none" w:sz="0" w:space="0" w:color="auto"/>
      </w:divBdr>
    </w:div>
    <w:div w:id="977421946">
      <w:bodyDiv w:val="1"/>
      <w:marLeft w:val="0"/>
      <w:marRight w:val="0"/>
      <w:marTop w:val="0"/>
      <w:marBottom w:val="0"/>
      <w:divBdr>
        <w:top w:val="none" w:sz="0" w:space="0" w:color="auto"/>
        <w:left w:val="none" w:sz="0" w:space="0" w:color="auto"/>
        <w:bottom w:val="none" w:sz="0" w:space="0" w:color="auto"/>
        <w:right w:val="none" w:sz="0" w:space="0" w:color="auto"/>
      </w:divBdr>
    </w:div>
    <w:div w:id="1057971519">
      <w:bodyDiv w:val="1"/>
      <w:marLeft w:val="0"/>
      <w:marRight w:val="0"/>
      <w:marTop w:val="0"/>
      <w:marBottom w:val="0"/>
      <w:divBdr>
        <w:top w:val="none" w:sz="0" w:space="0" w:color="auto"/>
        <w:left w:val="none" w:sz="0" w:space="0" w:color="auto"/>
        <w:bottom w:val="none" w:sz="0" w:space="0" w:color="auto"/>
        <w:right w:val="none" w:sz="0" w:space="0" w:color="auto"/>
      </w:divBdr>
    </w:div>
    <w:div w:id="1114444889">
      <w:bodyDiv w:val="1"/>
      <w:marLeft w:val="0"/>
      <w:marRight w:val="0"/>
      <w:marTop w:val="0"/>
      <w:marBottom w:val="0"/>
      <w:divBdr>
        <w:top w:val="none" w:sz="0" w:space="0" w:color="auto"/>
        <w:left w:val="none" w:sz="0" w:space="0" w:color="auto"/>
        <w:bottom w:val="none" w:sz="0" w:space="0" w:color="auto"/>
        <w:right w:val="none" w:sz="0" w:space="0" w:color="auto"/>
      </w:divBdr>
    </w:div>
    <w:div w:id="1190677006">
      <w:bodyDiv w:val="1"/>
      <w:marLeft w:val="0"/>
      <w:marRight w:val="0"/>
      <w:marTop w:val="0"/>
      <w:marBottom w:val="0"/>
      <w:divBdr>
        <w:top w:val="none" w:sz="0" w:space="0" w:color="auto"/>
        <w:left w:val="none" w:sz="0" w:space="0" w:color="auto"/>
        <w:bottom w:val="none" w:sz="0" w:space="0" w:color="auto"/>
        <w:right w:val="none" w:sz="0" w:space="0" w:color="auto"/>
      </w:divBdr>
    </w:div>
    <w:div w:id="1287738048">
      <w:bodyDiv w:val="1"/>
      <w:marLeft w:val="0"/>
      <w:marRight w:val="0"/>
      <w:marTop w:val="0"/>
      <w:marBottom w:val="0"/>
      <w:divBdr>
        <w:top w:val="none" w:sz="0" w:space="0" w:color="auto"/>
        <w:left w:val="none" w:sz="0" w:space="0" w:color="auto"/>
        <w:bottom w:val="none" w:sz="0" w:space="0" w:color="auto"/>
        <w:right w:val="none" w:sz="0" w:space="0" w:color="auto"/>
      </w:divBdr>
    </w:div>
    <w:div w:id="1390493572">
      <w:bodyDiv w:val="1"/>
      <w:marLeft w:val="0"/>
      <w:marRight w:val="0"/>
      <w:marTop w:val="0"/>
      <w:marBottom w:val="0"/>
      <w:divBdr>
        <w:top w:val="none" w:sz="0" w:space="0" w:color="auto"/>
        <w:left w:val="none" w:sz="0" w:space="0" w:color="auto"/>
        <w:bottom w:val="none" w:sz="0" w:space="0" w:color="auto"/>
        <w:right w:val="none" w:sz="0" w:space="0" w:color="auto"/>
      </w:divBdr>
    </w:div>
    <w:div w:id="1425881606">
      <w:bodyDiv w:val="1"/>
      <w:marLeft w:val="0"/>
      <w:marRight w:val="0"/>
      <w:marTop w:val="0"/>
      <w:marBottom w:val="0"/>
      <w:divBdr>
        <w:top w:val="none" w:sz="0" w:space="0" w:color="auto"/>
        <w:left w:val="none" w:sz="0" w:space="0" w:color="auto"/>
        <w:bottom w:val="none" w:sz="0" w:space="0" w:color="auto"/>
        <w:right w:val="none" w:sz="0" w:space="0" w:color="auto"/>
      </w:divBdr>
    </w:div>
    <w:div w:id="1513376928">
      <w:bodyDiv w:val="1"/>
      <w:marLeft w:val="0"/>
      <w:marRight w:val="0"/>
      <w:marTop w:val="0"/>
      <w:marBottom w:val="0"/>
      <w:divBdr>
        <w:top w:val="none" w:sz="0" w:space="0" w:color="auto"/>
        <w:left w:val="none" w:sz="0" w:space="0" w:color="auto"/>
        <w:bottom w:val="none" w:sz="0" w:space="0" w:color="auto"/>
        <w:right w:val="none" w:sz="0" w:space="0" w:color="auto"/>
      </w:divBdr>
    </w:div>
    <w:div w:id="1860267598">
      <w:bodyDiv w:val="1"/>
      <w:marLeft w:val="0"/>
      <w:marRight w:val="0"/>
      <w:marTop w:val="0"/>
      <w:marBottom w:val="0"/>
      <w:divBdr>
        <w:top w:val="none" w:sz="0" w:space="0" w:color="auto"/>
        <w:left w:val="none" w:sz="0" w:space="0" w:color="auto"/>
        <w:bottom w:val="none" w:sz="0" w:space="0" w:color="auto"/>
        <w:right w:val="none" w:sz="0" w:space="0" w:color="auto"/>
      </w:divBdr>
    </w:div>
    <w:div w:id="187448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learningtoys.com/knowledge-base/piaget-vs-vygotsky/" TargetMode="External"/><Relationship Id="rId3" Type="http://schemas.openxmlformats.org/officeDocument/2006/relationships/settings" Target="settings.xml"/><Relationship Id="rId7" Type="http://schemas.openxmlformats.org/officeDocument/2006/relationships/hyperlink" Target="https://www.theguardian.com/teacher-network/teacher-blog/2014/may/19/how-to-teach-mental-arithmetic-mat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wales-38855531" TargetMode="External"/><Relationship Id="rId11" Type="http://schemas.openxmlformats.org/officeDocument/2006/relationships/theme" Target="theme/theme1.xml"/><Relationship Id="rId5" Type="http://schemas.openxmlformats.org/officeDocument/2006/relationships/hyperlink" Target="https://www.whitbyschool.org/passionforlearning/auditory-visual-and-kinesthetic-helping-children-succeed-through-different-learning-styl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gov.wales/docs/learningwales/publications/130415-lnf-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Anderson (1703728)</dc:creator>
  <cp:keywords/>
  <dc:description/>
  <cp:lastModifiedBy>Chloe Anderson (1703728)</cp:lastModifiedBy>
  <cp:revision>27</cp:revision>
  <dcterms:created xsi:type="dcterms:W3CDTF">2019-03-25T09:16:00Z</dcterms:created>
  <dcterms:modified xsi:type="dcterms:W3CDTF">2019-03-25T11:22:00Z</dcterms:modified>
</cp:coreProperties>
</file>