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B743B" w:rsidP="00F36566" w:rsidRDefault="000B743B" w14:paraId="71E9DC72" w14:textId="77777777">
      <w:pPr>
        <w:spacing w:line="360" w:lineRule="auto"/>
        <w:jc w:val="both"/>
        <w:rPr>
          <w:rFonts w:asciiTheme="minorBidi" w:hAnsiTheme="minorBidi"/>
          <w:sz w:val="22"/>
          <w:szCs w:val="22"/>
          <w:lang w:val="en-GB"/>
        </w:rPr>
      </w:pPr>
    </w:p>
    <w:p w:rsidR="00014D85" w:rsidP="00F36566" w:rsidRDefault="00014D85" w14:paraId="37B873D4" w14:textId="77777777">
      <w:pPr>
        <w:spacing w:line="360" w:lineRule="auto"/>
        <w:jc w:val="both"/>
        <w:rPr>
          <w:rFonts w:asciiTheme="minorBidi" w:hAnsiTheme="minorBidi"/>
          <w:sz w:val="22"/>
          <w:szCs w:val="22"/>
          <w:lang w:val="en-GB"/>
        </w:rPr>
      </w:pPr>
    </w:p>
    <w:p w:rsidRPr="00357B0A" w:rsidR="00014D85" w:rsidP="01D02E59" w:rsidRDefault="00014D85" w14:paraId="3BF97AB1" w14:textId="1DA2DAE2">
      <w:pPr>
        <w:jc w:val="center"/>
        <w:rPr>
          <w:rFonts w:ascii="Arial" w:hAnsi="Arial" w:cs="Arial"/>
          <w:b w:val="1"/>
          <w:bCs w:val="1"/>
          <w:i w:val="1"/>
          <w:iCs w:val="1"/>
          <w:sz w:val="36"/>
          <w:szCs w:val="36"/>
          <w:lang w:val="en-GB"/>
        </w:rPr>
      </w:pPr>
      <w:r w:rsidRPr="01D02E59" w:rsidR="00014D85">
        <w:rPr>
          <w:rFonts w:ascii="Arial" w:hAnsi="Arial" w:cs="Arial"/>
          <w:b w:val="1"/>
          <w:bCs w:val="1"/>
          <w:i w:val="1"/>
          <w:iCs w:val="1"/>
          <w:sz w:val="36"/>
          <w:szCs w:val="36"/>
          <w:lang w:val="en-GB"/>
        </w:rPr>
        <w:t>Student Name</w:t>
      </w:r>
      <w:r w:rsidRPr="01D02E59" w:rsidR="4AAE9CAA">
        <w:rPr>
          <w:rFonts w:ascii="Arial" w:hAnsi="Arial" w:cs="Arial"/>
          <w:b w:val="1"/>
          <w:bCs w:val="1"/>
          <w:i w:val="1"/>
          <w:iCs w:val="1"/>
          <w:sz w:val="36"/>
          <w:szCs w:val="36"/>
          <w:lang w:val="en-GB"/>
        </w:rPr>
        <w:t>: Aneesa Khatoon</w:t>
      </w:r>
    </w:p>
    <w:p w:rsidRPr="00357B0A" w:rsidR="00014D85" w:rsidP="01D02E59" w:rsidRDefault="00014D85" w14:paraId="6CE4A852" w14:textId="3FEE1BD6">
      <w:pPr>
        <w:jc w:val="center"/>
        <w:rPr>
          <w:rFonts w:ascii="Arial" w:hAnsi="Arial" w:cs="Arial"/>
          <w:b w:val="1"/>
          <w:bCs w:val="1"/>
          <w:i w:val="1"/>
          <w:iCs w:val="1"/>
          <w:sz w:val="36"/>
          <w:szCs w:val="36"/>
          <w:lang w:val="en-GB"/>
        </w:rPr>
      </w:pPr>
      <w:r w:rsidRPr="01D02E59" w:rsidR="00014D85">
        <w:rPr>
          <w:rFonts w:ascii="Arial" w:hAnsi="Arial" w:cs="Arial"/>
          <w:b w:val="1"/>
          <w:bCs w:val="1"/>
          <w:i w:val="1"/>
          <w:iCs w:val="1"/>
          <w:sz w:val="36"/>
          <w:szCs w:val="36"/>
          <w:lang w:val="en-GB"/>
        </w:rPr>
        <w:t>Student Number</w:t>
      </w:r>
      <w:r w:rsidRPr="01D02E59" w:rsidR="38547980">
        <w:rPr>
          <w:rFonts w:ascii="Arial" w:hAnsi="Arial" w:cs="Arial"/>
          <w:b w:val="1"/>
          <w:bCs w:val="1"/>
          <w:i w:val="1"/>
          <w:iCs w:val="1"/>
          <w:sz w:val="36"/>
          <w:szCs w:val="36"/>
          <w:lang w:val="en-GB"/>
        </w:rPr>
        <w:t>: 2425422</w:t>
      </w:r>
    </w:p>
    <w:p w:rsidRPr="00357B0A" w:rsidR="00014D85" w:rsidP="01D02E59" w:rsidRDefault="00014D85" w14:paraId="1B1A51B2" w14:textId="0AB7135F">
      <w:pPr>
        <w:jc w:val="center"/>
        <w:rPr>
          <w:rFonts w:ascii="Arial" w:hAnsi="Arial" w:cs="Arial"/>
          <w:b w:val="1"/>
          <w:bCs w:val="1"/>
          <w:i w:val="1"/>
          <w:iCs w:val="1"/>
          <w:sz w:val="36"/>
          <w:szCs w:val="36"/>
          <w:lang w:val="en-GB"/>
        </w:rPr>
      </w:pPr>
      <w:r w:rsidRPr="01D02E59" w:rsidR="00014D85">
        <w:rPr>
          <w:rFonts w:ascii="Arial" w:hAnsi="Arial" w:cs="Arial"/>
          <w:b w:val="1"/>
          <w:bCs w:val="1"/>
          <w:i w:val="1"/>
          <w:iCs w:val="1"/>
          <w:sz w:val="36"/>
          <w:szCs w:val="36"/>
          <w:lang w:val="en-GB"/>
        </w:rPr>
        <w:t>Lecturer name</w:t>
      </w:r>
      <w:r w:rsidRPr="01D02E59" w:rsidR="0EE7CF46">
        <w:rPr>
          <w:rFonts w:ascii="Arial" w:hAnsi="Arial" w:cs="Arial"/>
          <w:b w:val="1"/>
          <w:bCs w:val="1"/>
          <w:i w:val="1"/>
          <w:iCs w:val="1"/>
          <w:sz w:val="36"/>
          <w:szCs w:val="36"/>
          <w:lang w:val="en-GB"/>
        </w:rPr>
        <w:t>: Yousaf Jamil</w:t>
      </w:r>
    </w:p>
    <w:p w:rsidRPr="00357B0A" w:rsidR="00014D85" w:rsidP="00014D85" w:rsidRDefault="00014D85" w14:paraId="5BBCCF89" w14:textId="77777777">
      <w:pPr>
        <w:jc w:val="center"/>
        <w:rPr>
          <w:rFonts w:ascii="Arial" w:hAnsi="Arial" w:cs="Arial"/>
          <w:b/>
          <w:bCs/>
          <w:i/>
          <w:iCs/>
          <w:sz w:val="36"/>
          <w:szCs w:val="36"/>
          <w:lang w:val="en-GB"/>
        </w:rPr>
      </w:pPr>
      <w:r w:rsidRPr="00357B0A">
        <w:rPr>
          <w:rFonts w:ascii="Arial" w:hAnsi="Arial" w:cs="Arial"/>
          <w:b/>
          <w:bCs/>
          <w:i/>
          <w:iCs/>
          <w:sz w:val="36"/>
          <w:szCs w:val="36"/>
          <w:lang w:val="en-GB"/>
        </w:rPr>
        <w:t xml:space="preserve">Module title and code: </w:t>
      </w:r>
      <w:r w:rsidRPr="00357B0A">
        <w:rPr>
          <w:rFonts w:ascii="Arial" w:hAnsi="Arial" w:cs="Arial"/>
          <w:b/>
          <w:bCs/>
          <w:i/>
          <w:iCs/>
          <w:sz w:val="36"/>
          <w:szCs w:val="36"/>
        </w:rPr>
        <w:t>Introduction to Health and Social Care LCHS4003</w:t>
      </w:r>
    </w:p>
    <w:p w:rsidRPr="00357B0A" w:rsidR="00014D85" w:rsidP="00014D85" w:rsidRDefault="00014D85" w14:paraId="7572AB9C" w14:textId="77777777">
      <w:pPr>
        <w:jc w:val="center"/>
        <w:rPr>
          <w:rFonts w:ascii="Arial" w:hAnsi="Arial" w:cs="Arial"/>
          <w:b/>
          <w:bCs/>
          <w:i/>
          <w:iCs/>
          <w:sz w:val="36"/>
          <w:szCs w:val="36"/>
        </w:rPr>
      </w:pPr>
      <w:r w:rsidRPr="00357B0A">
        <w:rPr>
          <w:rFonts w:ascii="Arial" w:hAnsi="Arial" w:cs="Arial"/>
          <w:b/>
          <w:bCs/>
          <w:i/>
          <w:iCs/>
          <w:sz w:val="36"/>
          <w:szCs w:val="36"/>
        </w:rPr>
        <w:t>Assignment Title: Portfolio – Two Tasks</w:t>
      </w:r>
    </w:p>
    <w:p w:rsidR="00014D85" w:rsidP="00F36566" w:rsidRDefault="00014D85" w14:paraId="51516E18" w14:textId="77777777">
      <w:pPr>
        <w:spacing w:line="360" w:lineRule="auto"/>
        <w:jc w:val="both"/>
        <w:rPr>
          <w:rFonts w:asciiTheme="minorBidi" w:hAnsiTheme="minorBidi"/>
          <w:sz w:val="22"/>
          <w:szCs w:val="22"/>
          <w:lang w:val="en-GB"/>
        </w:rPr>
      </w:pPr>
    </w:p>
    <w:p w:rsidR="00014D85" w:rsidP="00F36566" w:rsidRDefault="00014D85" w14:paraId="7F53163A" w14:textId="77777777">
      <w:pPr>
        <w:spacing w:line="360" w:lineRule="auto"/>
        <w:jc w:val="both"/>
        <w:rPr>
          <w:rFonts w:asciiTheme="minorBidi" w:hAnsiTheme="minorBidi"/>
          <w:sz w:val="22"/>
          <w:szCs w:val="22"/>
          <w:lang w:val="en-GB"/>
        </w:rPr>
      </w:pPr>
    </w:p>
    <w:p w:rsidR="00014D85" w:rsidP="00F36566" w:rsidRDefault="00014D85" w14:paraId="62519244" w14:textId="77777777">
      <w:pPr>
        <w:spacing w:line="360" w:lineRule="auto"/>
        <w:jc w:val="both"/>
        <w:rPr>
          <w:rFonts w:asciiTheme="minorBidi" w:hAnsiTheme="minorBidi"/>
          <w:sz w:val="22"/>
          <w:szCs w:val="22"/>
          <w:lang w:val="en-GB"/>
        </w:rPr>
      </w:pPr>
    </w:p>
    <w:p w:rsidR="00014D85" w:rsidP="00F36566" w:rsidRDefault="00014D85" w14:paraId="39362E9F" w14:textId="77777777">
      <w:pPr>
        <w:spacing w:line="360" w:lineRule="auto"/>
        <w:jc w:val="both"/>
        <w:rPr>
          <w:rFonts w:asciiTheme="minorBidi" w:hAnsiTheme="minorBidi"/>
          <w:sz w:val="22"/>
          <w:szCs w:val="22"/>
          <w:lang w:val="en-GB"/>
        </w:rPr>
      </w:pPr>
    </w:p>
    <w:p w:rsidR="00014D85" w:rsidP="00F36566" w:rsidRDefault="00014D85" w14:paraId="2745D560" w14:textId="77777777">
      <w:pPr>
        <w:spacing w:line="360" w:lineRule="auto"/>
        <w:jc w:val="both"/>
        <w:rPr>
          <w:rFonts w:asciiTheme="minorBidi" w:hAnsiTheme="minorBidi"/>
          <w:sz w:val="22"/>
          <w:szCs w:val="22"/>
          <w:lang w:val="en-GB"/>
        </w:rPr>
      </w:pPr>
    </w:p>
    <w:p w:rsidR="00014D85" w:rsidP="00F36566" w:rsidRDefault="00014D85" w14:paraId="4DE208F6" w14:textId="77777777">
      <w:pPr>
        <w:spacing w:line="360" w:lineRule="auto"/>
        <w:jc w:val="both"/>
        <w:rPr>
          <w:rFonts w:asciiTheme="minorBidi" w:hAnsiTheme="minorBidi"/>
          <w:sz w:val="22"/>
          <w:szCs w:val="22"/>
          <w:lang w:val="en-GB"/>
        </w:rPr>
      </w:pPr>
    </w:p>
    <w:p w:rsidR="00014D85" w:rsidP="00F36566" w:rsidRDefault="00014D85" w14:paraId="5E82E556" w14:textId="77777777">
      <w:pPr>
        <w:spacing w:line="360" w:lineRule="auto"/>
        <w:jc w:val="both"/>
        <w:rPr>
          <w:rFonts w:asciiTheme="minorBidi" w:hAnsiTheme="minorBidi"/>
          <w:sz w:val="22"/>
          <w:szCs w:val="22"/>
          <w:lang w:val="en-GB"/>
        </w:rPr>
      </w:pPr>
    </w:p>
    <w:p w:rsidR="00014D85" w:rsidP="00F36566" w:rsidRDefault="00014D85" w14:paraId="77D5B2BB" w14:textId="77777777">
      <w:pPr>
        <w:spacing w:line="360" w:lineRule="auto"/>
        <w:jc w:val="both"/>
        <w:rPr>
          <w:rFonts w:asciiTheme="minorBidi" w:hAnsiTheme="minorBidi"/>
          <w:sz w:val="22"/>
          <w:szCs w:val="22"/>
          <w:lang w:val="en-GB"/>
        </w:rPr>
      </w:pPr>
    </w:p>
    <w:p w:rsidR="00014D85" w:rsidP="00F36566" w:rsidRDefault="00014D85" w14:paraId="36302192" w14:textId="77777777">
      <w:pPr>
        <w:spacing w:line="360" w:lineRule="auto"/>
        <w:jc w:val="both"/>
        <w:rPr>
          <w:rFonts w:asciiTheme="minorBidi" w:hAnsiTheme="minorBidi"/>
          <w:sz w:val="22"/>
          <w:szCs w:val="22"/>
          <w:lang w:val="en-GB"/>
        </w:rPr>
      </w:pPr>
    </w:p>
    <w:p w:rsidR="00014D85" w:rsidP="00F36566" w:rsidRDefault="00014D85" w14:paraId="4FA93A44" w14:textId="77777777">
      <w:pPr>
        <w:spacing w:line="360" w:lineRule="auto"/>
        <w:jc w:val="both"/>
        <w:rPr>
          <w:rFonts w:asciiTheme="minorBidi" w:hAnsiTheme="minorBidi"/>
          <w:sz w:val="22"/>
          <w:szCs w:val="22"/>
          <w:lang w:val="en-GB"/>
        </w:rPr>
      </w:pPr>
    </w:p>
    <w:p w:rsidR="00014D85" w:rsidP="00F36566" w:rsidRDefault="00014D85" w14:paraId="2081889A" w14:textId="77777777">
      <w:pPr>
        <w:spacing w:line="360" w:lineRule="auto"/>
        <w:jc w:val="both"/>
        <w:rPr>
          <w:rFonts w:asciiTheme="minorBidi" w:hAnsiTheme="minorBidi"/>
          <w:sz w:val="22"/>
          <w:szCs w:val="22"/>
          <w:lang w:val="en-GB"/>
        </w:rPr>
      </w:pPr>
    </w:p>
    <w:p w:rsidR="00014D85" w:rsidP="00F36566" w:rsidRDefault="00014D85" w14:paraId="65FB9151" w14:textId="77777777">
      <w:pPr>
        <w:spacing w:line="360" w:lineRule="auto"/>
        <w:jc w:val="both"/>
        <w:rPr>
          <w:rFonts w:asciiTheme="minorBidi" w:hAnsiTheme="minorBidi"/>
          <w:sz w:val="22"/>
          <w:szCs w:val="22"/>
          <w:lang w:val="en-GB"/>
        </w:rPr>
      </w:pPr>
    </w:p>
    <w:p w:rsidR="00014D85" w:rsidP="00F36566" w:rsidRDefault="00014D85" w14:paraId="291ECCC4" w14:textId="77777777">
      <w:pPr>
        <w:spacing w:line="360" w:lineRule="auto"/>
        <w:jc w:val="both"/>
        <w:rPr>
          <w:rFonts w:asciiTheme="minorBidi" w:hAnsiTheme="minorBidi"/>
          <w:sz w:val="22"/>
          <w:szCs w:val="22"/>
          <w:lang w:val="en-GB"/>
        </w:rPr>
      </w:pPr>
    </w:p>
    <w:p w:rsidR="00014D85" w:rsidP="00F36566" w:rsidRDefault="00014D85" w14:paraId="767A661D" w14:textId="77777777">
      <w:pPr>
        <w:spacing w:line="360" w:lineRule="auto"/>
        <w:jc w:val="both"/>
        <w:rPr>
          <w:rFonts w:asciiTheme="minorBidi" w:hAnsiTheme="minorBidi"/>
          <w:sz w:val="22"/>
          <w:szCs w:val="22"/>
          <w:lang w:val="en-GB"/>
        </w:rPr>
      </w:pPr>
    </w:p>
    <w:p w:rsidRPr="00F36566" w:rsidR="00014D85" w:rsidP="00F36566" w:rsidRDefault="00014D85" w14:paraId="01D9E7CE" w14:textId="77777777">
      <w:pPr>
        <w:spacing w:line="360" w:lineRule="auto"/>
        <w:jc w:val="both"/>
        <w:rPr>
          <w:rFonts w:asciiTheme="minorBidi" w:hAnsiTheme="minorBidi"/>
          <w:sz w:val="22"/>
          <w:szCs w:val="22"/>
          <w:lang w:val="en-GB"/>
        </w:rPr>
      </w:pPr>
    </w:p>
    <w:p w:rsidRPr="00F36566" w:rsidR="00A41DDD" w:rsidP="00F36566" w:rsidRDefault="00A41DDD" w14:paraId="4895E841" w14:textId="77777777">
      <w:pPr>
        <w:spacing w:line="360" w:lineRule="auto"/>
        <w:jc w:val="both"/>
        <w:rPr>
          <w:rFonts w:asciiTheme="minorBidi" w:hAnsiTheme="minorBidi"/>
          <w:sz w:val="22"/>
          <w:szCs w:val="22"/>
          <w:lang w:val="en-GB"/>
        </w:rPr>
      </w:pPr>
    </w:p>
    <w:p w:rsidRPr="00F36566" w:rsidR="00A41DDD" w:rsidP="00F36566" w:rsidRDefault="00A41DDD" w14:paraId="10E01DFC" w14:textId="77777777">
      <w:pPr>
        <w:spacing w:line="360" w:lineRule="auto"/>
        <w:jc w:val="both"/>
        <w:rPr>
          <w:rFonts w:asciiTheme="minorBidi" w:hAnsiTheme="minorBidi"/>
          <w:sz w:val="22"/>
          <w:szCs w:val="22"/>
          <w:lang w:val="en-GB"/>
        </w:rPr>
      </w:pPr>
    </w:p>
    <w:p w:rsidRPr="00357B0A" w:rsidR="00A41DDD" w:rsidP="00F36566" w:rsidRDefault="00014D85" w14:paraId="54835FCC" w14:textId="63925805">
      <w:pPr>
        <w:spacing w:line="360" w:lineRule="auto"/>
        <w:jc w:val="both"/>
        <w:rPr>
          <w:rFonts w:asciiTheme="minorBidi" w:hAnsiTheme="minorBidi"/>
          <w:b/>
          <w:bCs/>
          <w:i/>
          <w:iCs/>
          <w:sz w:val="28"/>
          <w:szCs w:val="28"/>
          <w:lang w:val="en-GB"/>
        </w:rPr>
      </w:pPr>
      <w:r w:rsidRPr="00357B0A">
        <w:rPr>
          <w:rFonts w:asciiTheme="minorBidi" w:hAnsiTheme="minorBidi"/>
          <w:b/>
          <w:bCs/>
          <w:i/>
          <w:iCs/>
          <w:sz w:val="28"/>
          <w:szCs w:val="28"/>
          <w:lang w:val="en-GB"/>
        </w:rPr>
        <w:lastRenderedPageBreak/>
        <w:t>Task 1</w:t>
      </w:r>
    </w:p>
    <w:p w:rsidR="00014D85" w:rsidP="00F36566" w:rsidRDefault="0044255B" w14:paraId="2B1C465B" w14:textId="77777777">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Silverwood Community Mental Health Hub</w:t>
      </w:r>
    </w:p>
    <w:p w:rsidR="00014D85" w:rsidP="00F36566" w:rsidRDefault="0044255B" w14:paraId="601A68F4" w14:textId="77777777">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45 Silverwood Road</w:t>
      </w:r>
    </w:p>
    <w:p w:rsidR="00014D85" w:rsidP="00F36566" w:rsidRDefault="0044255B" w14:paraId="15AC3E6E" w14:textId="77777777">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Bordesley Green</w:t>
      </w:r>
    </w:p>
    <w:p w:rsidR="00014D85" w:rsidP="00F36566" w:rsidRDefault="0044255B" w14:paraId="3312F40F" w14:textId="77777777">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Birmingham</w:t>
      </w:r>
    </w:p>
    <w:p w:rsidRPr="00F36566" w:rsidR="0044255B" w:rsidP="00F36566" w:rsidRDefault="0044255B" w14:paraId="03825196" w14:textId="3D605112">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B9 5HL</w:t>
      </w:r>
    </w:p>
    <w:p w:rsidR="00014D85" w:rsidP="00F36566" w:rsidRDefault="00014D85" w14:paraId="50AE98CC" w14:textId="77777777">
      <w:pPr>
        <w:pStyle w:val="NormalWeb"/>
        <w:spacing w:line="360" w:lineRule="auto"/>
        <w:jc w:val="both"/>
        <w:rPr>
          <w:rFonts w:asciiTheme="minorBidi" w:hAnsiTheme="minorBidi" w:cstheme="minorBidi"/>
          <w:sz w:val="22"/>
          <w:szCs w:val="22"/>
        </w:rPr>
      </w:pPr>
    </w:p>
    <w:p w:rsidRPr="00F36566" w:rsidR="0044255B" w:rsidP="00F36566" w:rsidRDefault="0044255B" w14:paraId="39808816" w14:textId="7929B917">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12 June 2025</w:t>
      </w:r>
    </w:p>
    <w:p w:rsidR="00014D85" w:rsidP="00F36566" w:rsidRDefault="00014D85" w14:paraId="132C32B2" w14:textId="77777777">
      <w:pPr>
        <w:pStyle w:val="NormalWeb"/>
        <w:spacing w:line="360" w:lineRule="auto"/>
        <w:jc w:val="both"/>
        <w:rPr>
          <w:rFonts w:asciiTheme="minorBidi" w:hAnsiTheme="minorBidi" w:cstheme="minorBidi"/>
          <w:sz w:val="22"/>
          <w:szCs w:val="22"/>
        </w:rPr>
      </w:pPr>
    </w:p>
    <w:p w:rsidR="00014D85" w:rsidP="00F36566" w:rsidRDefault="0044255B" w14:paraId="4D9A9BD2" w14:textId="77777777">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Councillor Raqeeb Aziz</w:t>
      </w:r>
    </w:p>
    <w:p w:rsidR="00014D85" w:rsidP="00F36566" w:rsidRDefault="0044255B" w14:paraId="5B7CF72F" w14:textId="77777777">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Ward Councillor, Bordesley Green</w:t>
      </w:r>
    </w:p>
    <w:p w:rsidR="00014D85" w:rsidP="00F36566" w:rsidRDefault="0044255B" w14:paraId="399CE484" w14:textId="77777777">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Labour Party</w:t>
      </w:r>
    </w:p>
    <w:p w:rsidR="00014D85" w:rsidP="00F36566" w:rsidRDefault="0044255B" w14:paraId="11145DC1" w14:textId="77777777">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Council House</w:t>
      </w:r>
    </w:p>
    <w:p w:rsidR="00014D85" w:rsidP="00F36566" w:rsidRDefault="0044255B" w14:paraId="36408CD0" w14:textId="77777777">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Victoria Square</w:t>
      </w:r>
    </w:p>
    <w:p w:rsidR="00014D85" w:rsidP="00F36566" w:rsidRDefault="0044255B" w14:paraId="3CB41675" w14:textId="77777777">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Birmingham</w:t>
      </w:r>
    </w:p>
    <w:p w:rsidRPr="00F36566" w:rsidR="0044255B" w:rsidP="00F36566" w:rsidRDefault="0044255B" w14:paraId="12F18E5C" w14:textId="34585B52">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B1 1BB</w:t>
      </w:r>
    </w:p>
    <w:p w:rsidR="00014D85" w:rsidP="00F36566" w:rsidRDefault="00014D85" w14:paraId="7C64A364" w14:textId="77777777">
      <w:pPr>
        <w:pStyle w:val="NormalWeb"/>
        <w:spacing w:line="360" w:lineRule="auto"/>
        <w:jc w:val="both"/>
        <w:rPr>
          <w:rFonts w:asciiTheme="minorBidi" w:hAnsiTheme="minorBidi" w:cstheme="minorBidi"/>
          <w:sz w:val="22"/>
          <w:szCs w:val="22"/>
        </w:rPr>
      </w:pPr>
    </w:p>
    <w:p w:rsidRPr="00F36566" w:rsidR="0044255B" w:rsidP="00F36566" w:rsidRDefault="0044255B" w14:paraId="57EF1525" w14:textId="63CE4CC9">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Dear Councillor Aziz,</w:t>
      </w:r>
    </w:p>
    <w:p w:rsidR="00014D85" w:rsidP="00F36566" w:rsidRDefault="00014D85" w14:paraId="30341866" w14:textId="77777777">
      <w:pPr>
        <w:pStyle w:val="NormalWeb"/>
        <w:spacing w:line="360" w:lineRule="auto"/>
        <w:jc w:val="both"/>
        <w:rPr>
          <w:rFonts w:asciiTheme="minorBidi" w:hAnsiTheme="minorBidi" w:cstheme="minorBidi"/>
          <w:sz w:val="22"/>
          <w:szCs w:val="22"/>
        </w:rPr>
      </w:pPr>
    </w:p>
    <w:p w:rsidRPr="00F36566" w:rsidR="0044255B" w:rsidP="00F36566" w:rsidRDefault="0044255B" w14:paraId="0A0B0F5A" w14:textId="3BDD3481">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I write to draw your attention to a pressing shortfall in Community Mental Health Services within Bordesley Green and to urge immediate action to fulfil the statutory duties set out in Part 1 of the Care Act 2014. As Service Manager of Silverwood Hub, I witness daily the human </w:t>
      </w:r>
      <w:r w:rsidRPr="00F36566">
        <w:rPr>
          <w:rFonts w:asciiTheme="minorBidi" w:hAnsiTheme="minorBidi" w:cstheme="minorBidi"/>
          <w:sz w:val="22"/>
          <w:szCs w:val="22"/>
        </w:rPr>
        <w:lastRenderedPageBreak/>
        <w:t>cost of delayed interventions and fragmented support. Section 1 of the Care Act mandates that local authorities promote individual well-being, while Section 2 requires the prevention or delay of future care needs—responsibilities that are currently undermined by insufficient community provision</w:t>
      </w:r>
      <w:r w:rsidRPr="00F36566" w:rsidR="00987FFB">
        <w:rPr>
          <w:rStyle w:val="ms-1"/>
          <w:rFonts w:asciiTheme="minorBidi" w:hAnsiTheme="minorBidi" w:eastAsiaTheme="majorEastAsia" w:cstheme="minorBidi"/>
          <w:sz w:val="22"/>
          <w:szCs w:val="22"/>
        </w:rPr>
        <w:t xml:space="preserve"> </w:t>
      </w:r>
      <w:r w:rsidRPr="00F36566" w:rsidR="00987FFB">
        <w:rPr>
          <w:rFonts w:asciiTheme="minorBidi" w:hAnsiTheme="minorBidi" w:cstheme="minorBidi"/>
          <w:sz w:val="22"/>
          <w:szCs w:val="22"/>
        </w:rPr>
        <w:t>(Gov UK, 2014)</w:t>
      </w:r>
      <w:r w:rsidRPr="00F36566">
        <w:rPr>
          <w:rFonts w:asciiTheme="minorBidi" w:hAnsiTheme="minorBidi" w:cstheme="minorBidi"/>
          <w:sz w:val="22"/>
          <w:szCs w:val="22"/>
        </w:rPr>
        <w:t>.</w:t>
      </w:r>
    </w:p>
    <w:p w:rsidRPr="00F36566" w:rsidR="0044255B" w:rsidP="00F36566" w:rsidRDefault="0044255B" w14:paraId="65589A2D" w14:textId="6C4955A3">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National evidence underscores the urgency. The Adult Psychiatric Morbidity Survey found that one in six adults experiences a common mental disorder each week, demonstrating the scale of need for local, accessible support </w:t>
      </w:r>
      <w:r w:rsidRPr="00F36566" w:rsidR="00313351">
        <w:rPr>
          <w:rFonts w:asciiTheme="minorBidi" w:hAnsiTheme="minorBidi" w:cstheme="minorBidi"/>
          <w:sz w:val="22"/>
          <w:szCs w:val="22"/>
        </w:rPr>
        <w:t>(Mental Health Foundation, 2023)</w:t>
      </w:r>
      <w:r w:rsidRPr="00F36566">
        <w:rPr>
          <w:rFonts w:asciiTheme="minorBidi" w:hAnsiTheme="minorBidi" w:cstheme="minorBidi"/>
          <w:sz w:val="22"/>
          <w:szCs w:val="22"/>
        </w:rPr>
        <w:t>. Despite this prevalence, our Hub operates at full capacity, with waiting lists often extending beyond recommended timeframes. Many residents face waits of several months for psychological therapies or care coordination, by which point their conditions have frequently escalated, requiring crisis admission or acute hospital intervention. Such outcomes run counter to the Care Act’s preventative ethos and place avoidable strain on emergency services</w:t>
      </w:r>
      <w:r w:rsidRPr="00F36566" w:rsidR="00096741">
        <w:rPr>
          <w:rFonts w:asciiTheme="minorBidi" w:hAnsiTheme="minorBidi" w:cstheme="minorBidi"/>
          <w:sz w:val="22"/>
          <w:szCs w:val="22"/>
        </w:rPr>
        <w:t xml:space="preserve"> (NHS England, 2024)</w:t>
      </w:r>
      <w:r w:rsidRPr="00F36566">
        <w:rPr>
          <w:rFonts w:asciiTheme="minorBidi" w:hAnsiTheme="minorBidi" w:cstheme="minorBidi"/>
          <w:sz w:val="22"/>
          <w:szCs w:val="22"/>
        </w:rPr>
        <w:t>.</w:t>
      </w:r>
    </w:p>
    <w:p w:rsidRPr="00F36566" w:rsidR="0044255B" w:rsidP="00F36566" w:rsidRDefault="0044255B" w14:paraId="131FB02E" w14:textId="693682E6">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Moreover, Section 5 of the Act obliges the promotion of diversity and quality in service provision. Yet in our locality there is no specialist early intervention in psychosis (EIP) stream, nor out-of-hours crisis support. This gap denies people rapid access to evidence-based treatments and undermines the Act’s requirement for person-centred, culturally appropriate care. Community hubs elsewhere have demonstrated that home-based cognitive behavioural therapy and culturally tailored peer support can reduce hospital admissions by up to 30%, yet such initiatives are absent here</w:t>
      </w:r>
      <w:r w:rsidRPr="00F36566" w:rsidR="00020B55">
        <w:rPr>
          <w:rFonts w:asciiTheme="minorBidi" w:hAnsiTheme="minorBidi" w:cstheme="minorBidi"/>
          <w:sz w:val="22"/>
          <w:szCs w:val="22"/>
        </w:rPr>
        <w:t xml:space="preserve"> (Birmingham Gov UK, 2024)</w:t>
      </w:r>
      <w:r w:rsidRPr="00F36566">
        <w:rPr>
          <w:rFonts w:asciiTheme="minorBidi" w:hAnsiTheme="minorBidi" w:cstheme="minorBidi"/>
          <w:sz w:val="22"/>
          <w:szCs w:val="22"/>
        </w:rPr>
        <w:t>.</w:t>
      </w:r>
    </w:p>
    <w:p w:rsidRPr="00F36566" w:rsidR="0044255B" w:rsidP="00F36566" w:rsidRDefault="0044255B" w14:paraId="41B6838B" w14:textId="7DA319BE">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Section 3 emphasises integration of care with health services, advocating joint protocols between mental health teams and primary care. However, mental health practitioners are not routinely co-located within GP surgeries in Bordesley Green, impairing early identification of emerging issues and obstructing collaborative care planning </w:t>
      </w:r>
      <w:r w:rsidRPr="00F36566" w:rsidR="00457490">
        <w:rPr>
          <w:rFonts w:asciiTheme="minorBidi" w:hAnsiTheme="minorBidi" w:cstheme="minorBidi"/>
          <w:sz w:val="22"/>
          <w:szCs w:val="22"/>
        </w:rPr>
        <w:t>(Miller, Glasby and Dickinson, 2021)</w:t>
      </w:r>
      <w:r w:rsidRPr="00F36566">
        <w:rPr>
          <w:rFonts w:asciiTheme="minorBidi" w:hAnsiTheme="minorBidi" w:cstheme="minorBidi"/>
          <w:sz w:val="22"/>
          <w:szCs w:val="22"/>
        </w:rPr>
        <w:t>. The result is disjointed pathways that leave residents to navigate complex systems alone, often repeating assessments and experiencing delays that exacerbate distress.</w:t>
      </w:r>
    </w:p>
    <w:p w:rsidRPr="00F36566" w:rsidR="0044255B" w:rsidP="00F36566" w:rsidRDefault="0044255B" w14:paraId="11E13321" w14:textId="61E9A90F">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To rectify these deficiencies, I propose three integrated measures. First, establish an EIP service within Silverwood Hub, compliant with NICE guideline NG53, which requires treatment for first-episode psychosis within two weeks of referral </w:t>
      </w:r>
      <w:r w:rsidRPr="00F36566" w:rsidR="00AE51DC">
        <w:rPr>
          <w:rFonts w:asciiTheme="minorBidi" w:hAnsiTheme="minorBidi" w:cstheme="minorBidi"/>
          <w:sz w:val="22"/>
          <w:szCs w:val="22"/>
        </w:rPr>
        <w:t>(NICE, 2016)</w:t>
      </w:r>
      <w:r w:rsidRPr="00F36566">
        <w:rPr>
          <w:rFonts w:asciiTheme="minorBidi" w:hAnsiTheme="minorBidi" w:cstheme="minorBidi"/>
          <w:sz w:val="22"/>
          <w:szCs w:val="22"/>
        </w:rPr>
        <w:t xml:space="preserve">. This will deliver swift access to multidisciplinary interventions and prevent the progression of severe symptoms. Second, pilot the co-location of mental health specialists in Bordesley Green GP practices, fostering seamless information sharing and early support, in alignment with Section 3’s integration mandate. Third, launch a 24/7 crisis helpline staffed by trained professionals to </w:t>
      </w:r>
      <w:r w:rsidRPr="00F36566">
        <w:rPr>
          <w:rFonts w:asciiTheme="minorBidi" w:hAnsiTheme="minorBidi" w:cstheme="minorBidi"/>
          <w:sz w:val="22"/>
          <w:szCs w:val="22"/>
        </w:rPr>
        <w:lastRenderedPageBreak/>
        <w:t>provide immediate advice, triage urgent needs, and avert avoidable blue-light call-outs</w:t>
      </w:r>
      <w:r w:rsidRPr="00F36566" w:rsidR="00F465BF">
        <w:rPr>
          <w:rFonts w:asciiTheme="minorBidi" w:hAnsiTheme="minorBidi" w:cstheme="minorBidi"/>
          <w:sz w:val="22"/>
          <w:szCs w:val="22"/>
        </w:rPr>
        <w:t xml:space="preserve"> (Feinstein et al., 2020)</w:t>
      </w:r>
      <w:r w:rsidRPr="00F36566">
        <w:rPr>
          <w:rFonts w:asciiTheme="minorBidi" w:hAnsiTheme="minorBidi" w:cstheme="minorBidi"/>
          <w:sz w:val="22"/>
          <w:szCs w:val="22"/>
        </w:rPr>
        <w:t>.</w:t>
      </w:r>
    </w:p>
    <w:p w:rsidRPr="00F36566" w:rsidR="0044255B" w:rsidP="00F36566" w:rsidRDefault="0044255B" w14:paraId="07734558" w14:textId="77777777">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Implementing these recommendations will necessitate modest reallocation of existing budgets and targeted bids to the Adult Social Care Innovation Fund, complemented by partnership funding through the Integrated Care Board. Crucially, they will enable Birmingham City Council to discharge its Care Act duties by promoting well-being, preventing escalating needs, and delivering diverse, high-quality services close to home. Such investment will not only improve outcomes for individuals but will also reduce long-term costs associated with acute hospital care and crisis interventions.</w:t>
      </w:r>
    </w:p>
    <w:p w:rsidRPr="00F36566" w:rsidR="0044255B" w:rsidP="00F36566" w:rsidRDefault="0044255B" w14:paraId="6C37F7F7" w14:textId="77777777">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I would be grateful for the opportunity to discuss these proposals with you and colleagues in Adult Social Care. Please contact me at 0121 234 5678 or silverwoodhub@nhs.net to arrange a meeting at your convenience. Thank you for your time and consideration.</w:t>
      </w:r>
    </w:p>
    <w:p w:rsidR="00014D85" w:rsidP="00F36566" w:rsidRDefault="00014D85" w14:paraId="769DEFB1" w14:textId="77777777">
      <w:pPr>
        <w:pStyle w:val="NormalWeb"/>
        <w:spacing w:line="360" w:lineRule="auto"/>
        <w:jc w:val="both"/>
        <w:rPr>
          <w:rFonts w:asciiTheme="minorBidi" w:hAnsiTheme="minorBidi" w:cstheme="minorBidi"/>
          <w:sz w:val="22"/>
          <w:szCs w:val="22"/>
        </w:rPr>
      </w:pPr>
    </w:p>
    <w:p w:rsidRPr="00F36566" w:rsidR="0044255B" w:rsidP="00F36566" w:rsidRDefault="0044255B" w14:paraId="3A30A502" w14:textId="4AD20887">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Yours sincerely,</w:t>
      </w:r>
    </w:p>
    <w:p w:rsidR="00014D85" w:rsidP="00F36566" w:rsidRDefault="00014D85" w14:paraId="55B98FE4" w14:textId="77777777">
      <w:pPr>
        <w:pStyle w:val="NormalWeb"/>
        <w:spacing w:line="360" w:lineRule="auto"/>
        <w:jc w:val="both"/>
        <w:rPr>
          <w:rFonts w:asciiTheme="minorBidi" w:hAnsiTheme="minorBidi" w:cstheme="minorBidi"/>
          <w:sz w:val="22"/>
          <w:szCs w:val="22"/>
        </w:rPr>
      </w:pPr>
    </w:p>
    <w:p w:rsidRPr="00F36566" w:rsidR="0044255B" w:rsidP="00F36566" w:rsidRDefault="0044255B" w14:paraId="6CACB310" w14:textId="5998CB3C">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Ms Aneesa</w:t>
      </w:r>
    </w:p>
    <w:p w:rsidRPr="00F36566" w:rsidR="00044181" w:rsidP="00F36566" w:rsidRDefault="0044255B" w14:paraId="264DC01B" w14:textId="77777777">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Service Manager</w:t>
      </w:r>
    </w:p>
    <w:p w:rsidRPr="00F36566" w:rsidR="0044255B" w:rsidP="00F36566" w:rsidRDefault="0044255B" w14:paraId="77371551" w14:textId="0FCF89DA">
      <w:pPr>
        <w:pStyle w:val="NormalWeb"/>
        <w:spacing w:line="360" w:lineRule="auto"/>
        <w:jc w:val="both"/>
        <w:rPr>
          <w:rFonts w:asciiTheme="minorBidi" w:hAnsiTheme="minorBidi" w:cstheme="minorBidi"/>
          <w:sz w:val="22"/>
          <w:szCs w:val="22"/>
        </w:rPr>
      </w:pPr>
      <w:r w:rsidRPr="00F36566">
        <w:rPr>
          <w:rFonts w:asciiTheme="minorBidi" w:hAnsiTheme="minorBidi" w:cstheme="minorBidi"/>
          <w:sz w:val="22"/>
          <w:szCs w:val="22"/>
        </w:rPr>
        <w:t>Silverwood Community Mental Health Hub</w:t>
      </w:r>
    </w:p>
    <w:p w:rsidRPr="00F36566" w:rsidR="0054005D" w:rsidP="00F36566" w:rsidRDefault="0054005D" w14:paraId="04EAD182" w14:textId="77777777">
      <w:pPr>
        <w:pStyle w:val="NormalWeb"/>
        <w:spacing w:line="360" w:lineRule="auto"/>
        <w:jc w:val="both"/>
        <w:rPr>
          <w:rFonts w:asciiTheme="minorBidi" w:hAnsiTheme="minorBidi" w:cstheme="minorBidi"/>
          <w:sz w:val="22"/>
          <w:szCs w:val="22"/>
        </w:rPr>
      </w:pPr>
    </w:p>
    <w:p w:rsidRPr="00F36566" w:rsidR="0054005D" w:rsidP="00F36566" w:rsidRDefault="0054005D" w14:paraId="648877DD" w14:textId="77777777">
      <w:pPr>
        <w:pStyle w:val="NormalWeb"/>
        <w:spacing w:line="360" w:lineRule="auto"/>
        <w:jc w:val="both"/>
        <w:rPr>
          <w:rFonts w:asciiTheme="minorBidi" w:hAnsiTheme="minorBidi" w:cstheme="minorBidi"/>
          <w:sz w:val="22"/>
          <w:szCs w:val="22"/>
        </w:rPr>
      </w:pPr>
    </w:p>
    <w:p w:rsidR="0054005D" w:rsidP="00F36566" w:rsidRDefault="0054005D" w14:paraId="4683B990" w14:textId="77777777">
      <w:pPr>
        <w:pStyle w:val="NormalWeb"/>
        <w:spacing w:line="360" w:lineRule="auto"/>
        <w:jc w:val="both"/>
        <w:rPr>
          <w:rFonts w:asciiTheme="minorBidi" w:hAnsiTheme="minorBidi" w:cstheme="minorBidi"/>
          <w:sz w:val="22"/>
          <w:szCs w:val="22"/>
        </w:rPr>
      </w:pPr>
    </w:p>
    <w:p w:rsidR="00014D85" w:rsidP="00F36566" w:rsidRDefault="00014D85" w14:paraId="61C82790" w14:textId="77777777">
      <w:pPr>
        <w:pStyle w:val="NormalWeb"/>
        <w:spacing w:line="360" w:lineRule="auto"/>
        <w:jc w:val="both"/>
        <w:rPr>
          <w:rFonts w:asciiTheme="minorBidi" w:hAnsiTheme="minorBidi" w:cstheme="minorBidi"/>
          <w:sz w:val="22"/>
          <w:szCs w:val="22"/>
        </w:rPr>
      </w:pPr>
    </w:p>
    <w:p w:rsidR="00014D85" w:rsidP="00F36566" w:rsidRDefault="00014D85" w14:paraId="36BAA043" w14:textId="77777777">
      <w:pPr>
        <w:pStyle w:val="NormalWeb"/>
        <w:spacing w:line="360" w:lineRule="auto"/>
        <w:jc w:val="both"/>
        <w:rPr>
          <w:rFonts w:asciiTheme="minorBidi" w:hAnsiTheme="minorBidi" w:cstheme="minorBidi"/>
          <w:sz w:val="22"/>
          <w:szCs w:val="22"/>
        </w:rPr>
      </w:pPr>
    </w:p>
    <w:p w:rsidR="00014D85" w:rsidP="00F36566" w:rsidRDefault="00014D85" w14:paraId="79DE3F21" w14:textId="77777777">
      <w:pPr>
        <w:pStyle w:val="NormalWeb"/>
        <w:spacing w:line="360" w:lineRule="auto"/>
        <w:jc w:val="both"/>
        <w:rPr>
          <w:rFonts w:asciiTheme="minorBidi" w:hAnsiTheme="minorBidi" w:cstheme="minorBidi"/>
          <w:sz w:val="22"/>
          <w:szCs w:val="22"/>
        </w:rPr>
      </w:pPr>
    </w:p>
    <w:p w:rsidR="00014D85" w:rsidP="00F36566" w:rsidRDefault="00014D85" w14:paraId="5D798223" w14:textId="77777777">
      <w:pPr>
        <w:pStyle w:val="NormalWeb"/>
        <w:spacing w:line="360" w:lineRule="auto"/>
        <w:jc w:val="both"/>
        <w:rPr>
          <w:rFonts w:asciiTheme="minorBidi" w:hAnsiTheme="minorBidi" w:cstheme="minorBidi"/>
          <w:sz w:val="22"/>
          <w:szCs w:val="22"/>
        </w:rPr>
      </w:pPr>
    </w:p>
    <w:p w:rsidR="00014D85" w:rsidP="00F36566" w:rsidRDefault="00014D85" w14:paraId="3B5D5874" w14:textId="77777777">
      <w:pPr>
        <w:pStyle w:val="NormalWeb"/>
        <w:spacing w:line="360" w:lineRule="auto"/>
        <w:jc w:val="both"/>
        <w:rPr>
          <w:rFonts w:asciiTheme="minorBidi" w:hAnsiTheme="minorBidi" w:cstheme="minorBidi"/>
          <w:sz w:val="22"/>
          <w:szCs w:val="22"/>
        </w:rPr>
      </w:pPr>
    </w:p>
    <w:p w:rsidRPr="00F36566" w:rsidR="00014D85" w:rsidP="00F36566" w:rsidRDefault="00014D85" w14:paraId="1CED7B7E" w14:textId="77777777">
      <w:pPr>
        <w:pStyle w:val="NormalWeb"/>
        <w:spacing w:line="360" w:lineRule="auto"/>
        <w:jc w:val="both"/>
        <w:rPr>
          <w:rFonts w:asciiTheme="minorBidi" w:hAnsiTheme="minorBidi" w:cstheme="minorBidi"/>
          <w:sz w:val="22"/>
          <w:szCs w:val="22"/>
        </w:rPr>
      </w:pPr>
    </w:p>
    <w:p w:rsidRPr="00357B0A" w:rsidR="0054005D" w:rsidP="00F36566" w:rsidRDefault="0054005D" w14:paraId="37543C0E" w14:textId="62A8B44F">
      <w:pPr>
        <w:pStyle w:val="NormalWeb"/>
        <w:spacing w:line="360" w:lineRule="auto"/>
        <w:jc w:val="both"/>
        <w:rPr>
          <w:rFonts w:asciiTheme="minorBidi" w:hAnsiTheme="minorBidi" w:cstheme="minorBidi"/>
          <w:b/>
          <w:bCs/>
          <w:i/>
          <w:iCs/>
          <w:sz w:val="28"/>
          <w:szCs w:val="28"/>
        </w:rPr>
      </w:pPr>
      <w:r w:rsidRPr="00357B0A">
        <w:rPr>
          <w:rFonts w:asciiTheme="minorBidi" w:hAnsiTheme="minorBidi" w:cstheme="minorBidi"/>
          <w:b/>
          <w:bCs/>
          <w:i/>
          <w:iCs/>
          <w:sz w:val="28"/>
          <w:szCs w:val="28"/>
        </w:rPr>
        <w:t>Task 2</w:t>
      </w:r>
    </w:p>
    <w:p w:rsidRPr="0054005D" w:rsidR="0054005D" w:rsidP="00F36566" w:rsidRDefault="0054005D" w14:paraId="5C47A915" w14:textId="77777777">
      <w:pPr>
        <w:spacing w:before="100" w:beforeAutospacing="1" w:after="100" w:afterAutospacing="1" w:line="360" w:lineRule="auto"/>
        <w:jc w:val="both"/>
        <w:outlineLvl w:val="1"/>
        <w:rPr>
          <w:rFonts w:eastAsia="Times New Roman" w:asciiTheme="minorBidi" w:hAnsiTheme="minorBidi"/>
          <w:b/>
          <w:bCs/>
          <w:i/>
          <w:iCs/>
          <w:kern w:val="0"/>
          <w:sz w:val="22"/>
          <w:szCs w:val="22"/>
          <w:lang w:eastAsia="en-GB"/>
          <w14:ligatures w14:val="none"/>
        </w:rPr>
      </w:pPr>
      <w:r w:rsidRPr="0054005D">
        <w:rPr>
          <w:rFonts w:eastAsia="Times New Roman" w:asciiTheme="minorBidi" w:hAnsiTheme="minorBidi"/>
          <w:b/>
          <w:bCs/>
          <w:i/>
          <w:iCs/>
          <w:kern w:val="0"/>
          <w:sz w:val="22"/>
          <w:szCs w:val="22"/>
          <w:lang w:eastAsia="en-GB"/>
          <w14:ligatures w14:val="none"/>
        </w:rPr>
        <w:t>Introduction and Historical Overview</w:t>
      </w:r>
    </w:p>
    <w:p w:rsidRPr="0054005D" w:rsidR="0054005D" w:rsidP="00F36566" w:rsidRDefault="0054005D" w14:paraId="442E80A4" w14:textId="7F58C121">
      <w:pPr>
        <w:spacing w:before="100" w:beforeAutospacing="1" w:after="100" w:afterAutospacing="1" w:line="360" w:lineRule="auto"/>
        <w:jc w:val="both"/>
        <w:rPr>
          <w:rFonts w:eastAsia="Times New Roman" w:asciiTheme="minorBidi" w:hAnsiTheme="minorBidi"/>
          <w:kern w:val="0"/>
          <w:sz w:val="22"/>
          <w:szCs w:val="22"/>
          <w:lang w:eastAsia="en-GB"/>
          <w14:ligatures w14:val="none"/>
        </w:rPr>
      </w:pPr>
      <w:r w:rsidRPr="0054005D">
        <w:rPr>
          <w:rFonts w:eastAsia="Times New Roman" w:asciiTheme="minorBidi" w:hAnsiTheme="minorBidi"/>
          <w:kern w:val="0"/>
          <w:sz w:val="22"/>
          <w:szCs w:val="22"/>
          <w:lang w:eastAsia="en-GB"/>
          <w14:ligatures w14:val="none"/>
        </w:rPr>
        <w:t>Community pharmacy in the United Kingdom has its origins in the National Health Service (NHS) at its inception in 1948, when pharmacists were incorporated as primary providers of medicines dispensation and advice under the NHS Act 1946</w:t>
      </w:r>
      <w:r w:rsidRPr="00F36566" w:rsidR="00044181">
        <w:rPr>
          <w:rFonts w:eastAsia="Times New Roman" w:asciiTheme="minorBidi" w:hAnsiTheme="minorBidi"/>
          <w:kern w:val="0"/>
          <w:sz w:val="22"/>
          <w:szCs w:val="22"/>
          <w:lang w:eastAsia="en-GB"/>
          <w14:ligatures w14:val="none"/>
        </w:rPr>
        <w:t xml:space="preserve"> </w:t>
      </w:r>
      <w:r w:rsidRPr="00F36566" w:rsidR="00044181">
        <w:rPr>
          <w:rFonts w:asciiTheme="minorBidi" w:hAnsiTheme="minorBidi"/>
          <w:sz w:val="22"/>
          <w:szCs w:val="22"/>
        </w:rPr>
        <w:t>(Anderson, 2007)</w:t>
      </w:r>
      <w:r w:rsidRPr="0054005D">
        <w:rPr>
          <w:rFonts w:eastAsia="Times New Roman" w:asciiTheme="minorBidi" w:hAnsiTheme="minorBidi"/>
          <w:kern w:val="0"/>
          <w:sz w:val="22"/>
          <w:szCs w:val="22"/>
          <w:lang w:eastAsia="en-GB"/>
          <w14:ligatures w14:val="none"/>
        </w:rPr>
        <w:t>. Over the ensuing decades, legislative and contractual evolutions sought to refine pharmacy roles. The Pharmaceutical Services (Advanced and Enhanced Services) (England) Directions 2011 expanded pharmacists’ scope to include Medicines Use Reviews and New Medicine Services, while the Community Pharmacy Contractual Framework (CPCF), first introduced in 2005 and revised most recently for 2024–26, has governed funding and service expectations</w:t>
      </w:r>
      <w:r w:rsidRPr="00F36566" w:rsidR="008F4500">
        <w:rPr>
          <w:rFonts w:eastAsia="Times New Roman" w:asciiTheme="minorBidi" w:hAnsiTheme="minorBidi"/>
          <w:kern w:val="0"/>
          <w:sz w:val="22"/>
          <w:szCs w:val="22"/>
          <w:lang w:eastAsia="en-GB"/>
          <w14:ligatures w14:val="none"/>
        </w:rPr>
        <w:t xml:space="preserve"> </w:t>
      </w:r>
      <w:r w:rsidRPr="00F36566" w:rsidR="008F4500">
        <w:rPr>
          <w:rFonts w:asciiTheme="minorBidi" w:hAnsiTheme="minorBidi"/>
          <w:sz w:val="22"/>
          <w:szCs w:val="22"/>
        </w:rPr>
        <w:t>(Community Pharmacy England, 2013)</w:t>
      </w:r>
      <w:r w:rsidRPr="0054005D">
        <w:rPr>
          <w:rFonts w:eastAsia="Times New Roman" w:asciiTheme="minorBidi" w:hAnsiTheme="minorBidi"/>
          <w:kern w:val="0"/>
          <w:sz w:val="22"/>
          <w:szCs w:val="22"/>
          <w:lang w:eastAsia="en-GB"/>
          <w14:ligatures w14:val="none"/>
        </w:rPr>
        <w:t>. Despite these developments, the fundamental premise—providing safe, accessible, expert medicines advice and supply close to patients’ homes—has remained constant. In recent years, policy documents such as the NHS Long Term Plan (2019) and the Pharmacy Integration Fund (launched 2016) reaffirmed the strategic importance of community pharmacies in delivering preventive care, reducing pressure on general practice, and supporting long-term condition management</w:t>
      </w:r>
      <w:r w:rsidRPr="00F36566" w:rsidR="00F87368">
        <w:rPr>
          <w:rFonts w:eastAsia="Times New Roman" w:asciiTheme="minorBidi" w:hAnsiTheme="minorBidi"/>
          <w:kern w:val="0"/>
          <w:sz w:val="22"/>
          <w:szCs w:val="22"/>
          <w:lang w:eastAsia="en-GB"/>
          <w14:ligatures w14:val="none"/>
        </w:rPr>
        <w:t xml:space="preserve"> </w:t>
      </w:r>
      <w:r w:rsidRPr="00F36566" w:rsidR="00F87368">
        <w:rPr>
          <w:rFonts w:asciiTheme="minorBidi" w:hAnsiTheme="minorBidi"/>
          <w:sz w:val="22"/>
          <w:szCs w:val="22"/>
        </w:rPr>
        <w:t>(Astbury et al., 2024)</w:t>
      </w:r>
      <w:r w:rsidRPr="0054005D">
        <w:rPr>
          <w:rFonts w:eastAsia="Times New Roman" w:asciiTheme="minorBidi" w:hAnsiTheme="minorBidi"/>
          <w:kern w:val="0"/>
          <w:sz w:val="22"/>
          <w:szCs w:val="22"/>
          <w:lang w:eastAsia="en-GB"/>
          <w14:ligatures w14:val="none"/>
        </w:rPr>
        <w:t>. However, beneath this policy optimism lie persistent tensions between expanding service ambitions and constrained resources, setting the stage for the challenges that this essay will explore.</w:t>
      </w:r>
    </w:p>
    <w:p w:rsidRPr="0054005D" w:rsidR="0054005D" w:rsidP="00F36566" w:rsidRDefault="0054005D" w14:paraId="4709F0A4" w14:textId="77777777">
      <w:pPr>
        <w:spacing w:before="100" w:beforeAutospacing="1" w:after="100" w:afterAutospacing="1" w:line="360" w:lineRule="auto"/>
        <w:jc w:val="both"/>
        <w:outlineLvl w:val="1"/>
        <w:rPr>
          <w:rFonts w:eastAsia="Times New Roman" w:asciiTheme="minorBidi" w:hAnsiTheme="minorBidi"/>
          <w:b/>
          <w:bCs/>
          <w:i/>
          <w:iCs/>
          <w:kern w:val="0"/>
          <w:sz w:val="22"/>
          <w:szCs w:val="22"/>
          <w:lang w:eastAsia="en-GB"/>
          <w14:ligatures w14:val="none"/>
        </w:rPr>
      </w:pPr>
      <w:r w:rsidRPr="0054005D">
        <w:rPr>
          <w:rFonts w:eastAsia="Times New Roman" w:asciiTheme="minorBidi" w:hAnsiTheme="minorBidi"/>
          <w:b/>
          <w:bCs/>
          <w:i/>
          <w:iCs/>
          <w:kern w:val="0"/>
          <w:sz w:val="22"/>
          <w:szCs w:val="22"/>
          <w:lang w:eastAsia="en-GB"/>
          <w14:ligatures w14:val="none"/>
        </w:rPr>
        <w:t>Challenge 1: Financial Sustainability and Funding Cuts</w:t>
      </w:r>
    </w:p>
    <w:p w:rsidRPr="0054005D" w:rsidR="0054005D" w:rsidP="00F36566" w:rsidRDefault="0054005D" w14:paraId="63618DFB" w14:textId="75EDBDBC">
      <w:pPr>
        <w:spacing w:before="100" w:beforeAutospacing="1" w:after="100" w:afterAutospacing="1" w:line="360" w:lineRule="auto"/>
        <w:jc w:val="both"/>
        <w:rPr>
          <w:rFonts w:eastAsia="Times New Roman" w:asciiTheme="minorBidi" w:hAnsiTheme="minorBidi"/>
          <w:kern w:val="0"/>
          <w:sz w:val="22"/>
          <w:szCs w:val="22"/>
          <w:lang w:eastAsia="en-GB"/>
          <w14:ligatures w14:val="none"/>
        </w:rPr>
      </w:pPr>
      <w:r w:rsidRPr="0054005D">
        <w:rPr>
          <w:rFonts w:eastAsia="Times New Roman" w:asciiTheme="minorBidi" w:hAnsiTheme="minorBidi"/>
          <w:kern w:val="0"/>
          <w:sz w:val="22"/>
          <w:szCs w:val="22"/>
          <w:lang w:eastAsia="en-GB"/>
          <w14:ligatures w14:val="none"/>
        </w:rPr>
        <w:t xml:space="preserve">Over the past decade, community pharmacies have faced repeated reductions in real-terms funding, undermining their financial sustainability and service capacity. Between 2015/16 and 2017/18, baseline funding for pharmacy services fell from £2.8 billion to £2.592 billion despite a growing volume of prescriptions dispensed </w:t>
      </w:r>
      <w:r w:rsidRPr="00F36566" w:rsidR="00F87368">
        <w:rPr>
          <w:rFonts w:asciiTheme="minorBidi" w:hAnsiTheme="minorBidi"/>
          <w:sz w:val="22"/>
          <w:szCs w:val="22"/>
        </w:rPr>
        <w:t>(Frontier Economics, 2025)</w:t>
      </w:r>
      <w:r w:rsidRPr="0054005D">
        <w:rPr>
          <w:rFonts w:eastAsia="Times New Roman" w:asciiTheme="minorBidi" w:hAnsiTheme="minorBidi"/>
          <w:kern w:val="0"/>
          <w:sz w:val="22"/>
          <w:szCs w:val="22"/>
          <w:lang w:eastAsia="en-GB"/>
          <w14:ligatures w14:val="none"/>
        </w:rPr>
        <w:t xml:space="preserve">. Concurrently, the 2016 CPCF overhaul imposed a 4.0 percent budget cut for 2016–17 and a further 3.4 percent in 2017–18, removed establishment payments, and shifted emphasis towards quality payments—measures that many pharmacists argued failed to offset rising operating costs </w:t>
      </w:r>
      <w:r w:rsidRPr="00F36566" w:rsidR="00F401AE">
        <w:rPr>
          <w:rFonts w:asciiTheme="minorBidi" w:hAnsiTheme="minorBidi"/>
          <w:sz w:val="22"/>
          <w:szCs w:val="22"/>
        </w:rPr>
        <w:t>(Connelly, 2021)</w:t>
      </w:r>
      <w:r w:rsidRPr="0054005D">
        <w:rPr>
          <w:rFonts w:eastAsia="Times New Roman" w:asciiTheme="minorBidi" w:hAnsiTheme="minorBidi"/>
          <w:kern w:val="0"/>
          <w:sz w:val="22"/>
          <w:szCs w:val="22"/>
          <w:lang w:eastAsia="en-GB"/>
          <w14:ligatures w14:val="none"/>
        </w:rPr>
        <w:t xml:space="preserve">. </w:t>
      </w:r>
      <w:r w:rsidRPr="00F36566" w:rsidR="008034CA">
        <w:rPr>
          <w:rFonts w:asciiTheme="minorBidi" w:hAnsiTheme="minorBidi"/>
          <w:sz w:val="22"/>
          <w:szCs w:val="22"/>
        </w:rPr>
        <w:t xml:space="preserve">Thomas (2024) </w:t>
      </w:r>
      <w:r w:rsidRPr="0054005D">
        <w:rPr>
          <w:rFonts w:eastAsia="Times New Roman" w:asciiTheme="minorBidi" w:hAnsiTheme="minorBidi"/>
          <w:kern w:val="0"/>
          <w:sz w:val="22"/>
          <w:szCs w:val="22"/>
          <w:lang w:eastAsia="en-GB"/>
          <w14:ligatures w14:val="none"/>
        </w:rPr>
        <w:t xml:space="preserve">revealed that 96 percent of surveyed pharmacies had curtailed locally commissioned public-health services (e.g., emergency contraception, smoking cessation) in response to financial strain, while 81 percent reduced their opening </w:t>
      </w:r>
      <w:r w:rsidRPr="0054005D">
        <w:rPr>
          <w:rFonts w:eastAsia="Times New Roman" w:asciiTheme="minorBidi" w:hAnsiTheme="minorBidi"/>
          <w:kern w:val="0"/>
          <w:sz w:val="22"/>
          <w:szCs w:val="22"/>
          <w:lang w:eastAsia="en-GB"/>
          <w14:ligatures w14:val="none"/>
        </w:rPr>
        <w:lastRenderedPageBreak/>
        <w:t>hours. These service contractions disproportionately affect vulnerable populations in deprived areas, exacerbating health inequalities.</w:t>
      </w:r>
    </w:p>
    <w:p w:rsidRPr="0054005D" w:rsidR="0054005D" w:rsidP="00F36566" w:rsidRDefault="0054005D" w14:paraId="3090BE2F" w14:textId="298680F7">
      <w:pPr>
        <w:spacing w:before="100" w:beforeAutospacing="1" w:after="100" w:afterAutospacing="1" w:line="360" w:lineRule="auto"/>
        <w:jc w:val="both"/>
        <w:rPr>
          <w:rFonts w:eastAsia="Times New Roman" w:asciiTheme="minorBidi" w:hAnsiTheme="minorBidi"/>
          <w:kern w:val="0"/>
          <w:sz w:val="22"/>
          <w:szCs w:val="22"/>
          <w:lang w:eastAsia="en-GB"/>
          <w14:ligatures w14:val="none"/>
        </w:rPr>
      </w:pPr>
      <w:r w:rsidRPr="0054005D">
        <w:rPr>
          <w:rFonts w:eastAsia="Times New Roman" w:asciiTheme="minorBidi" w:hAnsiTheme="minorBidi"/>
          <w:kern w:val="0"/>
          <w:sz w:val="22"/>
          <w:szCs w:val="22"/>
          <w:lang w:eastAsia="en-GB"/>
          <w14:ligatures w14:val="none"/>
        </w:rPr>
        <w:t>Independent economic analysis further paints a dire picture: community pharmacy faces an annual shortfall of over £170 million, with the cost of delivering mandated NHS services far outstripping available funding</w:t>
      </w:r>
      <w:r w:rsidRPr="00F36566" w:rsidR="006E5A0F">
        <w:rPr>
          <w:rFonts w:eastAsia="Times New Roman" w:asciiTheme="minorBidi" w:hAnsiTheme="minorBidi"/>
          <w:kern w:val="0"/>
          <w:sz w:val="22"/>
          <w:szCs w:val="22"/>
          <w:lang w:eastAsia="en-GB"/>
          <w14:ligatures w14:val="none"/>
        </w:rPr>
        <w:t xml:space="preserve"> </w:t>
      </w:r>
      <w:r w:rsidRPr="00F36566" w:rsidR="006E5A0F">
        <w:rPr>
          <w:rFonts w:asciiTheme="minorBidi" w:hAnsiTheme="minorBidi"/>
          <w:sz w:val="22"/>
          <w:szCs w:val="22"/>
        </w:rPr>
        <w:t>(Connelly, 2025)</w:t>
      </w:r>
      <w:r w:rsidRPr="0054005D">
        <w:rPr>
          <w:rFonts w:eastAsia="Times New Roman" w:asciiTheme="minorBidi" w:hAnsiTheme="minorBidi"/>
          <w:kern w:val="0"/>
          <w:sz w:val="22"/>
          <w:szCs w:val="22"/>
          <w:lang w:eastAsia="en-GB"/>
          <w14:ligatures w14:val="none"/>
        </w:rPr>
        <w:t>. As a result, more than 1,500 pharmacies have closed in England since 2015, at a rate of seven per week, leaving “pharmacy deserts” in both urban and rural locales and forcing patients to travel considerable distances for basic medicines and advice. Without urgent reprieve, the viability of smaller, independent pharmacies—and the equitable access they provide—remains under existential threat</w:t>
      </w:r>
      <w:r w:rsidRPr="00F36566" w:rsidR="002F561D">
        <w:rPr>
          <w:rFonts w:eastAsia="Times New Roman" w:asciiTheme="minorBidi" w:hAnsiTheme="minorBidi"/>
          <w:kern w:val="0"/>
          <w:sz w:val="22"/>
          <w:szCs w:val="22"/>
          <w:lang w:eastAsia="en-GB"/>
          <w14:ligatures w14:val="none"/>
        </w:rPr>
        <w:t xml:space="preserve"> </w:t>
      </w:r>
      <w:r w:rsidRPr="00F36566" w:rsidR="002F561D">
        <w:rPr>
          <w:rFonts w:asciiTheme="minorBidi" w:hAnsiTheme="minorBidi"/>
          <w:sz w:val="22"/>
          <w:szCs w:val="22"/>
        </w:rPr>
        <w:t>(National Pharmacy Association, 2024)</w:t>
      </w:r>
      <w:r w:rsidRPr="0054005D">
        <w:rPr>
          <w:rFonts w:eastAsia="Times New Roman" w:asciiTheme="minorBidi" w:hAnsiTheme="minorBidi"/>
          <w:kern w:val="0"/>
          <w:sz w:val="22"/>
          <w:szCs w:val="22"/>
          <w:lang w:eastAsia="en-GB"/>
          <w14:ligatures w14:val="none"/>
        </w:rPr>
        <w:t>.</w:t>
      </w:r>
    </w:p>
    <w:p w:rsidRPr="0054005D" w:rsidR="0054005D" w:rsidP="00F36566" w:rsidRDefault="0054005D" w14:paraId="3BDCEF69" w14:textId="77777777">
      <w:pPr>
        <w:spacing w:before="100" w:beforeAutospacing="1" w:after="100" w:afterAutospacing="1" w:line="360" w:lineRule="auto"/>
        <w:jc w:val="both"/>
        <w:outlineLvl w:val="1"/>
        <w:rPr>
          <w:rFonts w:eastAsia="Times New Roman" w:asciiTheme="minorBidi" w:hAnsiTheme="minorBidi"/>
          <w:b/>
          <w:bCs/>
          <w:i/>
          <w:iCs/>
          <w:kern w:val="0"/>
          <w:sz w:val="22"/>
          <w:szCs w:val="22"/>
          <w:lang w:eastAsia="en-GB"/>
          <w14:ligatures w14:val="none"/>
        </w:rPr>
      </w:pPr>
      <w:r w:rsidRPr="0054005D">
        <w:rPr>
          <w:rFonts w:eastAsia="Times New Roman" w:asciiTheme="minorBidi" w:hAnsiTheme="minorBidi"/>
          <w:b/>
          <w:bCs/>
          <w:i/>
          <w:iCs/>
          <w:kern w:val="0"/>
          <w:sz w:val="22"/>
          <w:szCs w:val="22"/>
          <w:lang w:eastAsia="en-GB"/>
          <w14:ligatures w14:val="none"/>
        </w:rPr>
        <w:t>Challenge 2: Medicines Supply Chain Disruptions and Shortages</w:t>
      </w:r>
    </w:p>
    <w:p w:rsidRPr="0054005D" w:rsidR="0054005D" w:rsidP="00F36566" w:rsidRDefault="0054005D" w14:paraId="25D95CEC" w14:textId="7E677425">
      <w:pPr>
        <w:spacing w:before="100" w:beforeAutospacing="1" w:after="100" w:afterAutospacing="1" w:line="360" w:lineRule="auto"/>
        <w:jc w:val="both"/>
        <w:rPr>
          <w:rFonts w:eastAsia="Times New Roman" w:asciiTheme="minorBidi" w:hAnsiTheme="minorBidi"/>
          <w:kern w:val="0"/>
          <w:sz w:val="22"/>
          <w:szCs w:val="22"/>
          <w:lang w:eastAsia="en-GB"/>
          <w14:ligatures w14:val="none"/>
        </w:rPr>
      </w:pPr>
      <w:r w:rsidRPr="0054005D">
        <w:rPr>
          <w:rFonts w:eastAsia="Times New Roman" w:asciiTheme="minorBidi" w:hAnsiTheme="minorBidi"/>
          <w:kern w:val="0"/>
          <w:sz w:val="22"/>
          <w:szCs w:val="22"/>
          <w:lang w:eastAsia="en-GB"/>
          <w14:ligatures w14:val="none"/>
        </w:rPr>
        <w:t>In parallel, community pharmacies have contended with increasingly frequent and severe medicines shortages, driven by global supply-chain vulnerabilities and domestic regulatory constraints. The House of Commons Library’s April 2025 briefing on medicines shortages notes that supply-chain fragmentation, manufacturing problems, and Brexit-related import barriers contributed to 1,938 reported supply disruptions in 2024—three times the level seen in 2019</w:t>
      </w:r>
      <w:r w:rsidRPr="00F36566" w:rsidR="00E835A4">
        <w:rPr>
          <w:rFonts w:eastAsia="Times New Roman" w:asciiTheme="minorBidi" w:hAnsiTheme="minorBidi"/>
          <w:kern w:val="0"/>
          <w:sz w:val="22"/>
          <w:szCs w:val="22"/>
          <w:lang w:eastAsia="en-GB"/>
          <w14:ligatures w14:val="none"/>
        </w:rPr>
        <w:t xml:space="preserve"> </w:t>
      </w:r>
      <w:r w:rsidRPr="00F36566" w:rsidR="00E835A4">
        <w:rPr>
          <w:rFonts w:asciiTheme="minorBidi" w:hAnsiTheme="minorBidi"/>
          <w:sz w:val="22"/>
          <w:szCs w:val="22"/>
        </w:rPr>
        <w:t>(Duddy, 2024)</w:t>
      </w:r>
      <w:r w:rsidRPr="0054005D">
        <w:rPr>
          <w:rFonts w:eastAsia="Times New Roman" w:asciiTheme="minorBidi" w:hAnsiTheme="minorBidi"/>
          <w:kern w:val="0"/>
          <w:sz w:val="22"/>
          <w:szCs w:val="22"/>
          <w:lang w:eastAsia="en-GB"/>
          <w14:ligatures w14:val="none"/>
        </w:rPr>
        <w:t xml:space="preserve">. </w:t>
      </w:r>
      <w:r w:rsidRPr="00F36566" w:rsidR="00BB027E">
        <w:rPr>
          <w:rFonts w:asciiTheme="minorBidi" w:hAnsiTheme="minorBidi"/>
          <w:sz w:val="22"/>
          <w:szCs w:val="22"/>
        </w:rPr>
        <w:t xml:space="preserve">Reuters Staff (2024) </w:t>
      </w:r>
      <w:r w:rsidRPr="0054005D">
        <w:rPr>
          <w:rFonts w:eastAsia="Times New Roman" w:asciiTheme="minorBidi" w:hAnsiTheme="minorBidi"/>
          <w:kern w:val="0"/>
          <w:sz w:val="22"/>
          <w:szCs w:val="22"/>
          <w:lang w:eastAsia="en-GB"/>
          <w14:ligatures w14:val="none"/>
        </w:rPr>
        <w:t>corroborates this trend, reporting that drug-shortage warnings more than doubled from 648 in 2020 to 1,643 in 2023, with critical medications such as antibiotics and anti-epileptics among those most affected.</w:t>
      </w:r>
    </w:p>
    <w:p w:rsidRPr="0054005D" w:rsidR="0054005D" w:rsidP="00F36566" w:rsidRDefault="0054005D" w14:paraId="1ECE920B" w14:textId="51D3DA0E">
      <w:pPr>
        <w:spacing w:before="100" w:beforeAutospacing="1" w:after="100" w:afterAutospacing="1" w:line="360" w:lineRule="auto"/>
        <w:jc w:val="both"/>
        <w:rPr>
          <w:rFonts w:eastAsia="Times New Roman" w:asciiTheme="minorBidi" w:hAnsiTheme="minorBidi"/>
          <w:kern w:val="0"/>
          <w:sz w:val="22"/>
          <w:szCs w:val="22"/>
          <w:lang w:eastAsia="en-GB"/>
          <w14:ligatures w14:val="none"/>
        </w:rPr>
      </w:pPr>
      <w:r w:rsidRPr="0054005D">
        <w:rPr>
          <w:rFonts w:eastAsia="Times New Roman" w:asciiTheme="minorBidi" w:hAnsiTheme="minorBidi"/>
          <w:kern w:val="0"/>
          <w:sz w:val="22"/>
          <w:szCs w:val="22"/>
          <w:lang w:eastAsia="en-GB"/>
          <w14:ligatures w14:val="none"/>
        </w:rPr>
        <w:t xml:space="preserve">Pharmacists routinely spend hours locating alternative suppliers, rationing stocks, or advising patients on substitute therapies, adding to operational burdens and patient anxiety. </w:t>
      </w:r>
      <w:r w:rsidRPr="00F36566" w:rsidR="00192852">
        <w:rPr>
          <w:rFonts w:asciiTheme="minorBidi" w:hAnsiTheme="minorBidi"/>
          <w:sz w:val="22"/>
          <w:szCs w:val="22"/>
        </w:rPr>
        <w:t>Royal Pharmaceutical Society (2024)</w:t>
      </w:r>
      <w:r w:rsidRPr="00F36566" w:rsidR="00192852">
        <w:rPr>
          <w:rFonts w:eastAsia="Times New Roman" w:asciiTheme="minorBidi" w:hAnsiTheme="minorBidi"/>
          <w:i/>
          <w:iCs/>
          <w:kern w:val="0"/>
          <w:sz w:val="22"/>
          <w:szCs w:val="22"/>
          <w:lang w:eastAsia="en-GB"/>
          <w14:ligatures w14:val="none"/>
        </w:rPr>
        <w:t xml:space="preserve"> </w:t>
      </w:r>
      <w:r w:rsidRPr="0054005D">
        <w:rPr>
          <w:rFonts w:eastAsia="Times New Roman" w:asciiTheme="minorBidi" w:hAnsiTheme="minorBidi"/>
          <w:kern w:val="0"/>
          <w:sz w:val="22"/>
          <w:szCs w:val="22"/>
          <w:lang w:eastAsia="en-GB"/>
          <w14:ligatures w14:val="none"/>
        </w:rPr>
        <w:t>highlights that shortages impair continuity of care, heighten safety risks, and strain relationships between pharmacists and prescribers—a dynamic that undermines integrated care goals. Case studies reveal patients with chronic conditions, such as cystic fibrosis, enduring long journeys to secure essential medications, with some forced into dose rationing and others experiencing clinical deterioration while awaiting restocking</w:t>
      </w:r>
      <w:r w:rsidRPr="00F36566" w:rsidR="00365247">
        <w:rPr>
          <w:rFonts w:eastAsia="Times New Roman" w:asciiTheme="minorBidi" w:hAnsiTheme="minorBidi"/>
          <w:kern w:val="0"/>
          <w:sz w:val="22"/>
          <w:szCs w:val="22"/>
          <w:lang w:eastAsia="en-GB"/>
          <w14:ligatures w14:val="none"/>
        </w:rPr>
        <w:t xml:space="preserve"> </w:t>
      </w:r>
      <w:r w:rsidRPr="00F36566" w:rsidR="00365247">
        <w:rPr>
          <w:rFonts w:asciiTheme="minorBidi" w:hAnsiTheme="minorBidi"/>
          <w:sz w:val="22"/>
          <w:szCs w:val="22"/>
        </w:rPr>
        <w:t>(Lintern and Menzies, 2024)</w:t>
      </w:r>
      <w:r w:rsidRPr="0054005D">
        <w:rPr>
          <w:rFonts w:eastAsia="Times New Roman" w:asciiTheme="minorBidi" w:hAnsiTheme="minorBidi"/>
          <w:kern w:val="0"/>
          <w:sz w:val="22"/>
          <w:szCs w:val="22"/>
          <w:lang w:eastAsia="en-GB"/>
          <w14:ligatures w14:val="none"/>
        </w:rPr>
        <w:t>.</w:t>
      </w:r>
    </w:p>
    <w:p w:rsidR="0054005D" w:rsidP="00F36566" w:rsidRDefault="0054005D" w14:paraId="75C56E55" w14:textId="5862BBA6">
      <w:pPr>
        <w:spacing w:before="100" w:beforeAutospacing="1" w:after="100" w:afterAutospacing="1" w:line="360" w:lineRule="auto"/>
        <w:jc w:val="both"/>
        <w:rPr>
          <w:rFonts w:eastAsia="Times New Roman" w:asciiTheme="minorBidi" w:hAnsiTheme="minorBidi"/>
          <w:kern w:val="0"/>
          <w:sz w:val="22"/>
          <w:szCs w:val="22"/>
          <w:lang w:eastAsia="en-GB"/>
          <w14:ligatures w14:val="none"/>
        </w:rPr>
      </w:pPr>
      <w:r w:rsidRPr="0054005D">
        <w:rPr>
          <w:rFonts w:eastAsia="Times New Roman" w:asciiTheme="minorBidi" w:hAnsiTheme="minorBidi"/>
          <w:kern w:val="0"/>
          <w:sz w:val="22"/>
          <w:szCs w:val="22"/>
          <w:lang w:eastAsia="en-GB"/>
          <w14:ligatures w14:val="none"/>
        </w:rPr>
        <w:t>Efforts to manage shortages—such as Serious Shortage Protocols and emergency price concessions—offer temporary relief but fail to address root causes. Calls for a strategic, government-led review of medicine supply and pricing mechanisms have gone largely unanswered, leaving community pharmacists to navigate an unpredictable landscape in which global market shifts and domestic policy decisions can translate instantly into empty shelves and compromised patient care</w:t>
      </w:r>
      <w:r w:rsidRPr="00F36566" w:rsidR="009A5FC0">
        <w:rPr>
          <w:rFonts w:eastAsia="Times New Roman" w:asciiTheme="minorBidi" w:hAnsiTheme="minorBidi"/>
          <w:kern w:val="0"/>
          <w:sz w:val="22"/>
          <w:szCs w:val="22"/>
          <w:lang w:eastAsia="en-GB"/>
          <w14:ligatures w14:val="none"/>
        </w:rPr>
        <w:t xml:space="preserve"> </w:t>
      </w:r>
      <w:r w:rsidRPr="00F36566" w:rsidR="009A5FC0">
        <w:rPr>
          <w:rFonts w:asciiTheme="minorBidi" w:hAnsiTheme="minorBidi"/>
          <w:sz w:val="22"/>
          <w:szCs w:val="22"/>
        </w:rPr>
        <w:t>(Duddy, 2025)</w:t>
      </w:r>
      <w:r w:rsidRPr="0054005D">
        <w:rPr>
          <w:rFonts w:eastAsia="Times New Roman" w:asciiTheme="minorBidi" w:hAnsiTheme="minorBidi"/>
          <w:kern w:val="0"/>
          <w:sz w:val="22"/>
          <w:szCs w:val="22"/>
          <w:lang w:eastAsia="en-GB"/>
          <w14:ligatures w14:val="none"/>
        </w:rPr>
        <w:t>.</w:t>
      </w:r>
    </w:p>
    <w:p w:rsidRPr="0054005D" w:rsidR="007F04DF" w:rsidP="00F36566" w:rsidRDefault="007F04DF" w14:paraId="1D3C74DD" w14:textId="77777777">
      <w:pPr>
        <w:spacing w:before="100" w:beforeAutospacing="1" w:after="100" w:afterAutospacing="1" w:line="360" w:lineRule="auto"/>
        <w:jc w:val="both"/>
        <w:rPr>
          <w:rFonts w:eastAsia="Times New Roman" w:asciiTheme="minorBidi" w:hAnsiTheme="minorBidi"/>
          <w:kern w:val="0"/>
          <w:sz w:val="22"/>
          <w:szCs w:val="22"/>
          <w:lang w:eastAsia="en-GB"/>
          <w14:ligatures w14:val="none"/>
        </w:rPr>
      </w:pPr>
    </w:p>
    <w:p w:rsidRPr="0054005D" w:rsidR="0054005D" w:rsidP="00F36566" w:rsidRDefault="0054005D" w14:paraId="3226B7E1" w14:textId="77777777">
      <w:pPr>
        <w:spacing w:before="100" w:beforeAutospacing="1" w:after="100" w:afterAutospacing="1" w:line="360" w:lineRule="auto"/>
        <w:jc w:val="both"/>
        <w:outlineLvl w:val="1"/>
        <w:rPr>
          <w:rFonts w:eastAsia="Times New Roman" w:asciiTheme="minorBidi" w:hAnsiTheme="minorBidi"/>
          <w:b/>
          <w:bCs/>
          <w:i/>
          <w:iCs/>
          <w:kern w:val="0"/>
          <w:sz w:val="22"/>
          <w:szCs w:val="22"/>
          <w:lang w:eastAsia="en-GB"/>
          <w14:ligatures w14:val="none"/>
        </w:rPr>
      </w:pPr>
      <w:r w:rsidRPr="0054005D">
        <w:rPr>
          <w:rFonts w:eastAsia="Times New Roman" w:asciiTheme="minorBidi" w:hAnsiTheme="minorBidi"/>
          <w:b/>
          <w:bCs/>
          <w:i/>
          <w:iCs/>
          <w:kern w:val="0"/>
          <w:sz w:val="22"/>
          <w:szCs w:val="22"/>
          <w:lang w:eastAsia="en-GB"/>
          <w14:ligatures w14:val="none"/>
        </w:rPr>
        <w:t>Recommendations and Conclusion</w:t>
      </w:r>
    </w:p>
    <w:p w:rsidRPr="0054005D" w:rsidR="0054005D" w:rsidP="00F36566" w:rsidRDefault="0054005D" w14:paraId="1268F61A" w14:textId="0CC909C8">
      <w:pPr>
        <w:spacing w:before="100" w:beforeAutospacing="1" w:after="100" w:afterAutospacing="1" w:line="360" w:lineRule="auto"/>
        <w:jc w:val="both"/>
        <w:rPr>
          <w:rFonts w:eastAsia="Times New Roman" w:asciiTheme="minorBidi" w:hAnsiTheme="minorBidi"/>
          <w:kern w:val="0"/>
          <w:sz w:val="22"/>
          <w:szCs w:val="22"/>
          <w:lang w:eastAsia="en-GB"/>
          <w14:ligatures w14:val="none"/>
        </w:rPr>
      </w:pPr>
      <w:r w:rsidRPr="0054005D">
        <w:rPr>
          <w:rFonts w:eastAsia="Times New Roman" w:asciiTheme="minorBidi" w:hAnsiTheme="minorBidi"/>
          <w:kern w:val="0"/>
          <w:sz w:val="22"/>
          <w:szCs w:val="22"/>
          <w:lang w:eastAsia="en-GB"/>
          <w14:ligatures w14:val="none"/>
        </w:rPr>
        <w:t xml:space="preserve">Addressing the intertwined challenges of financial instability and medicines shortages requires a multi-dimensional strategy that realigns funding models, strengthens supply chains, and empowers pharmacists as pivotal healthcare providers. First, the </w:t>
      </w:r>
      <w:r w:rsidRPr="00F36566" w:rsidR="005639EB">
        <w:rPr>
          <w:rFonts w:asciiTheme="minorBidi" w:hAnsiTheme="minorBidi"/>
          <w:sz w:val="22"/>
          <w:szCs w:val="22"/>
        </w:rPr>
        <w:t xml:space="preserve">Community Pharmacy Contractual Framework </w:t>
      </w:r>
      <w:r w:rsidRPr="0054005D">
        <w:rPr>
          <w:rFonts w:eastAsia="Times New Roman" w:asciiTheme="minorBidi" w:hAnsiTheme="minorBidi"/>
          <w:kern w:val="0"/>
          <w:sz w:val="22"/>
          <w:szCs w:val="22"/>
          <w:lang w:eastAsia="en-GB"/>
          <w14:ligatures w14:val="none"/>
        </w:rPr>
        <w:t>must evolve into a dynamic, need-weighted funding framework that allocates resources based on local deprivation and service demand rather than a flat per-item payment</w:t>
      </w:r>
      <w:r w:rsidRPr="00F36566" w:rsidR="00CF744A">
        <w:rPr>
          <w:rFonts w:eastAsia="Times New Roman" w:asciiTheme="minorBidi" w:hAnsiTheme="minorBidi"/>
          <w:kern w:val="0"/>
          <w:sz w:val="22"/>
          <w:szCs w:val="22"/>
          <w:lang w:eastAsia="en-GB"/>
          <w14:ligatures w14:val="none"/>
        </w:rPr>
        <w:t xml:space="preserve"> </w:t>
      </w:r>
      <w:r w:rsidRPr="00F36566" w:rsidR="00CF744A">
        <w:rPr>
          <w:rFonts w:asciiTheme="minorBidi" w:hAnsiTheme="minorBidi"/>
          <w:sz w:val="22"/>
          <w:szCs w:val="22"/>
        </w:rPr>
        <w:t>(Radinmanesh et al., 2021)</w:t>
      </w:r>
      <w:r w:rsidRPr="0054005D">
        <w:rPr>
          <w:rFonts w:eastAsia="Times New Roman" w:asciiTheme="minorBidi" w:hAnsiTheme="minorBidi"/>
          <w:kern w:val="0"/>
          <w:sz w:val="22"/>
          <w:szCs w:val="22"/>
          <w:lang w:eastAsia="en-GB"/>
          <w14:ligatures w14:val="none"/>
        </w:rPr>
        <w:t>. Introducing a Health Equity Payment uplifts baseline remuneration in underserved areas, ensuring pharmacies in inner-city and rural pharmacy deserts can sustain core services. This would rectify the disproportionate impact of austerity cuts on vulnerable communities and incentivi</w:t>
      </w:r>
      <w:r w:rsidR="008B0BF8">
        <w:rPr>
          <w:rFonts w:eastAsia="Times New Roman" w:asciiTheme="minorBidi" w:hAnsiTheme="minorBidi"/>
          <w:kern w:val="0"/>
          <w:sz w:val="22"/>
          <w:szCs w:val="22"/>
          <w:lang w:eastAsia="en-GB"/>
          <w14:ligatures w14:val="none"/>
        </w:rPr>
        <w:t>s</w:t>
      </w:r>
      <w:r w:rsidRPr="0054005D">
        <w:rPr>
          <w:rFonts w:eastAsia="Times New Roman" w:asciiTheme="minorBidi" w:hAnsiTheme="minorBidi"/>
          <w:kern w:val="0"/>
          <w:sz w:val="22"/>
          <w:szCs w:val="22"/>
          <w:lang w:eastAsia="en-GB"/>
          <w14:ligatures w14:val="none"/>
        </w:rPr>
        <w:t>e investment in extended-hours and public-health offerings</w:t>
      </w:r>
      <w:r w:rsidRPr="00F36566" w:rsidR="00300A04">
        <w:rPr>
          <w:rFonts w:eastAsia="Times New Roman" w:asciiTheme="minorBidi" w:hAnsiTheme="minorBidi"/>
          <w:kern w:val="0"/>
          <w:sz w:val="22"/>
          <w:szCs w:val="22"/>
          <w:lang w:eastAsia="en-GB"/>
          <w14:ligatures w14:val="none"/>
        </w:rPr>
        <w:t xml:space="preserve"> </w:t>
      </w:r>
      <w:r w:rsidRPr="00F36566" w:rsidR="00300A04">
        <w:rPr>
          <w:rFonts w:asciiTheme="minorBidi" w:hAnsiTheme="minorBidi"/>
          <w:sz w:val="22"/>
          <w:szCs w:val="22"/>
        </w:rPr>
        <w:t>(Wittenauer et al., 2024)</w:t>
      </w:r>
      <w:r w:rsidRPr="0054005D">
        <w:rPr>
          <w:rFonts w:eastAsia="Times New Roman" w:asciiTheme="minorBidi" w:hAnsiTheme="minorBidi"/>
          <w:kern w:val="0"/>
          <w:sz w:val="22"/>
          <w:szCs w:val="22"/>
          <w:lang w:eastAsia="en-GB"/>
          <w14:ligatures w14:val="none"/>
        </w:rPr>
        <w:t>.</w:t>
      </w:r>
    </w:p>
    <w:p w:rsidRPr="0054005D" w:rsidR="0054005D" w:rsidP="00F36566" w:rsidRDefault="0054005D" w14:paraId="5FB6023C" w14:textId="6A703978">
      <w:pPr>
        <w:spacing w:before="100" w:beforeAutospacing="1" w:after="100" w:afterAutospacing="1" w:line="360" w:lineRule="auto"/>
        <w:jc w:val="both"/>
        <w:rPr>
          <w:rFonts w:eastAsia="Times New Roman" w:asciiTheme="minorBidi" w:hAnsiTheme="minorBidi"/>
          <w:kern w:val="0"/>
          <w:sz w:val="22"/>
          <w:szCs w:val="22"/>
          <w:lang w:eastAsia="en-GB"/>
          <w14:ligatures w14:val="none"/>
        </w:rPr>
      </w:pPr>
      <w:r w:rsidRPr="0054005D">
        <w:rPr>
          <w:rFonts w:eastAsia="Times New Roman" w:asciiTheme="minorBidi" w:hAnsiTheme="minorBidi"/>
          <w:kern w:val="0"/>
          <w:sz w:val="22"/>
          <w:szCs w:val="22"/>
          <w:lang w:eastAsia="en-GB"/>
          <w14:ligatures w14:val="none"/>
        </w:rPr>
        <w:t>Second, establishing a National Strategic Medicines Reserve—akin to existing vaccine stockpiles—would buffer against acute supply disruptions. Delivered through a combination of government-mandated manufacturer quotas and regional warehousing partnerships with independent wholesalers, this reserve would guarantee rapid access to critical drugs during global perturbations. Pharmacists would be granted authority under updated Serious Shortage Protocols to adjust prescriptions and dispense therapeutically equivalent alternatives, reducing patient harm and enhancing system agility</w:t>
      </w:r>
      <w:r w:rsidRPr="00F36566" w:rsidR="002A2A9D">
        <w:rPr>
          <w:rFonts w:eastAsia="Times New Roman" w:asciiTheme="minorBidi" w:hAnsiTheme="minorBidi"/>
          <w:kern w:val="0"/>
          <w:sz w:val="22"/>
          <w:szCs w:val="22"/>
          <w:lang w:eastAsia="en-GB"/>
          <w14:ligatures w14:val="none"/>
        </w:rPr>
        <w:t xml:space="preserve"> </w:t>
      </w:r>
      <w:r w:rsidRPr="00F36566" w:rsidR="002A2A9D">
        <w:rPr>
          <w:rFonts w:asciiTheme="minorBidi" w:hAnsiTheme="minorBidi"/>
          <w:sz w:val="22"/>
          <w:szCs w:val="22"/>
        </w:rPr>
        <w:t>(Thomas et al., 2024; Wittenauer et al., 2024)</w:t>
      </w:r>
      <w:r w:rsidRPr="0054005D">
        <w:rPr>
          <w:rFonts w:eastAsia="Times New Roman" w:asciiTheme="minorBidi" w:hAnsiTheme="minorBidi"/>
          <w:kern w:val="0"/>
          <w:sz w:val="22"/>
          <w:szCs w:val="22"/>
          <w:lang w:eastAsia="en-GB"/>
          <w14:ligatures w14:val="none"/>
        </w:rPr>
        <w:t>.</w:t>
      </w:r>
    </w:p>
    <w:p w:rsidRPr="0054005D" w:rsidR="00BC39BA" w:rsidP="00F36566" w:rsidRDefault="0054005D" w14:paraId="1756713E" w14:textId="7E68F68F">
      <w:pPr>
        <w:spacing w:before="100" w:beforeAutospacing="1" w:after="100" w:afterAutospacing="1" w:line="360" w:lineRule="auto"/>
        <w:jc w:val="both"/>
        <w:rPr>
          <w:rFonts w:eastAsia="Times New Roman" w:asciiTheme="minorBidi" w:hAnsiTheme="minorBidi"/>
          <w:kern w:val="0"/>
          <w:sz w:val="22"/>
          <w:szCs w:val="22"/>
          <w:lang w:eastAsia="en-GB"/>
          <w14:ligatures w14:val="none"/>
        </w:rPr>
      </w:pPr>
      <w:r w:rsidRPr="0054005D">
        <w:rPr>
          <w:rFonts w:eastAsia="Times New Roman" w:asciiTheme="minorBidi" w:hAnsiTheme="minorBidi"/>
          <w:kern w:val="0"/>
          <w:sz w:val="22"/>
          <w:szCs w:val="22"/>
          <w:lang w:eastAsia="en-GB"/>
          <w14:ligatures w14:val="none"/>
        </w:rPr>
        <w:t>Third, digital supply-chain transparency must be embedded within the NHS’s broader digital transformation agenda. A real-time Medicines Availability Dashboard, accessible to pharmacists and prescribers, would flag emerging shortages and facilitate proactive redistribution of stock across regions. Integrating this dashboard with electronic prescribing systems further enables prescribers to select in-stock alternatives at the point of care, minimi</w:t>
      </w:r>
      <w:r w:rsidR="008B0BF8">
        <w:rPr>
          <w:rFonts w:eastAsia="Times New Roman" w:asciiTheme="minorBidi" w:hAnsiTheme="minorBidi"/>
          <w:kern w:val="0"/>
          <w:sz w:val="22"/>
          <w:szCs w:val="22"/>
          <w:lang w:eastAsia="en-GB"/>
          <w14:ligatures w14:val="none"/>
        </w:rPr>
        <w:t>s</w:t>
      </w:r>
      <w:r w:rsidRPr="0054005D">
        <w:rPr>
          <w:rFonts w:eastAsia="Times New Roman" w:asciiTheme="minorBidi" w:hAnsiTheme="minorBidi"/>
          <w:kern w:val="0"/>
          <w:sz w:val="22"/>
          <w:szCs w:val="22"/>
          <w:lang w:eastAsia="en-GB"/>
          <w14:ligatures w14:val="none"/>
        </w:rPr>
        <w:t>ing disruption to treatment</w:t>
      </w:r>
      <w:r w:rsidRPr="00F36566" w:rsidR="003301EB">
        <w:rPr>
          <w:rFonts w:eastAsia="Times New Roman" w:asciiTheme="minorBidi" w:hAnsiTheme="minorBidi"/>
          <w:kern w:val="0"/>
          <w:sz w:val="22"/>
          <w:szCs w:val="22"/>
          <w:lang w:eastAsia="en-GB"/>
          <w14:ligatures w14:val="none"/>
        </w:rPr>
        <w:t xml:space="preserve"> </w:t>
      </w:r>
      <w:r w:rsidRPr="00F36566" w:rsidR="003301EB">
        <w:rPr>
          <w:rFonts w:asciiTheme="minorBidi" w:hAnsiTheme="minorBidi"/>
          <w:sz w:val="22"/>
          <w:szCs w:val="22"/>
        </w:rPr>
        <w:t>(Gomasta et al., 2023)</w:t>
      </w:r>
      <w:r w:rsidRPr="0054005D">
        <w:rPr>
          <w:rFonts w:eastAsia="Times New Roman" w:asciiTheme="minorBidi" w:hAnsiTheme="minorBidi"/>
          <w:kern w:val="0"/>
          <w:sz w:val="22"/>
          <w:szCs w:val="22"/>
          <w:lang w:eastAsia="en-GB"/>
          <w14:ligatures w14:val="none"/>
        </w:rPr>
        <w:t>.</w:t>
      </w:r>
    </w:p>
    <w:p w:rsidR="0054005D" w:rsidP="00F36566" w:rsidRDefault="0054005D" w14:paraId="642ABCD3" w14:textId="77777777">
      <w:pPr>
        <w:spacing w:before="100" w:beforeAutospacing="1" w:after="100" w:afterAutospacing="1" w:line="360" w:lineRule="auto"/>
        <w:jc w:val="both"/>
        <w:rPr>
          <w:rFonts w:eastAsia="Times New Roman" w:asciiTheme="minorBidi" w:hAnsiTheme="minorBidi"/>
          <w:kern w:val="0"/>
          <w:sz w:val="22"/>
          <w:szCs w:val="22"/>
          <w:lang w:eastAsia="en-GB"/>
          <w14:ligatures w14:val="none"/>
        </w:rPr>
      </w:pPr>
      <w:r w:rsidRPr="0054005D">
        <w:rPr>
          <w:rFonts w:eastAsia="Times New Roman" w:asciiTheme="minorBidi" w:hAnsiTheme="minorBidi"/>
          <w:kern w:val="0"/>
          <w:sz w:val="22"/>
          <w:szCs w:val="22"/>
          <w:lang w:eastAsia="en-GB"/>
          <w14:ligatures w14:val="none"/>
        </w:rPr>
        <w:t>Collectively, these measures will fortify community pharmacy against financial and supply pressures, safeguard universal access to medicines, and harness pharmacists’ expertise to improve patient outcomes. In doing so, policymakers can ensure that community pharmacies continue to fulfil their foundational NHS remit—delivering safe, equitable, and accessible healthcare at the heart of UK communities.</w:t>
      </w:r>
    </w:p>
    <w:p w:rsidR="00014D85" w:rsidP="00F36566" w:rsidRDefault="00014D85" w14:paraId="765F2C7F" w14:textId="77777777">
      <w:pPr>
        <w:spacing w:before="100" w:beforeAutospacing="1" w:after="100" w:afterAutospacing="1" w:line="360" w:lineRule="auto"/>
        <w:jc w:val="both"/>
        <w:rPr>
          <w:rFonts w:eastAsia="Times New Roman" w:asciiTheme="minorBidi" w:hAnsiTheme="minorBidi"/>
          <w:kern w:val="0"/>
          <w:sz w:val="22"/>
          <w:szCs w:val="22"/>
          <w:lang w:eastAsia="en-GB"/>
          <w14:ligatures w14:val="none"/>
        </w:rPr>
      </w:pPr>
    </w:p>
    <w:p w:rsidRPr="00F36566" w:rsidR="00BC39BA" w:rsidP="00F36566" w:rsidRDefault="00BC39BA" w14:paraId="33779E43" w14:textId="77777777">
      <w:pPr>
        <w:spacing w:before="100" w:beforeAutospacing="1" w:after="100" w:afterAutospacing="1" w:line="360" w:lineRule="auto"/>
        <w:jc w:val="both"/>
        <w:rPr>
          <w:rFonts w:eastAsia="Times New Roman" w:asciiTheme="minorBidi" w:hAnsiTheme="minorBidi"/>
          <w:b/>
          <w:bCs/>
          <w:kern w:val="0"/>
          <w:sz w:val="22"/>
          <w:szCs w:val="22"/>
          <w:lang w:eastAsia="en-GB"/>
          <w14:ligatures w14:val="none"/>
        </w:rPr>
      </w:pPr>
      <w:r w:rsidRPr="00F36566">
        <w:rPr>
          <w:rFonts w:eastAsia="Times New Roman" w:asciiTheme="minorBidi" w:hAnsiTheme="minorBidi"/>
          <w:b/>
          <w:bCs/>
          <w:kern w:val="0"/>
          <w:sz w:val="22"/>
          <w:szCs w:val="22"/>
          <w:lang w:eastAsia="en-GB"/>
          <w14:ligatures w14:val="none"/>
        </w:rPr>
        <w:lastRenderedPageBreak/>
        <w:t>References</w:t>
      </w:r>
    </w:p>
    <w:p w:rsidRPr="00F36566" w:rsidR="00BC39BA" w:rsidP="00F36566" w:rsidRDefault="00BC39BA" w14:paraId="2CB0109E"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Anderson, S. (2007). Community pharmacy and public health in Great Britain, 1936 to 2006: how a phoenix rose from the ashes. </w:t>
      </w:r>
      <w:r w:rsidRPr="00F36566">
        <w:rPr>
          <w:rFonts w:asciiTheme="minorBidi" w:hAnsiTheme="minorBidi" w:cstheme="minorBidi"/>
          <w:i/>
          <w:iCs/>
          <w:sz w:val="22"/>
          <w:szCs w:val="22"/>
        </w:rPr>
        <w:t>Journal of Epidemiology &amp; Community Health</w:t>
      </w:r>
      <w:r w:rsidRPr="00F36566">
        <w:rPr>
          <w:rFonts w:asciiTheme="minorBidi" w:hAnsiTheme="minorBidi" w:cstheme="minorBidi"/>
          <w:sz w:val="22"/>
          <w:szCs w:val="22"/>
        </w:rPr>
        <w:t>, 61(10), pp.844–848. doi:https://doi.org/10.1136/jech.2006.055442.</w:t>
      </w:r>
    </w:p>
    <w:p w:rsidRPr="00F36566" w:rsidR="00BC39BA" w:rsidP="00F36566" w:rsidRDefault="00BC39BA" w14:paraId="797A58A8"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Astbury, J.L., Jacobs, S., McDermott, I., Willis, S.C., Moss, A., Stearns, S., Fenton, C., Ali, Seston, E.M. and Schafheutle, E.I. (2024). Workforce development in community pharmacies in England: Opportunities and tensions for a private sector provider of NHS services. </w:t>
      </w:r>
      <w:r w:rsidRPr="00F36566">
        <w:rPr>
          <w:rFonts w:asciiTheme="minorBidi" w:hAnsiTheme="minorBidi" w:cstheme="minorBidi"/>
          <w:i/>
          <w:iCs/>
          <w:sz w:val="22"/>
          <w:szCs w:val="22"/>
        </w:rPr>
        <w:t>PLoS ONE</w:t>
      </w:r>
      <w:r w:rsidRPr="00F36566">
        <w:rPr>
          <w:rFonts w:asciiTheme="minorBidi" w:hAnsiTheme="minorBidi" w:cstheme="minorBidi"/>
          <w:sz w:val="22"/>
          <w:szCs w:val="22"/>
        </w:rPr>
        <w:t>, 19(11), pp.e0310332–e0310332. doi:https://doi.org/10.1371/journal.pone.0310332.</w:t>
      </w:r>
    </w:p>
    <w:p w:rsidRPr="00F36566" w:rsidR="00BC39BA" w:rsidP="00F36566" w:rsidRDefault="00BC39BA" w14:paraId="65A82E5F"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Birmingham Gov UK (2024). </w:t>
      </w:r>
      <w:r w:rsidRPr="00F36566">
        <w:rPr>
          <w:rFonts w:asciiTheme="minorBidi" w:hAnsiTheme="minorBidi" w:cstheme="minorBidi"/>
          <w:i/>
          <w:iCs/>
          <w:sz w:val="22"/>
          <w:szCs w:val="22"/>
        </w:rPr>
        <w:t>Bordesley Green Ward Factsheet</w:t>
      </w:r>
      <w:r w:rsidRPr="00F36566">
        <w:rPr>
          <w:rFonts w:asciiTheme="minorBidi" w:hAnsiTheme="minorBidi" w:cstheme="minorBidi"/>
          <w:sz w:val="22"/>
          <w:szCs w:val="22"/>
        </w:rPr>
        <w:t>. [online] Available at: file:///Users/rimshasaqib/Desktop/Bordesley_Green_Ward_Factsheet_AF.pdf [Accessed 11 Jun. 2025].</w:t>
      </w:r>
    </w:p>
    <w:p w:rsidRPr="00F36566" w:rsidR="00BC39BA" w:rsidP="00F36566" w:rsidRDefault="00BC39BA" w14:paraId="0007F0C5"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Community Pharmacy England (2013). </w:t>
      </w:r>
      <w:r w:rsidRPr="00F36566">
        <w:rPr>
          <w:rFonts w:asciiTheme="minorBidi" w:hAnsiTheme="minorBidi" w:cstheme="minorBidi"/>
          <w:i/>
          <w:iCs/>
          <w:sz w:val="22"/>
          <w:szCs w:val="22"/>
        </w:rPr>
        <w:t>Advanced Services</w:t>
      </w:r>
      <w:r w:rsidRPr="00F36566">
        <w:rPr>
          <w:rFonts w:asciiTheme="minorBidi" w:hAnsiTheme="minorBidi" w:cstheme="minorBidi"/>
          <w:sz w:val="22"/>
          <w:szCs w:val="22"/>
        </w:rPr>
        <w:t>. [online] Community Pharmacy England. Available at: https://cpe.org.uk/national-pharmacy-services/advanced-services/ [Accessed 11 Jun. 2025].</w:t>
      </w:r>
    </w:p>
    <w:p w:rsidRPr="00F36566" w:rsidR="00BC39BA" w:rsidP="00F36566" w:rsidRDefault="00BC39BA" w14:paraId="4BAC6B84"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Connelly, D. (2021). </w:t>
      </w:r>
      <w:r w:rsidRPr="00F36566">
        <w:rPr>
          <w:rFonts w:asciiTheme="minorBidi" w:hAnsiTheme="minorBidi" w:cstheme="minorBidi"/>
          <w:i/>
          <w:iCs/>
          <w:sz w:val="22"/>
          <w:szCs w:val="22"/>
        </w:rPr>
        <w:t>A decade of community pharmacy funding in England</w:t>
      </w:r>
      <w:r w:rsidRPr="00F36566">
        <w:rPr>
          <w:rFonts w:asciiTheme="minorBidi" w:hAnsiTheme="minorBidi" w:cstheme="minorBidi"/>
          <w:sz w:val="22"/>
          <w:szCs w:val="22"/>
        </w:rPr>
        <w:t>. [online] The Pharmaceutical Journal. Available at: https://pharmaceutical-journal.com/article/infographics/a-decade-of-community-pharmacy-funding-in-england? [Accessed 11 Jun. 2025].</w:t>
      </w:r>
    </w:p>
    <w:p w:rsidRPr="00F36566" w:rsidR="00BC39BA" w:rsidP="00F36566" w:rsidRDefault="00BC39BA" w14:paraId="30A57867"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Connelly, D. (2025). </w:t>
      </w:r>
      <w:r w:rsidRPr="00F36566">
        <w:rPr>
          <w:rFonts w:asciiTheme="minorBidi" w:hAnsiTheme="minorBidi" w:cstheme="minorBidi"/>
          <w:i/>
          <w:iCs/>
          <w:sz w:val="22"/>
          <w:szCs w:val="22"/>
        </w:rPr>
        <w:t>Funding gap: economic analysis paints dire picture of community pharmacy’s sustainability</w:t>
      </w:r>
      <w:r w:rsidRPr="00F36566">
        <w:rPr>
          <w:rFonts w:asciiTheme="minorBidi" w:hAnsiTheme="minorBidi" w:cstheme="minorBidi"/>
          <w:sz w:val="22"/>
          <w:szCs w:val="22"/>
        </w:rPr>
        <w:t>. [online] The Pharmaceutical Journal. Available at: https://pharmaceutical-journal.com/article/feature/funding-gap-economic-analysis-paints-dire-picture-of-community-pharmacys-sustainability? [Accessed 11 Jun. 2025].</w:t>
      </w:r>
    </w:p>
    <w:p w:rsidRPr="00F36566" w:rsidR="00BC39BA" w:rsidP="00F36566" w:rsidRDefault="00BC39BA" w14:paraId="5708D98A"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Duddy, C. (2024). </w:t>
      </w:r>
      <w:r w:rsidRPr="00F36566">
        <w:rPr>
          <w:rFonts w:asciiTheme="minorBidi" w:hAnsiTheme="minorBidi" w:cstheme="minorBidi"/>
          <w:i/>
          <w:iCs/>
          <w:sz w:val="22"/>
          <w:szCs w:val="22"/>
        </w:rPr>
        <w:t>Medicines shortages</w:t>
      </w:r>
      <w:r w:rsidRPr="00F36566">
        <w:rPr>
          <w:rFonts w:asciiTheme="minorBidi" w:hAnsiTheme="minorBidi" w:cstheme="minorBidi"/>
          <w:sz w:val="22"/>
          <w:szCs w:val="22"/>
        </w:rPr>
        <w:t>. [online] House of Commons Library. Available at: https://commonslibrary.parliament.uk/research-briefings/cbp-9997/ [Accessed 11 Jun. 2025].</w:t>
      </w:r>
    </w:p>
    <w:p w:rsidRPr="00F36566" w:rsidR="00BC39BA" w:rsidP="00F36566" w:rsidRDefault="00BC39BA" w14:paraId="098E5FF9"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Duddy, C. (2025). </w:t>
      </w:r>
      <w:r w:rsidRPr="00F36566">
        <w:rPr>
          <w:rFonts w:asciiTheme="minorBidi" w:hAnsiTheme="minorBidi" w:cstheme="minorBidi"/>
          <w:i/>
          <w:iCs/>
          <w:sz w:val="22"/>
          <w:szCs w:val="22"/>
        </w:rPr>
        <w:t>Medicines shortages Summary 1 Medicines shortages in the UK 2 UK Government response to medicines shortages 3 Calls for reform of medicines shortages management</w:t>
      </w:r>
      <w:r w:rsidRPr="00F36566">
        <w:rPr>
          <w:rFonts w:asciiTheme="minorBidi" w:hAnsiTheme="minorBidi" w:cstheme="minorBidi"/>
          <w:sz w:val="22"/>
          <w:szCs w:val="22"/>
        </w:rPr>
        <w:t>. [online] Available at: https://researchbriefings.files.parliament.uk/documents/CBP-9997/CBP-9997.pdf [Accessed 11 Jun. 2025].</w:t>
      </w:r>
    </w:p>
    <w:p w:rsidRPr="00F36566" w:rsidR="00BC39BA" w:rsidP="00F36566" w:rsidRDefault="00BC39BA" w14:paraId="360488F5"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lastRenderedPageBreak/>
        <w:t>Feinstein, R.E., Kotara, S., Jones, B., Shanor, D. and Nemeroff, C.B. (2020). A health care workers mental health crisis line in the age of COVID</w:t>
      </w:r>
      <w:r w:rsidRPr="00F36566">
        <w:rPr>
          <w:rFonts w:ascii="Cambria Math" w:hAnsi="Cambria Math" w:cs="Cambria Math"/>
          <w:sz w:val="22"/>
          <w:szCs w:val="22"/>
        </w:rPr>
        <w:t>‐</w:t>
      </w:r>
      <w:r w:rsidRPr="00F36566">
        <w:rPr>
          <w:rFonts w:asciiTheme="minorBidi" w:hAnsiTheme="minorBidi" w:cstheme="minorBidi"/>
          <w:sz w:val="22"/>
          <w:szCs w:val="22"/>
        </w:rPr>
        <w:t xml:space="preserve">19. </w:t>
      </w:r>
      <w:r w:rsidRPr="00F36566">
        <w:rPr>
          <w:rFonts w:asciiTheme="minorBidi" w:hAnsiTheme="minorBidi" w:cstheme="minorBidi"/>
          <w:i/>
          <w:iCs/>
          <w:sz w:val="22"/>
          <w:szCs w:val="22"/>
        </w:rPr>
        <w:t>Depression and Anxiety</w:t>
      </w:r>
      <w:r w:rsidRPr="00F36566">
        <w:rPr>
          <w:rFonts w:asciiTheme="minorBidi" w:hAnsiTheme="minorBidi" w:cstheme="minorBidi"/>
          <w:sz w:val="22"/>
          <w:szCs w:val="22"/>
        </w:rPr>
        <w:t>, 37(8). doi:https://doi.org/10.1002/da.23073.</w:t>
      </w:r>
    </w:p>
    <w:p w:rsidRPr="00F36566" w:rsidR="00BC39BA" w:rsidP="00F36566" w:rsidRDefault="00BC39BA" w14:paraId="6706ED01"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Frontier Economics (2025). </w:t>
      </w:r>
      <w:r w:rsidRPr="00F36566">
        <w:rPr>
          <w:rFonts w:asciiTheme="minorBidi" w:hAnsiTheme="minorBidi" w:cstheme="minorBidi"/>
          <w:i/>
          <w:iCs/>
          <w:sz w:val="22"/>
          <w:szCs w:val="22"/>
        </w:rPr>
        <w:t>ECONOMIC ANALYSIS OF NHS PHARMACEUTICAL SERVICES IN ENGLAND Final Report</w:t>
      </w:r>
      <w:r w:rsidRPr="00F36566">
        <w:rPr>
          <w:rFonts w:asciiTheme="minorBidi" w:hAnsiTheme="minorBidi" w:cstheme="minorBidi"/>
          <w:sz w:val="22"/>
          <w:szCs w:val="22"/>
        </w:rPr>
        <w:t>. [online] Available at: https://www.frontier-economics.com/media/aazb0awt/frontier-iqvia-economic-analysis-pharmacy-final-report-web.pdf? [Accessed 11 Jun. 2025].</w:t>
      </w:r>
    </w:p>
    <w:p w:rsidRPr="00F36566" w:rsidR="00BC39BA" w:rsidP="00F36566" w:rsidRDefault="00BC39BA" w14:paraId="0FBF1C94"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Gomasta, S.S., Dhali, A., Tahlil, T., Anwar, M. and Ali (2023). PharmaChain: Blockchain-based drug supply chain provenance verification system. </w:t>
      </w:r>
      <w:r w:rsidRPr="00F36566">
        <w:rPr>
          <w:rFonts w:asciiTheme="minorBidi" w:hAnsiTheme="minorBidi" w:cstheme="minorBidi"/>
          <w:i/>
          <w:iCs/>
          <w:sz w:val="22"/>
          <w:szCs w:val="22"/>
        </w:rPr>
        <w:t>Heliyon</w:t>
      </w:r>
      <w:r w:rsidRPr="00F36566">
        <w:rPr>
          <w:rFonts w:asciiTheme="minorBidi" w:hAnsiTheme="minorBidi" w:cstheme="minorBidi"/>
          <w:sz w:val="22"/>
          <w:szCs w:val="22"/>
        </w:rPr>
        <w:t>, 9(7), pp.e17957–e17957. doi:https://doi.org/10.1016/j.heliyon.2023.e17957.</w:t>
      </w:r>
    </w:p>
    <w:p w:rsidRPr="00F36566" w:rsidR="00BC39BA" w:rsidP="00F36566" w:rsidRDefault="00BC39BA" w14:paraId="31B80BBE"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Gov UK (2014). </w:t>
      </w:r>
      <w:r w:rsidRPr="00F36566">
        <w:rPr>
          <w:rFonts w:asciiTheme="minorBidi" w:hAnsiTheme="minorBidi" w:cstheme="minorBidi"/>
          <w:i/>
          <w:iCs/>
          <w:sz w:val="22"/>
          <w:szCs w:val="22"/>
        </w:rPr>
        <w:t>Care Act 2014</w:t>
      </w:r>
      <w:r w:rsidRPr="00F36566">
        <w:rPr>
          <w:rFonts w:asciiTheme="minorBidi" w:hAnsiTheme="minorBidi" w:cstheme="minorBidi"/>
          <w:sz w:val="22"/>
          <w:szCs w:val="22"/>
        </w:rPr>
        <w:t>. [online] Legislation.gov.uk. Available at: https://www.legislation.gov.uk/ukpga/2014/23/contents [Accessed 11 Jun. 2025].</w:t>
      </w:r>
    </w:p>
    <w:p w:rsidRPr="00F36566" w:rsidR="00BC39BA" w:rsidP="00F36566" w:rsidRDefault="00BC39BA" w14:paraId="7CA757C7"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Lintern, S. and Menzies, V. (2024). </w:t>
      </w:r>
      <w:r w:rsidRPr="00F36566">
        <w:rPr>
          <w:rFonts w:asciiTheme="minorBidi" w:hAnsiTheme="minorBidi" w:cstheme="minorBidi"/>
          <w:i/>
          <w:iCs/>
          <w:sz w:val="22"/>
          <w:szCs w:val="22"/>
        </w:rPr>
        <w:t>I had to drive hours for the cystic fibrosis pills that keep me alive</w:t>
      </w:r>
      <w:r w:rsidRPr="00F36566">
        <w:rPr>
          <w:rFonts w:asciiTheme="minorBidi" w:hAnsiTheme="minorBidi" w:cstheme="minorBidi"/>
          <w:sz w:val="22"/>
          <w:szCs w:val="22"/>
        </w:rPr>
        <w:t>. [online] Thetimes.co.uk. Available at: https://www.thetimes.co.uk/article/cystic-fibrosis-patients-driving-for-hours-to-find-vital-medicine-nltspks2d [Accessed 11 Jun. 2025].</w:t>
      </w:r>
    </w:p>
    <w:p w:rsidRPr="00F36566" w:rsidR="00BC39BA" w:rsidP="00F36566" w:rsidRDefault="00BC39BA" w14:paraId="3ADF72BE"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Mental Health Foundation (2023). </w:t>
      </w:r>
      <w:r w:rsidRPr="00F36566">
        <w:rPr>
          <w:rFonts w:asciiTheme="minorBidi" w:hAnsiTheme="minorBidi" w:cstheme="minorBidi"/>
          <w:i/>
          <w:iCs/>
          <w:sz w:val="22"/>
          <w:szCs w:val="22"/>
        </w:rPr>
        <w:t>The most common diagnosed mental health problems: statistics</w:t>
      </w:r>
      <w:r w:rsidRPr="00F36566">
        <w:rPr>
          <w:rFonts w:asciiTheme="minorBidi" w:hAnsiTheme="minorBidi" w:cstheme="minorBidi"/>
          <w:sz w:val="22"/>
          <w:szCs w:val="22"/>
        </w:rPr>
        <w:t>. [online] Mental Health Foundation. Available at: https://www.mentalhealth.org.uk/explore-mental-health/statistics/most-common-diagnosed-mental-health-problems-statistics [Accessed 11 Jun. 2025].</w:t>
      </w:r>
    </w:p>
    <w:p w:rsidRPr="00F36566" w:rsidR="00BC39BA" w:rsidP="00F36566" w:rsidRDefault="00BC39BA" w14:paraId="2941A9D5"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Miller, R., Glasby, J. and Dickinson, H. (2021). Integrated Health and Social Care in England: Ten Years On. </w:t>
      </w:r>
      <w:r w:rsidRPr="00F36566">
        <w:rPr>
          <w:rFonts w:asciiTheme="minorBidi" w:hAnsiTheme="minorBidi" w:cstheme="minorBidi"/>
          <w:i/>
          <w:iCs/>
          <w:sz w:val="22"/>
          <w:szCs w:val="22"/>
        </w:rPr>
        <w:t>International Journal of Integrated Care</w:t>
      </w:r>
      <w:r w:rsidRPr="00F36566">
        <w:rPr>
          <w:rFonts w:asciiTheme="minorBidi" w:hAnsiTheme="minorBidi" w:cstheme="minorBidi"/>
          <w:sz w:val="22"/>
          <w:szCs w:val="22"/>
        </w:rPr>
        <w:t>, 21(4).</w:t>
      </w:r>
    </w:p>
    <w:p w:rsidRPr="00F36566" w:rsidR="00BC39BA" w:rsidP="00F36566" w:rsidRDefault="00BC39BA" w14:paraId="571D1CCE"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National Pharmacy Association (2024). </w:t>
      </w:r>
      <w:r w:rsidRPr="00F36566">
        <w:rPr>
          <w:rFonts w:asciiTheme="minorBidi" w:hAnsiTheme="minorBidi" w:cstheme="minorBidi"/>
          <w:i/>
          <w:iCs/>
          <w:sz w:val="22"/>
          <w:szCs w:val="22"/>
        </w:rPr>
        <w:t>Save our pharmacies to fix our NHS</w:t>
      </w:r>
      <w:r w:rsidRPr="00F36566">
        <w:rPr>
          <w:rFonts w:asciiTheme="minorBidi" w:hAnsiTheme="minorBidi" w:cstheme="minorBidi"/>
          <w:sz w:val="22"/>
          <w:szCs w:val="22"/>
        </w:rPr>
        <w:t>. [online] NPA. Available at: https://www.npa.co.uk/campaigns/save-our-pharmacies/? [Accessed 11 Jun. 2025].</w:t>
      </w:r>
    </w:p>
    <w:p w:rsidRPr="00F36566" w:rsidR="00BC39BA" w:rsidP="00F36566" w:rsidRDefault="00BC39BA" w14:paraId="12E6EF2B"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NHS England (2024). </w:t>
      </w:r>
      <w:r w:rsidRPr="00F36566">
        <w:rPr>
          <w:rFonts w:asciiTheme="minorBidi" w:hAnsiTheme="minorBidi" w:cstheme="minorBidi"/>
          <w:i/>
          <w:iCs/>
          <w:sz w:val="22"/>
          <w:szCs w:val="22"/>
        </w:rPr>
        <w:t>Acute Inpatient Mental Health Care for Adults and Older Adults</w:t>
      </w:r>
      <w:r w:rsidRPr="00F36566">
        <w:rPr>
          <w:rFonts w:asciiTheme="minorBidi" w:hAnsiTheme="minorBidi" w:cstheme="minorBidi"/>
          <w:sz w:val="22"/>
          <w:szCs w:val="22"/>
        </w:rPr>
        <w:t>. [online] www.england.nhs.uk. Available at: https://www.england.nhs.uk/long-read/acute-inpatient-mental-health-care-for-adults-and-older-adults/ [Accessed 11 Jun. 2025].</w:t>
      </w:r>
    </w:p>
    <w:p w:rsidRPr="00F36566" w:rsidR="00BC39BA" w:rsidP="00F36566" w:rsidRDefault="00BC39BA" w14:paraId="4072006A"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NICE (2016). </w:t>
      </w:r>
      <w:r w:rsidRPr="00F36566">
        <w:rPr>
          <w:rFonts w:asciiTheme="minorBidi" w:hAnsiTheme="minorBidi" w:cstheme="minorBidi"/>
          <w:i/>
          <w:iCs/>
          <w:sz w:val="22"/>
          <w:szCs w:val="22"/>
        </w:rPr>
        <w:t>NATIONAL INSTITUTE FOR HEALTH AND CARE EXCELLENCE GUIDELINE</w:t>
      </w:r>
      <w:r w:rsidRPr="00F36566">
        <w:rPr>
          <w:rFonts w:asciiTheme="minorBidi" w:hAnsiTheme="minorBidi" w:cstheme="minorBidi"/>
          <w:sz w:val="22"/>
          <w:szCs w:val="22"/>
        </w:rPr>
        <w:t>. [online] Available at: https://www.nice.org.uk/guidance/ng53/evidence/full-guideline-pdf-2606951917 [Accessed 11 Jun. 2025].</w:t>
      </w:r>
    </w:p>
    <w:p w:rsidRPr="00F36566" w:rsidR="00BC39BA" w:rsidP="00F36566" w:rsidRDefault="00BC39BA" w14:paraId="7086BA65"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lastRenderedPageBreak/>
        <w:t xml:space="preserve">Radinmanesh, M., Ebadifard Azar, F., aghaei Hashjin, A., Najafi, B. and Majdzadeh, R. (2021). A review of appropriate indicators for need-based financial resource allocation in health systems. </w:t>
      </w:r>
      <w:r w:rsidRPr="00F36566">
        <w:rPr>
          <w:rFonts w:asciiTheme="minorBidi" w:hAnsiTheme="minorBidi" w:cstheme="minorBidi"/>
          <w:i/>
          <w:iCs/>
          <w:sz w:val="22"/>
          <w:szCs w:val="22"/>
        </w:rPr>
        <w:t>BMC Health Services Research</w:t>
      </w:r>
      <w:r w:rsidRPr="00F36566">
        <w:rPr>
          <w:rFonts w:asciiTheme="minorBidi" w:hAnsiTheme="minorBidi" w:cstheme="minorBidi"/>
          <w:sz w:val="22"/>
          <w:szCs w:val="22"/>
        </w:rPr>
        <w:t>, 21(1). doi:https://doi.org/10.1186/s12913-021-06522-0.</w:t>
      </w:r>
    </w:p>
    <w:p w:rsidRPr="00F36566" w:rsidR="00BC39BA" w:rsidP="00F36566" w:rsidRDefault="00BC39BA" w14:paraId="7BA9B75D"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Reuters Staff (2024). UK drug shortages swell amid Brexit supply woes, think-tank data shows. </w:t>
      </w:r>
      <w:r w:rsidRPr="00F36566">
        <w:rPr>
          <w:rFonts w:asciiTheme="minorBidi" w:hAnsiTheme="minorBidi" w:cstheme="minorBidi"/>
          <w:i/>
          <w:iCs/>
          <w:sz w:val="22"/>
          <w:szCs w:val="22"/>
        </w:rPr>
        <w:t>Reuters</w:t>
      </w:r>
      <w:r w:rsidRPr="00F36566">
        <w:rPr>
          <w:rFonts w:asciiTheme="minorBidi" w:hAnsiTheme="minorBidi" w:cstheme="minorBidi"/>
          <w:sz w:val="22"/>
          <w:szCs w:val="22"/>
        </w:rPr>
        <w:t>. [online] 18 Apr. Available at: https://www.reuters.com/world/uk/uk-drug-shortages-swell-amid-brexit-supply-woes-think-tank-data-shows-2024-04-18/ [Accessed 11 Jun. 2025].</w:t>
      </w:r>
    </w:p>
    <w:p w:rsidRPr="00F36566" w:rsidR="00BC39BA" w:rsidP="00F36566" w:rsidRDefault="00BC39BA" w14:paraId="38EC6299"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Royal Pharmaceutical Society (2024). </w:t>
      </w:r>
      <w:r w:rsidRPr="00F36566">
        <w:rPr>
          <w:rFonts w:asciiTheme="minorBidi" w:hAnsiTheme="minorBidi" w:cstheme="minorBidi"/>
          <w:i/>
          <w:iCs/>
          <w:sz w:val="22"/>
          <w:szCs w:val="22"/>
        </w:rPr>
        <w:t>Medicines shortages: Solutions for Empty Shelves</w:t>
      </w:r>
      <w:r w:rsidRPr="00F36566">
        <w:rPr>
          <w:rFonts w:asciiTheme="minorBidi" w:hAnsiTheme="minorBidi" w:cstheme="minorBidi"/>
          <w:sz w:val="22"/>
          <w:szCs w:val="22"/>
        </w:rPr>
        <w:t>. [online] Available at: https://www.rpharms.com/Portals/0/RPS%20document%20library/Open%20access/Medicines%20Shortages/Medicines%20Shortages%20-%20Digital%20-%20201124.pdf [Accessed 11 Jun. 2025].</w:t>
      </w:r>
    </w:p>
    <w:p w:rsidRPr="00F36566" w:rsidR="00BC39BA" w:rsidP="00F36566" w:rsidRDefault="00BC39BA" w14:paraId="5F8F4C24"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Thomas, F., Abiri, O.T., Conteh, T.A. and Awodele, O. (2024). Capacity Assessment of the National Medicines Regulatory Authority in a Low -Income Country. </w:t>
      </w:r>
      <w:r w:rsidRPr="00F36566">
        <w:rPr>
          <w:rFonts w:asciiTheme="minorBidi" w:hAnsiTheme="minorBidi" w:cstheme="minorBidi"/>
          <w:i/>
          <w:iCs/>
          <w:sz w:val="22"/>
          <w:szCs w:val="22"/>
        </w:rPr>
        <w:t>Therapeutic Innovation &amp; Regulatory Science</w:t>
      </w:r>
      <w:r w:rsidRPr="00F36566">
        <w:rPr>
          <w:rFonts w:asciiTheme="minorBidi" w:hAnsiTheme="minorBidi" w:cstheme="minorBidi"/>
          <w:sz w:val="22"/>
          <w:szCs w:val="22"/>
        </w:rPr>
        <w:t>, 58(6), pp.1053–1060. doi:https://doi.org/10.1007/s43441-024-00683-w.</w:t>
      </w:r>
    </w:p>
    <w:p w:rsidRPr="00F36566" w:rsidR="00BC39BA" w:rsidP="00F36566" w:rsidRDefault="00BC39BA" w14:paraId="1768E2A3"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Thomas, T. (2024). </w:t>
      </w:r>
      <w:r w:rsidRPr="00F36566">
        <w:rPr>
          <w:rFonts w:asciiTheme="minorBidi" w:hAnsiTheme="minorBidi" w:cstheme="minorBidi"/>
          <w:i/>
          <w:iCs/>
          <w:sz w:val="22"/>
          <w:szCs w:val="22"/>
        </w:rPr>
        <w:t>Pharmacies in England cutting services amid financial pressures, research finds</w:t>
      </w:r>
      <w:r w:rsidRPr="00F36566">
        <w:rPr>
          <w:rFonts w:asciiTheme="minorBidi" w:hAnsiTheme="minorBidi" w:cstheme="minorBidi"/>
          <w:sz w:val="22"/>
          <w:szCs w:val="22"/>
        </w:rPr>
        <w:t>. [online] the Guardian. Available at: https://www.theguardian.com/society/article/2024/aug/05/pharmacies-england-cutting-services-financial-pressures-research? [Accessed 11 Jun. 2025].</w:t>
      </w:r>
    </w:p>
    <w:p w:rsidRPr="00F36566" w:rsidR="00BC39BA" w:rsidP="00F36566" w:rsidRDefault="00BC39BA" w14:paraId="2DCB4DB9" w14:textId="77777777">
      <w:pPr>
        <w:pStyle w:val="NormalWeb"/>
        <w:spacing w:before="0" w:beforeAutospacing="0" w:after="240" w:afterAutospacing="0" w:line="360" w:lineRule="auto"/>
        <w:jc w:val="both"/>
        <w:rPr>
          <w:rFonts w:asciiTheme="minorBidi" w:hAnsiTheme="minorBidi" w:cstheme="minorBidi"/>
          <w:sz w:val="22"/>
          <w:szCs w:val="22"/>
        </w:rPr>
      </w:pPr>
      <w:r w:rsidRPr="00F36566">
        <w:rPr>
          <w:rFonts w:asciiTheme="minorBidi" w:hAnsiTheme="minorBidi" w:cstheme="minorBidi"/>
          <w:sz w:val="22"/>
          <w:szCs w:val="22"/>
        </w:rPr>
        <w:t xml:space="preserve">Wittenauer, R., Shah, P.D., Bacci, J.L. and Stergachis, A. (2024). Locations and characteristics of pharmacy deserts in the United States: A geospatial study. </w:t>
      </w:r>
      <w:r w:rsidRPr="00F36566">
        <w:rPr>
          <w:rFonts w:asciiTheme="minorBidi" w:hAnsiTheme="minorBidi" w:cstheme="minorBidi"/>
          <w:i/>
          <w:iCs/>
          <w:sz w:val="22"/>
          <w:szCs w:val="22"/>
        </w:rPr>
        <w:t>Health Affairs Scholar</w:t>
      </w:r>
      <w:r w:rsidRPr="00F36566">
        <w:rPr>
          <w:rFonts w:asciiTheme="minorBidi" w:hAnsiTheme="minorBidi" w:cstheme="minorBidi"/>
          <w:sz w:val="22"/>
          <w:szCs w:val="22"/>
        </w:rPr>
        <w:t>, 2(4). doi:https://doi.org/10.1093/haschl/qxae035.</w:t>
      </w:r>
    </w:p>
    <w:p w:rsidRPr="00F36566" w:rsidR="0054005D" w:rsidP="00F36566" w:rsidRDefault="0054005D" w14:paraId="6D1CBD98" w14:textId="77777777">
      <w:pPr>
        <w:pStyle w:val="NormalWeb"/>
        <w:spacing w:line="360" w:lineRule="auto"/>
        <w:jc w:val="both"/>
        <w:rPr>
          <w:rFonts w:asciiTheme="minorBidi" w:hAnsiTheme="minorBidi" w:cstheme="minorBidi"/>
          <w:b/>
          <w:bCs/>
          <w:sz w:val="22"/>
          <w:szCs w:val="22"/>
        </w:rPr>
      </w:pPr>
    </w:p>
    <w:p w:rsidRPr="00F36566" w:rsidR="007D72AC" w:rsidP="00F36566" w:rsidRDefault="007D72AC" w14:paraId="33BB0896" w14:textId="77777777">
      <w:pPr>
        <w:spacing w:line="360" w:lineRule="auto"/>
        <w:jc w:val="both"/>
        <w:rPr>
          <w:rFonts w:asciiTheme="minorBidi" w:hAnsiTheme="minorBidi"/>
          <w:sz w:val="22"/>
          <w:szCs w:val="22"/>
          <w:lang w:val="en-GB"/>
        </w:rPr>
      </w:pPr>
    </w:p>
    <w:p w:rsidRPr="00F36566" w:rsidR="007D72AC" w:rsidP="00F36566" w:rsidRDefault="007D72AC" w14:paraId="2945300B" w14:textId="77777777">
      <w:pPr>
        <w:spacing w:line="360" w:lineRule="auto"/>
        <w:jc w:val="both"/>
        <w:rPr>
          <w:rFonts w:asciiTheme="minorBidi" w:hAnsiTheme="minorBidi"/>
          <w:sz w:val="22"/>
          <w:szCs w:val="22"/>
          <w:lang w:val="en-GB"/>
        </w:rPr>
      </w:pPr>
    </w:p>
    <w:p w:rsidRPr="00F36566" w:rsidR="007D72AC" w:rsidP="00F36566" w:rsidRDefault="005A3DEA" w14:paraId="5E50EFC2" w14:textId="0BE6656A">
      <w:pPr>
        <w:spacing w:line="360" w:lineRule="auto"/>
        <w:jc w:val="both"/>
        <w:rPr>
          <w:rFonts w:asciiTheme="minorBidi" w:hAnsiTheme="minorBidi"/>
          <w:sz w:val="22"/>
          <w:szCs w:val="22"/>
          <w:lang w:val="en-GB"/>
        </w:rPr>
      </w:pPr>
      <w:r w:rsidRPr="00F36566">
        <w:rPr>
          <w:rFonts w:asciiTheme="minorBidi" w:hAnsiTheme="minorBidi"/>
          <w:sz w:val="22"/>
          <w:szCs w:val="22"/>
          <w:lang w:val="en-GB"/>
        </w:rPr>
        <w:tab/>
      </w:r>
    </w:p>
    <w:sectPr w:rsidRPr="00F36566" w:rsidR="007D72AC">
      <w:pgSz w:w="11906" w:h="16838" w:orient="portrait"/>
      <w:pgMar w:top="1440" w:right="1440" w:bottom="1440" w:left="1440" w:header="708" w:footer="708" w:gutter="0"/>
      <w:cols w:space="708"/>
      <w:docGrid w:linePitch="360"/>
      <w:headerReference w:type="default" r:id="R1f02ab3cd51349b6"/>
      <w:footerReference w:type="default" r:id="Rf3a0d3fa6e56455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1D02E59" w:rsidTr="01D02E59" w14:paraId="4497A172">
      <w:trPr>
        <w:trHeight w:val="300"/>
      </w:trPr>
      <w:tc>
        <w:tcPr>
          <w:tcW w:w="3005" w:type="dxa"/>
          <w:tcMar/>
        </w:tcPr>
        <w:p w:rsidR="01D02E59" w:rsidP="01D02E59" w:rsidRDefault="01D02E59" w14:paraId="6929CE96" w14:textId="63276D9D">
          <w:pPr>
            <w:pStyle w:val="Header"/>
            <w:bidi w:val="0"/>
            <w:ind w:left="-115"/>
            <w:jc w:val="left"/>
          </w:pPr>
        </w:p>
      </w:tc>
      <w:tc>
        <w:tcPr>
          <w:tcW w:w="3005" w:type="dxa"/>
          <w:tcMar/>
        </w:tcPr>
        <w:p w:rsidR="01D02E59" w:rsidP="01D02E59" w:rsidRDefault="01D02E59" w14:paraId="5C9A22B6" w14:textId="15B73F5C">
          <w:pPr>
            <w:pStyle w:val="Header"/>
            <w:bidi w:val="0"/>
            <w:jc w:val="center"/>
          </w:pPr>
        </w:p>
      </w:tc>
      <w:tc>
        <w:tcPr>
          <w:tcW w:w="3005" w:type="dxa"/>
          <w:tcMar/>
        </w:tcPr>
        <w:p w:rsidR="01D02E59" w:rsidP="01D02E59" w:rsidRDefault="01D02E59" w14:paraId="2AEE7FDC" w14:textId="7168E912">
          <w:pPr>
            <w:pStyle w:val="Header"/>
            <w:bidi w:val="0"/>
            <w:ind w:right="-115"/>
            <w:jc w:val="right"/>
          </w:pPr>
        </w:p>
      </w:tc>
    </w:tr>
  </w:tbl>
  <w:p w:rsidR="01D02E59" w:rsidP="01D02E59" w:rsidRDefault="01D02E59" w14:paraId="630B73F2" w14:textId="56EF78B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1D02E59" w:rsidTr="01D02E59" w14:paraId="61921770">
      <w:trPr>
        <w:trHeight w:val="300"/>
      </w:trPr>
      <w:tc>
        <w:tcPr>
          <w:tcW w:w="3005" w:type="dxa"/>
          <w:tcMar/>
        </w:tcPr>
        <w:p w:rsidR="01D02E59" w:rsidP="01D02E59" w:rsidRDefault="01D02E59" w14:paraId="51FFF329" w14:textId="5B3093D7">
          <w:pPr>
            <w:pStyle w:val="Header"/>
            <w:bidi w:val="0"/>
            <w:ind w:left="-115"/>
            <w:jc w:val="left"/>
          </w:pPr>
        </w:p>
      </w:tc>
      <w:tc>
        <w:tcPr>
          <w:tcW w:w="3005" w:type="dxa"/>
          <w:tcMar/>
        </w:tcPr>
        <w:p w:rsidR="01D02E59" w:rsidP="01D02E59" w:rsidRDefault="01D02E59" w14:paraId="6AA70F98" w14:textId="18F3AC1F">
          <w:pPr>
            <w:pStyle w:val="Header"/>
            <w:bidi w:val="0"/>
            <w:jc w:val="center"/>
          </w:pPr>
        </w:p>
      </w:tc>
      <w:tc>
        <w:tcPr>
          <w:tcW w:w="3005" w:type="dxa"/>
          <w:tcMar/>
        </w:tcPr>
        <w:p w:rsidR="01D02E59" w:rsidP="01D02E59" w:rsidRDefault="01D02E59" w14:paraId="7CDF67FE" w14:textId="6746F102">
          <w:pPr>
            <w:pStyle w:val="Header"/>
            <w:bidi w:val="0"/>
            <w:ind w:right="-115"/>
            <w:jc w:val="right"/>
          </w:pPr>
        </w:p>
      </w:tc>
    </w:tr>
  </w:tbl>
  <w:p w:rsidR="01D02E59" w:rsidP="01D02E59" w:rsidRDefault="01D02E59" w14:paraId="7AAB4E8A" w14:textId="1AD62472">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2AC"/>
    <w:rsid w:val="00014D85"/>
    <w:rsid w:val="00020B55"/>
    <w:rsid w:val="000363C5"/>
    <w:rsid w:val="00044181"/>
    <w:rsid w:val="00096741"/>
    <w:rsid w:val="000B743B"/>
    <w:rsid w:val="000D2DB6"/>
    <w:rsid w:val="00192852"/>
    <w:rsid w:val="001E2FD3"/>
    <w:rsid w:val="002A2A9D"/>
    <w:rsid w:val="002A5235"/>
    <w:rsid w:val="002F561D"/>
    <w:rsid w:val="00300A04"/>
    <w:rsid w:val="00313351"/>
    <w:rsid w:val="003301EB"/>
    <w:rsid w:val="00340028"/>
    <w:rsid w:val="00357B0A"/>
    <w:rsid w:val="00365247"/>
    <w:rsid w:val="00437888"/>
    <w:rsid w:val="0044255B"/>
    <w:rsid w:val="00457490"/>
    <w:rsid w:val="00461624"/>
    <w:rsid w:val="0054005D"/>
    <w:rsid w:val="005639EB"/>
    <w:rsid w:val="005A3DEA"/>
    <w:rsid w:val="005B29CE"/>
    <w:rsid w:val="006E5A0F"/>
    <w:rsid w:val="007D72AC"/>
    <w:rsid w:val="007F04DF"/>
    <w:rsid w:val="008034CA"/>
    <w:rsid w:val="00804503"/>
    <w:rsid w:val="008B0BF8"/>
    <w:rsid w:val="008E548A"/>
    <w:rsid w:val="008F3FC9"/>
    <w:rsid w:val="008F4500"/>
    <w:rsid w:val="00987FFB"/>
    <w:rsid w:val="009A5FC0"/>
    <w:rsid w:val="009B14D7"/>
    <w:rsid w:val="00A41DDD"/>
    <w:rsid w:val="00AE51DC"/>
    <w:rsid w:val="00AF4980"/>
    <w:rsid w:val="00BA6C89"/>
    <w:rsid w:val="00BB027E"/>
    <w:rsid w:val="00BC39BA"/>
    <w:rsid w:val="00BE4882"/>
    <w:rsid w:val="00BE6148"/>
    <w:rsid w:val="00CF744A"/>
    <w:rsid w:val="00D847B3"/>
    <w:rsid w:val="00D95A10"/>
    <w:rsid w:val="00E835A4"/>
    <w:rsid w:val="00E947F1"/>
    <w:rsid w:val="00F36566"/>
    <w:rsid w:val="00F401AE"/>
    <w:rsid w:val="00F465BF"/>
    <w:rsid w:val="00F87368"/>
    <w:rsid w:val="00FB6C67"/>
    <w:rsid w:val="01D02E59"/>
    <w:rsid w:val="0EE7CF46"/>
    <w:rsid w:val="16D1BA57"/>
    <w:rsid w:val="1A508D06"/>
    <w:rsid w:val="38547980"/>
    <w:rsid w:val="4AAE9CAA"/>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decimalSymbol w:val="."/>
  <w:listSeparator w:val=","/>
  <w14:docId w14:val="4BB193FD"/>
  <w15:chartTrackingRefBased/>
  <w15:docId w15:val="{32EF69DF-4587-0D4D-AFC6-D09B8C0CF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P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A5235"/>
    <w:rPr>
      <w:rFonts w:asciiTheme="majorBidi" w:hAnsiTheme="majorBidi"/>
    </w:rPr>
  </w:style>
  <w:style w:type="paragraph" w:styleId="Heading1">
    <w:name w:val="heading 1"/>
    <w:basedOn w:val="Normal"/>
    <w:next w:val="Normal"/>
    <w:link w:val="Heading1Char"/>
    <w:uiPriority w:val="9"/>
    <w:qFormat/>
    <w:rsid w:val="00461624"/>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FB6C67"/>
    <w:pPr>
      <w:keepNext/>
      <w:keepLines/>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unhideWhenUsed/>
    <w:qFormat/>
    <w:rsid w:val="00BE4882"/>
    <w:pPr>
      <w:keepNext/>
      <w:keepLines/>
      <w:spacing w:before="160" w:after="80"/>
      <w:outlineLvl w:val="2"/>
    </w:pPr>
    <w:rPr>
      <w:rFonts w:eastAsiaTheme="majorEastAsia" w:cstheme="majorBidi"/>
      <w:b/>
      <w:i/>
      <w:color w:val="0F4761" w:themeColor="accent1" w:themeShade="BF"/>
      <w:szCs w:val="28"/>
    </w:rPr>
  </w:style>
  <w:style w:type="paragraph" w:styleId="Heading4">
    <w:name w:val="heading 4"/>
    <w:basedOn w:val="Normal"/>
    <w:next w:val="Normal"/>
    <w:link w:val="Heading4Char"/>
    <w:uiPriority w:val="9"/>
    <w:semiHidden/>
    <w:unhideWhenUsed/>
    <w:qFormat/>
    <w:rsid w:val="007D72AC"/>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72AC"/>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72AC"/>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72AC"/>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72AC"/>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72AC"/>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61624"/>
    <w:rPr>
      <w:rFonts w:asciiTheme="majorBidi" w:hAnsiTheme="majorBidi" w:eastAsiaTheme="majorEastAsia" w:cstheme="majorBidi"/>
      <w:b/>
      <w:color w:val="0F4761" w:themeColor="accent1" w:themeShade="BF"/>
      <w:sz w:val="28"/>
      <w:szCs w:val="40"/>
    </w:rPr>
  </w:style>
  <w:style w:type="character" w:styleId="Heading2Char" w:customStyle="1">
    <w:name w:val="Heading 2 Char"/>
    <w:basedOn w:val="DefaultParagraphFont"/>
    <w:link w:val="Heading2"/>
    <w:uiPriority w:val="9"/>
    <w:rsid w:val="00FB6C67"/>
    <w:rPr>
      <w:rFonts w:asciiTheme="majorBidi" w:hAnsiTheme="majorBidi" w:eastAsiaTheme="majorEastAsia" w:cstheme="majorBidi"/>
      <w:b/>
      <w:color w:val="0F4761" w:themeColor="accent1" w:themeShade="BF"/>
      <w:szCs w:val="32"/>
    </w:rPr>
  </w:style>
  <w:style w:type="character" w:styleId="Heading3Char" w:customStyle="1">
    <w:name w:val="Heading 3 Char"/>
    <w:basedOn w:val="DefaultParagraphFont"/>
    <w:link w:val="Heading3"/>
    <w:uiPriority w:val="9"/>
    <w:rsid w:val="00BE4882"/>
    <w:rPr>
      <w:rFonts w:asciiTheme="majorBidi" w:hAnsiTheme="majorBidi" w:eastAsiaTheme="majorEastAsia" w:cstheme="majorBidi"/>
      <w:b/>
      <w:i/>
      <w:color w:val="0F4761" w:themeColor="accent1" w:themeShade="BF"/>
      <w:szCs w:val="28"/>
    </w:rPr>
  </w:style>
  <w:style w:type="character" w:styleId="Heading4Char" w:customStyle="1">
    <w:name w:val="Heading 4 Char"/>
    <w:basedOn w:val="DefaultParagraphFont"/>
    <w:link w:val="Heading4"/>
    <w:uiPriority w:val="9"/>
    <w:semiHidden/>
    <w:rsid w:val="007D72A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D72A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D72A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D72A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D72A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D72AC"/>
    <w:rPr>
      <w:rFonts w:eastAsiaTheme="majorEastAsia" w:cstheme="majorBidi"/>
      <w:color w:val="272727" w:themeColor="text1" w:themeTint="D8"/>
    </w:rPr>
  </w:style>
  <w:style w:type="paragraph" w:styleId="Title">
    <w:name w:val="Title"/>
    <w:basedOn w:val="Normal"/>
    <w:next w:val="Normal"/>
    <w:link w:val="TitleChar"/>
    <w:uiPriority w:val="10"/>
    <w:qFormat/>
    <w:rsid w:val="007D72A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D72A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D72AC"/>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D72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72AC"/>
    <w:pPr>
      <w:spacing w:before="160"/>
      <w:jc w:val="center"/>
    </w:pPr>
    <w:rPr>
      <w:i/>
      <w:iCs/>
      <w:color w:val="404040" w:themeColor="text1" w:themeTint="BF"/>
    </w:rPr>
  </w:style>
  <w:style w:type="character" w:styleId="QuoteChar" w:customStyle="1">
    <w:name w:val="Quote Char"/>
    <w:basedOn w:val="DefaultParagraphFont"/>
    <w:link w:val="Quote"/>
    <w:uiPriority w:val="29"/>
    <w:rsid w:val="007D72AC"/>
    <w:rPr>
      <w:rFonts w:asciiTheme="majorBidi" w:hAnsiTheme="majorBidi"/>
      <w:i/>
      <w:iCs/>
      <w:color w:val="404040" w:themeColor="text1" w:themeTint="BF"/>
    </w:rPr>
  </w:style>
  <w:style w:type="paragraph" w:styleId="ListParagraph">
    <w:name w:val="List Paragraph"/>
    <w:basedOn w:val="Normal"/>
    <w:uiPriority w:val="34"/>
    <w:qFormat/>
    <w:rsid w:val="007D72AC"/>
    <w:pPr>
      <w:ind w:left="720"/>
      <w:contextualSpacing/>
    </w:pPr>
  </w:style>
  <w:style w:type="character" w:styleId="IntenseEmphasis">
    <w:name w:val="Intense Emphasis"/>
    <w:basedOn w:val="DefaultParagraphFont"/>
    <w:uiPriority w:val="21"/>
    <w:qFormat/>
    <w:rsid w:val="007D72AC"/>
    <w:rPr>
      <w:i/>
      <w:iCs/>
      <w:color w:val="0F4761" w:themeColor="accent1" w:themeShade="BF"/>
    </w:rPr>
  </w:style>
  <w:style w:type="paragraph" w:styleId="IntenseQuote">
    <w:name w:val="Intense Quote"/>
    <w:basedOn w:val="Normal"/>
    <w:next w:val="Normal"/>
    <w:link w:val="IntenseQuoteChar"/>
    <w:uiPriority w:val="30"/>
    <w:qFormat/>
    <w:rsid w:val="007D72A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D72AC"/>
    <w:rPr>
      <w:rFonts w:asciiTheme="majorBidi" w:hAnsiTheme="majorBidi"/>
      <w:i/>
      <w:iCs/>
      <w:color w:val="0F4761" w:themeColor="accent1" w:themeShade="BF"/>
    </w:rPr>
  </w:style>
  <w:style w:type="character" w:styleId="IntenseReference">
    <w:name w:val="Intense Reference"/>
    <w:basedOn w:val="DefaultParagraphFont"/>
    <w:uiPriority w:val="32"/>
    <w:qFormat/>
    <w:rsid w:val="007D72AC"/>
    <w:rPr>
      <w:b/>
      <w:bCs/>
      <w:smallCaps/>
      <w:color w:val="0F4761" w:themeColor="accent1" w:themeShade="BF"/>
      <w:spacing w:val="5"/>
    </w:rPr>
  </w:style>
  <w:style w:type="paragraph" w:styleId="NormalWeb">
    <w:name w:val="Normal (Web)"/>
    <w:basedOn w:val="Normal"/>
    <w:uiPriority w:val="99"/>
    <w:semiHidden/>
    <w:unhideWhenUsed/>
    <w:rsid w:val="0044255B"/>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ms-1" w:customStyle="1">
    <w:name w:val="ms-1"/>
    <w:basedOn w:val="DefaultParagraphFont"/>
    <w:rsid w:val="0044255B"/>
  </w:style>
  <w:style w:type="character" w:styleId="max-w-full" w:customStyle="1">
    <w:name w:val="max-w-full"/>
    <w:basedOn w:val="DefaultParagraphFont"/>
    <w:rsid w:val="0044255B"/>
  </w:style>
  <w:style w:type="character" w:styleId="Emphasis">
    <w:name w:val="Emphasis"/>
    <w:basedOn w:val="DefaultParagraphFont"/>
    <w:uiPriority w:val="20"/>
    <w:qFormat/>
    <w:rsid w:val="0054005D"/>
    <w:rPr>
      <w:i/>
      <w:iCs/>
    </w:rPr>
  </w:style>
  <w:style w:type="paragraph" w:styleId="Header">
    <w:uiPriority w:val="99"/>
    <w:name w:val="header"/>
    <w:basedOn w:val="Normal"/>
    <w:unhideWhenUsed/>
    <w:rsid w:val="01D02E59"/>
    <w:pPr>
      <w:tabs>
        <w:tab w:val="center" w:leader="none" w:pos="4680"/>
        <w:tab w:val="right" w:leader="none" w:pos="9360"/>
      </w:tabs>
      <w:spacing w:after="0" w:line="240" w:lineRule="auto"/>
    </w:pPr>
  </w:style>
  <w:style w:type="paragraph" w:styleId="Footer">
    <w:uiPriority w:val="99"/>
    <w:name w:val="footer"/>
    <w:basedOn w:val="Normal"/>
    <w:unhideWhenUsed/>
    <w:rsid w:val="01D02E5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555009">
      <w:bodyDiv w:val="1"/>
      <w:marLeft w:val="0"/>
      <w:marRight w:val="0"/>
      <w:marTop w:val="0"/>
      <w:marBottom w:val="0"/>
      <w:divBdr>
        <w:top w:val="none" w:sz="0" w:space="0" w:color="auto"/>
        <w:left w:val="none" w:sz="0" w:space="0" w:color="auto"/>
        <w:bottom w:val="none" w:sz="0" w:space="0" w:color="auto"/>
        <w:right w:val="none" w:sz="0" w:space="0" w:color="auto"/>
      </w:divBdr>
      <w:divsChild>
        <w:div w:id="40833503">
          <w:marLeft w:val="0"/>
          <w:marRight w:val="0"/>
          <w:marTop w:val="0"/>
          <w:marBottom w:val="0"/>
          <w:divBdr>
            <w:top w:val="none" w:sz="0" w:space="0" w:color="auto"/>
            <w:left w:val="none" w:sz="0" w:space="0" w:color="auto"/>
            <w:bottom w:val="none" w:sz="0" w:space="0" w:color="auto"/>
            <w:right w:val="none" w:sz="0" w:space="0" w:color="auto"/>
          </w:divBdr>
        </w:div>
      </w:divsChild>
    </w:div>
    <w:div w:id="1162696405">
      <w:bodyDiv w:val="1"/>
      <w:marLeft w:val="0"/>
      <w:marRight w:val="0"/>
      <w:marTop w:val="0"/>
      <w:marBottom w:val="0"/>
      <w:divBdr>
        <w:top w:val="none" w:sz="0" w:space="0" w:color="auto"/>
        <w:left w:val="none" w:sz="0" w:space="0" w:color="auto"/>
        <w:bottom w:val="none" w:sz="0" w:space="0" w:color="auto"/>
        <w:right w:val="none" w:sz="0" w:space="0" w:color="auto"/>
      </w:divBdr>
    </w:div>
    <w:div w:id="1960143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1f02ab3cd51349b6" /><Relationship Type="http://schemas.openxmlformats.org/officeDocument/2006/relationships/footer" Target="footer.xml" Id="Rf3a0d3fa6e56455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WORD FILE</dc:creator>
  <keywords/>
  <dc:description/>
  <lastModifiedBy>Aneesa Khatoon (2425422)</lastModifiedBy>
  <revision>43</revision>
  <dcterms:created xsi:type="dcterms:W3CDTF">2025-06-02T06:24:00.0000000Z</dcterms:created>
  <dcterms:modified xsi:type="dcterms:W3CDTF">2025-06-22T19:19:48.5336320Z</dcterms:modified>
</coreProperties>
</file>