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C81C2A" w:rsidRDefault="00C81C2A" w:rsidP="00E2573B">
      <w:pPr>
        <w:spacing w:after="0" w:line="360" w:lineRule="auto"/>
        <w:jc w:val="center"/>
        <w:rPr>
          <w:rFonts w:asciiTheme="majorBidi" w:hAnsiTheme="majorBidi" w:cstheme="majorBidi"/>
          <w:b/>
          <w:bCs/>
          <w:sz w:val="40"/>
          <w:szCs w:val="40"/>
        </w:rPr>
      </w:pPr>
    </w:p>
    <w:p w:rsidR="00C81C2A" w:rsidRDefault="00C81C2A" w:rsidP="00E2573B">
      <w:pPr>
        <w:spacing w:after="0" w:line="360" w:lineRule="auto"/>
        <w:jc w:val="center"/>
        <w:rPr>
          <w:rFonts w:asciiTheme="majorBidi" w:hAnsiTheme="majorBidi" w:cstheme="majorBidi"/>
          <w:b/>
          <w:bCs/>
          <w:sz w:val="40"/>
          <w:szCs w:val="40"/>
        </w:rPr>
      </w:pPr>
    </w:p>
    <w:p w:rsidR="00C81C2A" w:rsidRDefault="00C81C2A" w:rsidP="00E2573B">
      <w:pPr>
        <w:spacing w:after="0" w:line="360" w:lineRule="auto"/>
        <w:jc w:val="center"/>
        <w:rPr>
          <w:rFonts w:asciiTheme="majorBidi" w:hAnsiTheme="majorBidi" w:cstheme="majorBidi"/>
          <w:b/>
          <w:bCs/>
          <w:sz w:val="40"/>
          <w:szCs w:val="40"/>
        </w:rPr>
      </w:pPr>
    </w:p>
    <w:p w:rsidR="00C81C2A" w:rsidRDefault="00C81C2A" w:rsidP="00E2573B">
      <w:pPr>
        <w:spacing w:after="0" w:line="360" w:lineRule="auto"/>
        <w:jc w:val="center"/>
        <w:rPr>
          <w:rFonts w:asciiTheme="majorBidi" w:hAnsiTheme="majorBidi" w:cstheme="majorBidi"/>
          <w:b/>
          <w:bCs/>
          <w:sz w:val="40"/>
          <w:szCs w:val="40"/>
        </w:rPr>
      </w:pPr>
    </w:p>
    <w:p w:rsidR="00C81C2A" w:rsidRDefault="00C81C2A" w:rsidP="00E2573B">
      <w:pPr>
        <w:spacing w:after="0" w:line="360" w:lineRule="auto"/>
        <w:jc w:val="center"/>
        <w:rPr>
          <w:rFonts w:asciiTheme="majorBidi" w:hAnsiTheme="majorBidi" w:cstheme="majorBidi"/>
          <w:b/>
          <w:bCs/>
          <w:sz w:val="40"/>
          <w:szCs w:val="40"/>
        </w:rPr>
      </w:pPr>
    </w:p>
    <w:p w:rsidR="00C81C2A" w:rsidRDefault="00C81C2A" w:rsidP="00E2573B">
      <w:pPr>
        <w:spacing w:after="0" w:line="360" w:lineRule="auto"/>
        <w:jc w:val="center"/>
        <w:rPr>
          <w:rFonts w:asciiTheme="majorBidi" w:hAnsiTheme="majorBidi" w:cstheme="majorBidi"/>
          <w:b/>
          <w:bCs/>
          <w:sz w:val="40"/>
          <w:szCs w:val="40"/>
        </w:rPr>
      </w:pPr>
    </w:p>
    <w:p w:rsidR="00C81C2A" w:rsidRPr="00C81C2A" w:rsidRDefault="00C81C2A" w:rsidP="00E2573B">
      <w:pPr>
        <w:spacing w:after="0" w:line="360" w:lineRule="auto"/>
        <w:jc w:val="center"/>
        <w:rPr>
          <w:rFonts w:asciiTheme="majorBidi" w:hAnsiTheme="majorBidi" w:cstheme="majorBidi"/>
          <w:b/>
          <w:bCs/>
          <w:sz w:val="40"/>
          <w:szCs w:val="40"/>
        </w:rPr>
      </w:pPr>
      <w:r w:rsidRPr="00C81C2A">
        <w:rPr>
          <w:rFonts w:asciiTheme="majorBidi" w:hAnsiTheme="majorBidi" w:cstheme="majorBidi"/>
          <w:b/>
          <w:bCs/>
          <w:sz w:val="40"/>
          <w:szCs w:val="40"/>
        </w:rPr>
        <w:t>Effective Communication, Administrative Practice, and Collaborative Working in Health and Social Care: A Case Study of Mr Ahmed</w:t>
      </w:r>
    </w:p>
    <w:p w:rsidR="00C81C2A" w:rsidRPr="00C81C2A" w:rsidRDefault="00C81C2A" w:rsidP="00E2573B">
      <w:pPr>
        <w:spacing w:after="0" w:line="360" w:lineRule="auto"/>
        <w:rPr>
          <w:rFonts w:asciiTheme="majorBidi" w:hAnsiTheme="majorBidi" w:cstheme="majorBidi"/>
          <w:b/>
          <w:bCs/>
        </w:rPr>
      </w:pPr>
      <w:r w:rsidRPr="00C81C2A">
        <w:rPr>
          <w:rFonts w:asciiTheme="majorBidi" w:hAnsiTheme="majorBidi" w:cstheme="majorBidi"/>
          <w:b/>
          <w:bCs/>
        </w:rPr>
        <w:br w:type="page"/>
      </w:r>
    </w:p>
    <w:p w:rsidR="00C81C2A" w:rsidRPr="00C81C2A" w:rsidRDefault="00C81C2A" w:rsidP="00E2573B">
      <w:pPr>
        <w:spacing w:after="0" w:line="360" w:lineRule="auto"/>
        <w:rPr>
          <w:rFonts w:asciiTheme="majorBidi" w:hAnsiTheme="majorBidi" w:cstheme="majorBidi"/>
          <w:b/>
          <w:bCs/>
          <w:sz w:val="28"/>
          <w:szCs w:val="28"/>
        </w:rPr>
      </w:pPr>
      <w:r w:rsidRPr="00C81C2A">
        <w:rPr>
          <w:rFonts w:asciiTheme="majorBidi" w:hAnsiTheme="majorBidi" w:cstheme="majorBidi"/>
          <w:b/>
          <w:bCs/>
          <w:sz w:val="28"/>
          <w:szCs w:val="28"/>
        </w:rPr>
        <w:lastRenderedPageBreak/>
        <w:t xml:space="preserve">1. Introduction </w:t>
      </w:r>
    </w:p>
    <w:p w:rsidR="00E2573B" w:rsidRPr="00E2573B" w:rsidRDefault="00E2573B" w:rsidP="00E2573B">
      <w:pPr>
        <w:spacing w:after="0" w:line="360" w:lineRule="auto"/>
        <w:rPr>
          <w:rFonts w:asciiTheme="majorBidi" w:hAnsiTheme="majorBidi" w:cstheme="majorBidi"/>
        </w:rPr>
      </w:pPr>
      <w:r w:rsidRPr="00E2573B">
        <w:rPr>
          <w:rFonts w:asciiTheme="majorBidi" w:hAnsiTheme="majorBidi" w:cstheme="majorBidi"/>
        </w:rPr>
        <w:t>The United Kingdom focuses its health and social care practice on the area of person-centred, safe, and equitable care that is promoted by effective communication, robust administrative mechanisms, and multidisciplinary cooperation. This assignment is concerned with the case of Mr. Ahmed, a 68-year-old man who is recovering after a stroke and needs domiciliary care, medication support, and communication assistance. He speaks very little English and has been found to have communication problems because of his stroke, which poses a big challenge in providing care.</w:t>
      </w:r>
    </w:p>
    <w:p w:rsidR="00C81C2A" w:rsidRPr="00C81C2A" w:rsidRDefault="00E2573B" w:rsidP="00E2573B">
      <w:pPr>
        <w:spacing w:after="0" w:line="360" w:lineRule="auto"/>
        <w:rPr>
          <w:rFonts w:asciiTheme="majorBidi" w:hAnsiTheme="majorBidi" w:cstheme="majorBidi"/>
        </w:rPr>
      </w:pPr>
      <w:r w:rsidRPr="00E2573B">
        <w:rPr>
          <w:rFonts w:asciiTheme="majorBidi" w:hAnsiTheme="majorBidi" w:cstheme="majorBidi"/>
        </w:rPr>
        <w:t>The assignment will cover three areas, such as effective communication, administration skills, including record-keeping, and teamwork in healthcare teams. The elements play vital roles in patient safety, continuity of care, and enhanced health outcomes (NHS England, 2022). There will also be an application of applicable legislation in the UK, such as the Equality Act 2010 and the Data Protection Act 2018, to illustrate how legal frameworks inform professional practice. On the whole, the assignment shows the necessity to combine communication, governance, and teamwork in order to offer people such as Mr. Ahmed high-quality care</w:t>
      </w:r>
      <w:r w:rsidR="00C81C2A" w:rsidRPr="00C81C2A">
        <w:rPr>
          <w:rFonts w:asciiTheme="majorBidi" w:hAnsiTheme="majorBidi" w:cstheme="majorBidi"/>
        </w:rPr>
        <w:t>.</w:t>
      </w:r>
    </w:p>
    <w:p w:rsidR="00C81C2A" w:rsidRPr="00C81C2A" w:rsidRDefault="00C81C2A" w:rsidP="00E2573B">
      <w:pPr>
        <w:spacing w:after="0" w:line="360" w:lineRule="auto"/>
        <w:rPr>
          <w:rFonts w:asciiTheme="majorBidi" w:hAnsiTheme="majorBidi" w:cstheme="majorBidi"/>
          <w:b/>
          <w:bCs/>
          <w:sz w:val="28"/>
          <w:szCs w:val="28"/>
        </w:rPr>
      </w:pPr>
      <w:r w:rsidRPr="00C81C2A">
        <w:rPr>
          <w:rFonts w:asciiTheme="majorBidi" w:hAnsiTheme="majorBidi" w:cstheme="majorBidi"/>
          <w:b/>
          <w:bCs/>
          <w:sz w:val="28"/>
          <w:szCs w:val="28"/>
        </w:rPr>
        <w:t xml:space="preserve">2. Importance of Effective Communication </w:t>
      </w:r>
    </w:p>
    <w:p w:rsidR="00E2573B" w:rsidRPr="00E2573B" w:rsidRDefault="00E2573B" w:rsidP="00E2573B">
      <w:pPr>
        <w:spacing w:after="0" w:line="360" w:lineRule="auto"/>
        <w:rPr>
          <w:rFonts w:asciiTheme="majorBidi" w:hAnsiTheme="majorBidi" w:cstheme="majorBidi"/>
        </w:rPr>
      </w:pPr>
      <w:r w:rsidRPr="00E2573B">
        <w:rPr>
          <w:rFonts w:asciiTheme="majorBidi" w:hAnsiTheme="majorBidi" w:cstheme="majorBidi"/>
        </w:rPr>
        <w:t>Communication is an essential aspect of health and social care because it directly determines patient safety, satisfaction, and clinical outcomes (Mocydlarz-Adamcewicz, 2021). Communication is specifically relevant to the case of Mr. Ahmed, as he has stroke-impaired speech and communication issues with language barriers. Inadequate communication may give rise to misunderstanding, medication errors, and low participation in care, as evidenced by the missed home visit incident.</w:t>
      </w:r>
    </w:p>
    <w:p w:rsidR="00E2573B" w:rsidRPr="00E2573B" w:rsidRDefault="00E2573B" w:rsidP="00E2573B">
      <w:pPr>
        <w:spacing w:after="0" w:line="360" w:lineRule="auto"/>
        <w:rPr>
          <w:rFonts w:asciiTheme="majorBidi" w:hAnsiTheme="majorBidi" w:cstheme="majorBidi"/>
        </w:rPr>
      </w:pPr>
      <w:r w:rsidRPr="00E2573B">
        <w:rPr>
          <w:rFonts w:asciiTheme="majorBidi" w:hAnsiTheme="majorBidi" w:cstheme="majorBidi"/>
        </w:rPr>
        <w:t>Mr. Ahmed is a Bengali, and though he speaks little English, he has problems following complicated discussions. This poses a danger of misunderstanding healthcare instructions, which can affect his recovery negatively. The evidence points to poor health outcomes and low patient satisfaction being linked to barriers in communication (NHS England, 2022). Hence, medical workers need to tailor their messages to the needs of individuals.</w:t>
      </w:r>
    </w:p>
    <w:p w:rsidR="00E2573B" w:rsidRPr="00E2573B" w:rsidRDefault="00E2573B" w:rsidP="00E2573B">
      <w:pPr>
        <w:spacing w:after="0" w:line="360" w:lineRule="auto"/>
        <w:rPr>
          <w:rFonts w:asciiTheme="majorBidi" w:hAnsiTheme="majorBidi" w:cstheme="majorBidi"/>
        </w:rPr>
      </w:pPr>
      <w:r w:rsidRPr="00E2573B">
        <w:rPr>
          <w:rFonts w:asciiTheme="majorBidi" w:hAnsiTheme="majorBidi" w:cstheme="majorBidi"/>
        </w:rPr>
        <w:t xml:space="preserve">To communicate with Mr. Ahmed, professionals ought to apply simple, clear language and avoid medical terms. Understanding could also be supported by non-verbal communication, which may involve gestures, eye contact, and visual aids. Also, professional interpreter or translation services are needed to help maintain proper communication (TEWV NHS Foundation Trust, </w:t>
      </w:r>
      <w:r w:rsidRPr="00E2573B">
        <w:rPr>
          <w:rFonts w:asciiTheme="majorBidi" w:hAnsiTheme="majorBidi" w:cstheme="majorBidi"/>
        </w:rPr>
        <w:lastRenderedPageBreak/>
        <w:t>2021). Although the wife of Mr. Ahmed can help in communication, professionals should make sure that he is actively engaged in decision-making, which is consistent with the principles of person-centred care.</w:t>
      </w:r>
    </w:p>
    <w:p w:rsidR="00E2573B" w:rsidRPr="00E2573B" w:rsidRDefault="00E2573B" w:rsidP="00E2573B">
      <w:pPr>
        <w:spacing w:after="0" w:line="360" w:lineRule="auto"/>
        <w:rPr>
          <w:rFonts w:asciiTheme="majorBidi" w:hAnsiTheme="majorBidi" w:cstheme="majorBidi"/>
        </w:rPr>
      </w:pPr>
      <w:r w:rsidRPr="00E2573B">
        <w:rPr>
          <w:rFonts w:asciiTheme="majorBidi" w:hAnsiTheme="majorBidi" w:cstheme="majorBidi"/>
        </w:rPr>
        <w:t>The Equality Act 2010 offers a legal framework that helps in promoting inclusive communication practices. It mandates healthcare providers to provide reasonable accommodation so that people are not disadvantaged because of disability or language impairment (UK Government, 2010). This involves offering proper language assistance and modification of the communication strategy according to the needs of Mr. Ahmed. A lack of such adjustments can lead to discrimination and poor access to care (NHS England, 2022).</w:t>
      </w:r>
    </w:p>
    <w:p w:rsidR="00C81C2A" w:rsidRPr="00C81C2A" w:rsidRDefault="00E2573B" w:rsidP="00E2573B">
      <w:pPr>
        <w:spacing w:after="0" w:line="360" w:lineRule="auto"/>
        <w:rPr>
          <w:rFonts w:asciiTheme="majorBidi" w:hAnsiTheme="majorBidi" w:cstheme="majorBidi"/>
        </w:rPr>
      </w:pPr>
      <w:r w:rsidRPr="00E2573B">
        <w:rPr>
          <w:rFonts w:asciiTheme="majorBidi" w:hAnsiTheme="majorBidi" w:cstheme="majorBidi"/>
        </w:rPr>
        <w:t>The Shannon and Weaver model of communication gives additional reasons as to why communication may be influenced by barriers. This model states that communication is a sender, message, channel, receiver, and feedback, where noise is any form of interference (Mocydlarz-Adamcewicz, 2021). In the case of Mr. Ahmed, the noise is language differences and cognitive impairment that interfere with the communication process. The feedback provided, including requesting Mr. Ahmed to repeat the instructions, is important to make sure that the instructions are understood and perceived to minim</w:t>
      </w:r>
      <w:r>
        <w:rPr>
          <w:rFonts w:asciiTheme="majorBidi" w:hAnsiTheme="majorBidi" w:cstheme="majorBidi"/>
        </w:rPr>
        <w:t>is</w:t>
      </w:r>
      <w:r w:rsidRPr="00E2573B">
        <w:rPr>
          <w:rFonts w:asciiTheme="majorBidi" w:hAnsiTheme="majorBidi" w:cstheme="majorBidi"/>
        </w:rPr>
        <w:t>e errors.</w:t>
      </w:r>
    </w:p>
    <w:p w:rsidR="00C81C2A" w:rsidRPr="00C81C2A" w:rsidRDefault="00C81C2A" w:rsidP="00E2573B">
      <w:pPr>
        <w:spacing w:after="0" w:line="360" w:lineRule="auto"/>
        <w:rPr>
          <w:rFonts w:asciiTheme="majorBidi" w:hAnsiTheme="majorBidi" w:cstheme="majorBidi"/>
          <w:b/>
          <w:bCs/>
          <w:sz w:val="28"/>
          <w:szCs w:val="28"/>
        </w:rPr>
      </w:pPr>
      <w:r w:rsidRPr="00C81C2A">
        <w:rPr>
          <w:rFonts w:asciiTheme="majorBidi" w:hAnsiTheme="majorBidi" w:cstheme="majorBidi"/>
          <w:b/>
          <w:bCs/>
          <w:sz w:val="28"/>
          <w:szCs w:val="28"/>
        </w:rPr>
        <w:t xml:space="preserve">3. Administrative Skills and Record-Keeping </w:t>
      </w:r>
    </w:p>
    <w:p w:rsidR="00E2573B" w:rsidRPr="00E2573B" w:rsidRDefault="00E2573B" w:rsidP="00E2573B">
      <w:pPr>
        <w:spacing w:after="0" w:line="360" w:lineRule="auto"/>
        <w:rPr>
          <w:rFonts w:asciiTheme="majorBidi" w:hAnsiTheme="majorBidi" w:cstheme="majorBidi"/>
        </w:rPr>
      </w:pPr>
      <w:r w:rsidRPr="00E2573B">
        <w:rPr>
          <w:rFonts w:asciiTheme="majorBidi" w:hAnsiTheme="majorBidi" w:cstheme="majorBidi"/>
        </w:rPr>
        <w:t>In health and social care, administrative skills, especially proper record-keeping, are essential. They uphold continuity of care, facilitate clinical decision-making, and offer legal support to evidence-based care provision (Social Care Wales, 2023). The home visit that was missed in the case of Mr. Ahmed and that led to him being given an incorrect medication at a later stage demonstrates the significance of effective administrative systems.</w:t>
      </w:r>
    </w:p>
    <w:p w:rsidR="00E2573B" w:rsidRPr="00E2573B" w:rsidRDefault="00E2573B" w:rsidP="00E2573B">
      <w:pPr>
        <w:spacing w:after="0" w:line="360" w:lineRule="auto"/>
        <w:rPr>
          <w:rFonts w:asciiTheme="majorBidi" w:hAnsiTheme="majorBidi" w:cstheme="majorBidi"/>
        </w:rPr>
      </w:pPr>
      <w:r w:rsidRPr="00E2573B">
        <w:rPr>
          <w:rFonts w:asciiTheme="majorBidi" w:hAnsiTheme="majorBidi" w:cstheme="majorBidi"/>
        </w:rPr>
        <w:t>Good record-keeping is the proper, encompassing, and punctual maintenance of patient care records. Among them are care plans, medication administration records (MAR charts), and visit schedules that domiciliary care workers keep. The records would allow medical workers to track the progress of Mr. Ahmed, administer medication, and see to it that the care is provided consistently (NHS England, 2022). Proper documentation also facilitates communication between the team members of the multidisciplinary team to minim</w:t>
      </w:r>
      <w:r>
        <w:rPr>
          <w:rFonts w:asciiTheme="majorBidi" w:hAnsiTheme="majorBidi" w:cstheme="majorBidi"/>
        </w:rPr>
        <w:t>is</w:t>
      </w:r>
      <w:r w:rsidRPr="00E2573B">
        <w:rPr>
          <w:rFonts w:asciiTheme="majorBidi" w:hAnsiTheme="majorBidi" w:cstheme="majorBidi"/>
        </w:rPr>
        <w:t>e the chances of mistakes.</w:t>
      </w:r>
    </w:p>
    <w:p w:rsidR="00E2573B" w:rsidRPr="00E2573B" w:rsidRDefault="00E2573B" w:rsidP="00E2573B">
      <w:pPr>
        <w:spacing w:after="0" w:line="360" w:lineRule="auto"/>
        <w:rPr>
          <w:rFonts w:asciiTheme="majorBidi" w:hAnsiTheme="majorBidi" w:cstheme="majorBidi"/>
        </w:rPr>
      </w:pPr>
      <w:r w:rsidRPr="00E2573B">
        <w:rPr>
          <w:rFonts w:asciiTheme="majorBidi" w:hAnsiTheme="majorBidi" w:cstheme="majorBidi"/>
        </w:rPr>
        <w:t xml:space="preserve">The missed visit case indicates failure to follow administrative procedures, which can be poor scheduling or record-keeping. It goes to show that effective systems are necessary to see to the delivery of care as intended. According to research, a lack of record-keeping skills may cause </w:t>
      </w:r>
      <w:r w:rsidRPr="00E2573B">
        <w:rPr>
          <w:rFonts w:asciiTheme="majorBidi" w:hAnsiTheme="majorBidi" w:cstheme="majorBidi"/>
        </w:rPr>
        <w:lastRenderedPageBreak/>
        <w:t>severe patient safety problems, such as treatment delays and medical mix-ups (Social Care Wales, 2023).</w:t>
      </w:r>
    </w:p>
    <w:p w:rsidR="00E2573B" w:rsidRPr="00E2573B" w:rsidRDefault="00E2573B" w:rsidP="00E2573B">
      <w:pPr>
        <w:spacing w:after="0" w:line="360" w:lineRule="auto"/>
        <w:rPr>
          <w:rFonts w:asciiTheme="majorBidi" w:hAnsiTheme="majorBidi" w:cstheme="majorBidi"/>
        </w:rPr>
      </w:pPr>
      <w:r w:rsidRPr="00E2573B">
        <w:rPr>
          <w:rFonts w:asciiTheme="majorBidi" w:hAnsiTheme="majorBidi" w:cstheme="majorBidi"/>
        </w:rPr>
        <w:t>The Data Protection Act 2018 regulates the manner in which personal information is processed in health and social care environments. It demands that data is handled legally, stored safely, and util</w:t>
      </w:r>
      <w:r>
        <w:rPr>
          <w:rFonts w:asciiTheme="majorBidi" w:hAnsiTheme="majorBidi" w:cstheme="majorBidi"/>
        </w:rPr>
        <w:t>is</w:t>
      </w:r>
      <w:r w:rsidRPr="00E2573B">
        <w:rPr>
          <w:rFonts w:asciiTheme="majorBidi" w:hAnsiTheme="majorBidi" w:cstheme="majorBidi"/>
        </w:rPr>
        <w:t>ed in accordance with valid intentions (UK Government, 2018). There is a necessity to guarantee confidentiality and guard delicate patient information in healthcare organisations, specifically when sharing information across various services. This is critical in ensuring there is trust and adherence to the law (Valleys Medical Partnership, 2023).</w:t>
      </w:r>
    </w:p>
    <w:p w:rsidR="00E2573B" w:rsidRPr="00E2573B" w:rsidRDefault="00E2573B" w:rsidP="00E2573B">
      <w:pPr>
        <w:spacing w:after="0" w:line="360" w:lineRule="auto"/>
        <w:rPr>
          <w:rFonts w:asciiTheme="majorBidi" w:hAnsiTheme="majorBidi" w:cstheme="majorBidi"/>
        </w:rPr>
      </w:pPr>
      <w:r w:rsidRPr="00E2573B">
        <w:rPr>
          <w:rFonts w:asciiTheme="majorBidi" w:hAnsiTheme="majorBidi" w:cstheme="majorBidi"/>
        </w:rPr>
        <w:t>In the case of Mr. Ahmed, his personal and medical records should be exchanged between the healthcare professionals, such as his GP, district nurse, and speech and language therapist. This should, however, be carried out but in line with the principles of data protection, where a person can only share relevant information, and consent should also be obtained where required. Confidentiality is critical to both demonstrating ethics and preserving the rights of patients (UK Government, 2018).</w:t>
      </w:r>
    </w:p>
    <w:p w:rsidR="00C81C2A" w:rsidRPr="00C81C2A" w:rsidRDefault="00E2573B" w:rsidP="00E2573B">
      <w:pPr>
        <w:spacing w:after="0" w:line="360" w:lineRule="auto"/>
        <w:rPr>
          <w:rFonts w:asciiTheme="majorBidi" w:hAnsiTheme="majorBidi" w:cstheme="majorBidi"/>
        </w:rPr>
      </w:pPr>
      <w:r w:rsidRPr="00E2573B">
        <w:rPr>
          <w:rFonts w:asciiTheme="majorBidi" w:hAnsiTheme="majorBidi" w:cstheme="majorBidi"/>
        </w:rPr>
        <w:t>Also, legal agencies like the Care Quality Commission (CQC) specify what should be recorded and the quality of care. These models hold healthcare personnel to proper standards and provide safe and efficient services (NHS England, 2022). In general, good administrative practices and proper record-keeping become critical in order to provide patient safety, avoid errors, and ensure legal adherence. In the case of Mr. Ahmed, this may be alleviated through an improvement of the administrative systems to help avert the occurrence of similar incidents and to improve the quality of the care given.</w:t>
      </w:r>
    </w:p>
    <w:p w:rsidR="00C81C2A" w:rsidRPr="00C81C2A" w:rsidRDefault="00C81C2A" w:rsidP="00E2573B">
      <w:pPr>
        <w:spacing w:after="0" w:line="360" w:lineRule="auto"/>
        <w:rPr>
          <w:rFonts w:asciiTheme="majorBidi" w:hAnsiTheme="majorBidi" w:cstheme="majorBidi"/>
          <w:b/>
          <w:bCs/>
          <w:sz w:val="28"/>
          <w:szCs w:val="28"/>
        </w:rPr>
      </w:pPr>
      <w:r w:rsidRPr="00C81C2A">
        <w:rPr>
          <w:rFonts w:asciiTheme="majorBidi" w:hAnsiTheme="majorBidi" w:cstheme="majorBidi"/>
          <w:b/>
          <w:bCs/>
          <w:sz w:val="28"/>
          <w:szCs w:val="28"/>
        </w:rPr>
        <w:t xml:space="preserve">4. Collaborative Working in Health and Social Care </w:t>
      </w:r>
    </w:p>
    <w:p w:rsidR="00E2573B" w:rsidRPr="00E2573B" w:rsidRDefault="00E2573B" w:rsidP="00E2573B">
      <w:pPr>
        <w:spacing w:after="0" w:line="360" w:lineRule="auto"/>
        <w:rPr>
          <w:rFonts w:asciiTheme="majorBidi" w:hAnsiTheme="majorBidi" w:cstheme="majorBidi"/>
        </w:rPr>
      </w:pPr>
      <w:r w:rsidRPr="00E2573B">
        <w:rPr>
          <w:rFonts w:asciiTheme="majorBidi" w:hAnsiTheme="majorBidi" w:cstheme="majorBidi"/>
        </w:rPr>
        <w:t>The principle of collaborative working is central to health and social care because professionals working in various fields engage in collaborative efforts in delivering holistic care. The multidisciplinary team, when it comes to Mr. Ahmed, is composed of his GP, district nurse, domiciliary care workers, and speech and language therapist. All the professionals bring specialised knowledge to help him in various areas of his healing.</w:t>
      </w:r>
    </w:p>
    <w:p w:rsidR="00E2573B" w:rsidRPr="00E2573B" w:rsidRDefault="00E2573B" w:rsidP="00E2573B">
      <w:pPr>
        <w:spacing w:after="0" w:line="360" w:lineRule="auto"/>
        <w:rPr>
          <w:rFonts w:asciiTheme="majorBidi" w:hAnsiTheme="majorBidi" w:cstheme="majorBidi"/>
        </w:rPr>
      </w:pPr>
      <w:r w:rsidRPr="00E2573B">
        <w:rPr>
          <w:rFonts w:asciiTheme="majorBidi" w:hAnsiTheme="majorBidi" w:cstheme="majorBidi"/>
        </w:rPr>
        <w:t>Teamwork is vital in enhancing patient outcomes in the sense that it allows the provision of integrated care. The UK system of integrated care lays stress on the need to work in partnership to provide efficient and effective services (NHS, 2021). Through collaboration, healthcare practitioners will be able to meet the physical, psychological, and social needs of patients.</w:t>
      </w:r>
    </w:p>
    <w:p w:rsidR="00E2573B" w:rsidRPr="00E2573B" w:rsidRDefault="00E2573B" w:rsidP="00E2573B">
      <w:pPr>
        <w:spacing w:after="0" w:line="360" w:lineRule="auto"/>
        <w:rPr>
          <w:rFonts w:asciiTheme="majorBidi" w:hAnsiTheme="majorBidi" w:cstheme="majorBidi"/>
        </w:rPr>
      </w:pPr>
      <w:r w:rsidRPr="00E2573B">
        <w:rPr>
          <w:rFonts w:asciiTheme="majorBidi" w:hAnsiTheme="majorBidi" w:cstheme="majorBidi"/>
        </w:rPr>
        <w:lastRenderedPageBreak/>
        <w:t>In the case of Mr. Ahmed, collaboration helps to take care of his medication, address his communication problems, and monitor his health in general. Nevertheless, the visit to the home was not made, which showed that there was a failure in coordination, and that is why effective teamwork can be highly important. Loss of care and patient safety increases can be the consequence of poor interprofessional communication (Social Care Wales, 2023).</w:t>
      </w:r>
    </w:p>
    <w:p w:rsidR="00E2573B" w:rsidRPr="00E2573B" w:rsidRDefault="00E2573B" w:rsidP="00E2573B">
      <w:pPr>
        <w:spacing w:after="0" w:line="360" w:lineRule="auto"/>
        <w:rPr>
          <w:rFonts w:asciiTheme="majorBidi" w:hAnsiTheme="majorBidi" w:cstheme="majorBidi"/>
        </w:rPr>
      </w:pPr>
      <w:r w:rsidRPr="00E2573B">
        <w:rPr>
          <w:rFonts w:asciiTheme="majorBidi" w:hAnsiTheme="majorBidi" w:cstheme="majorBidi"/>
        </w:rPr>
        <w:t>There are a few measures that can enhance teamwork. These are frequent multidisciplinary conferences, common electronic health records, and transparent messaging pathways among the members. Setting roles and duties also serves to curtail confusion and accountability. Engaging Mr. Ahmed and his family in care planning also contributes to a person-centred approach and enhances engagement.</w:t>
      </w:r>
    </w:p>
    <w:p w:rsidR="00C81C2A" w:rsidRPr="00C81C2A" w:rsidRDefault="00E2573B" w:rsidP="00E2573B">
      <w:pPr>
        <w:spacing w:after="0" w:line="360" w:lineRule="auto"/>
        <w:rPr>
          <w:rFonts w:asciiTheme="majorBidi" w:hAnsiTheme="majorBidi" w:cstheme="majorBidi"/>
        </w:rPr>
      </w:pPr>
      <w:r w:rsidRPr="00E2573B">
        <w:rPr>
          <w:rFonts w:asciiTheme="majorBidi" w:hAnsiTheme="majorBidi" w:cstheme="majorBidi"/>
        </w:rPr>
        <w:t>The obstacles to working cooperatively could be time constraints, language barriers, and the variation in professional orientation. Nevertheless, they may be overcome with the help of proper leadership, respect, and common objectives aimed at patient care (NHS, 2021). Finally, teamwork is necessary to provide high-quality care. In the case of Mr. Ahmed, providing better coordination among the healthcare professionals would result in improved care delivery and eliminate future incidents</w:t>
      </w:r>
      <w:r w:rsidR="00C81C2A" w:rsidRPr="00C81C2A">
        <w:rPr>
          <w:rFonts w:asciiTheme="majorBidi" w:hAnsiTheme="majorBidi" w:cstheme="majorBidi"/>
        </w:rPr>
        <w:t>.</w:t>
      </w:r>
    </w:p>
    <w:p w:rsidR="00C81C2A" w:rsidRPr="00C81C2A" w:rsidRDefault="00C81C2A" w:rsidP="00E2573B">
      <w:pPr>
        <w:spacing w:after="0" w:line="360" w:lineRule="auto"/>
        <w:rPr>
          <w:rFonts w:asciiTheme="majorBidi" w:hAnsiTheme="majorBidi" w:cstheme="majorBidi"/>
          <w:b/>
          <w:bCs/>
          <w:sz w:val="28"/>
          <w:szCs w:val="28"/>
        </w:rPr>
      </w:pPr>
      <w:r w:rsidRPr="00C81C2A">
        <w:rPr>
          <w:rFonts w:asciiTheme="majorBidi" w:hAnsiTheme="majorBidi" w:cstheme="majorBidi"/>
          <w:b/>
          <w:bCs/>
          <w:sz w:val="28"/>
          <w:szCs w:val="28"/>
        </w:rPr>
        <w:t xml:space="preserve">5. Conclusion </w:t>
      </w:r>
    </w:p>
    <w:p w:rsidR="00E2573B" w:rsidRPr="00E2573B" w:rsidRDefault="00E2573B" w:rsidP="00E2573B">
      <w:pPr>
        <w:spacing w:after="0" w:line="360" w:lineRule="auto"/>
        <w:rPr>
          <w:rFonts w:asciiTheme="majorBidi" w:hAnsiTheme="majorBidi" w:cstheme="majorBidi"/>
        </w:rPr>
      </w:pPr>
      <w:r w:rsidRPr="00E2573B">
        <w:rPr>
          <w:rFonts w:asciiTheme="majorBidi" w:hAnsiTheme="majorBidi" w:cstheme="majorBidi"/>
        </w:rPr>
        <w:t xml:space="preserve">This </w:t>
      </w:r>
      <w:r>
        <w:rPr>
          <w:rFonts w:asciiTheme="majorBidi" w:hAnsiTheme="majorBidi" w:cstheme="majorBidi"/>
        </w:rPr>
        <w:t>essay</w:t>
      </w:r>
      <w:r w:rsidRPr="00E2573B">
        <w:rPr>
          <w:rFonts w:asciiTheme="majorBidi" w:hAnsiTheme="majorBidi" w:cstheme="majorBidi"/>
        </w:rPr>
        <w:t xml:space="preserve"> has demonstrated the significance of communication, administrative, and working collaboration in health and social care practice. In the case of Mr. Ahmed, the issue of good communication is also very vital to address language barriers and ensure that he comprehends and is a part of his care. The use of administrative skills, especially proper record-keeping, is significant to maintain continuity of care and avoid mistakes, which was inflicted through the incident of a minor home visit oversight.</w:t>
      </w:r>
    </w:p>
    <w:p w:rsidR="00C81C2A" w:rsidRPr="00C81C2A" w:rsidRDefault="00E2573B" w:rsidP="00E2573B">
      <w:pPr>
        <w:spacing w:after="0" w:line="360" w:lineRule="auto"/>
        <w:rPr>
          <w:rFonts w:asciiTheme="majorBidi" w:hAnsiTheme="majorBidi" w:cstheme="majorBidi"/>
        </w:rPr>
      </w:pPr>
      <w:r w:rsidRPr="00E2573B">
        <w:rPr>
          <w:rFonts w:asciiTheme="majorBidi" w:hAnsiTheme="majorBidi" w:cstheme="majorBidi"/>
        </w:rPr>
        <w:t>Moreover, teamwork among medical practitioners helps in a comprehensive approach to care and enhanced patient outcomes and quality of services. The UK law, such as the Equality Act 2010 and the Data Protection Act 2018, offers a standard to achieve the appropriate care that is safe, ethical, and fair. In sum, the combination of proper communication, powerful administrative frameworks, and effective collaboration is necessary in the case of providing high-quality person-focused care to people such as Mr. Ahmed in the UK health and social care system</w:t>
      </w:r>
      <w:r w:rsidR="00C81C2A" w:rsidRPr="00C81C2A">
        <w:rPr>
          <w:rFonts w:asciiTheme="majorBidi" w:hAnsiTheme="majorBidi" w:cstheme="majorBidi"/>
        </w:rPr>
        <w:t>.</w:t>
      </w:r>
    </w:p>
    <w:p w:rsidR="00C81C2A" w:rsidRDefault="00C81C2A" w:rsidP="00E2573B">
      <w:pPr>
        <w:spacing w:after="0" w:line="360" w:lineRule="auto"/>
        <w:rPr>
          <w:rFonts w:asciiTheme="majorBidi" w:hAnsiTheme="majorBidi" w:cstheme="majorBidi"/>
        </w:rPr>
      </w:pPr>
      <w:r>
        <w:rPr>
          <w:rFonts w:asciiTheme="majorBidi" w:hAnsiTheme="majorBidi" w:cstheme="majorBidi"/>
        </w:rPr>
        <w:br w:type="page"/>
      </w:r>
    </w:p>
    <w:p w:rsidR="00C81C2A" w:rsidRPr="00C81C2A" w:rsidRDefault="00C81C2A" w:rsidP="00E2573B">
      <w:pPr>
        <w:spacing w:after="0" w:line="360" w:lineRule="auto"/>
        <w:rPr>
          <w:rFonts w:asciiTheme="majorBidi" w:hAnsiTheme="majorBidi" w:cstheme="majorBidi"/>
          <w:b/>
          <w:bCs/>
          <w:sz w:val="28"/>
          <w:szCs w:val="28"/>
        </w:rPr>
      </w:pPr>
      <w:r w:rsidRPr="00C81C2A">
        <w:rPr>
          <w:rFonts w:asciiTheme="majorBidi" w:hAnsiTheme="majorBidi" w:cstheme="majorBidi"/>
          <w:b/>
          <w:bCs/>
          <w:sz w:val="28"/>
          <w:szCs w:val="28"/>
        </w:rPr>
        <w:lastRenderedPageBreak/>
        <w:t xml:space="preserve">References </w:t>
      </w:r>
    </w:p>
    <w:p w:rsidR="00E2573B" w:rsidRDefault="00E2573B" w:rsidP="00E2573B">
      <w:pPr>
        <w:pStyle w:val="NormalWeb"/>
        <w:spacing w:before="0" w:beforeAutospacing="0" w:after="0" w:afterAutospacing="0" w:line="360" w:lineRule="auto"/>
        <w:ind w:left="720" w:hanging="720"/>
      </w:pPr>
      <w:r>
        <w:t xml:space="preserve">Mocydlarz-Adamcewicz, M. (2021) “Effective communication between hospital staff and patients in compliance with personal data protection regulations,” </w:t>
      </w:r>
      <w:r>
        <w:rPr>
          <w:i/>
          <w:iCs/>
        </w:rPr>
        <w:t>Reports of Practical Oncology &amp; Radiotherapy</w:t>
      </w:r>
      <w:r>
        <w:t xml:space="preserve">, 26(6), pp. 833–838. Available at: </w:t>
      </w:r>
      <w:hyperlink r:id="rId5" w:history="1">
        <w:r w:rsidRPr="0099379E">
          <w:rPr>
            <w:rStyle w:val="Hyperlink"/>
            <w:rFonts w:eastAsiaTheme="majorEastAsia"/>
          </w:rPr>
          <w:t>https://doi.org/10.5603/rpor.a2021.0138</w:t>
        </w:r>
      </w:hyperlink>
      <w:r>
        <w:t>.</w:t>
      </w:r>
    </w:p>
    <w:p w:rsidR="00E2573B" w:rsidRDefault="00C81C2A" w:rsidP="00E2573B">
      <w:pPr>
        <w:pStyle w:val="NormalWeb"/>
        <w:spacing w:before="0" w:beforeAutospacing="0" w:after="0" w:afterAutospacing="0" w:line="360" w:lineRule="auto"/>
        <w:ind w:left="720" w:hanging="720"/>
        <w:rPr>
          <w:rFonts w:asciiTheme="majorBidi" w:hAnsiTheme="majorBidi" w:cstheme="majorBidi"/>
        </w:rPr>
      </w:pPr>
      <w:r w:rsidRPr="00C81C2A">
        <w:rPr>
          <w:rFonts w:asciiTheme="majorBidi" w:hAnsiTheme="majorBidi" w:cstheme="majorBidi"/>
        </w:rPr>
        <w:t xml:space="preserve">NHS England (2022). </w:t>
      </w:r>
      <w:r w:rsidRPr="00C81C2A">
        <w:rPr>
          <w:rFonts w:asciiTheme="majorBidi" w:eastAsiaTheme="majorEastAsia" w:hAnsiTheme="majorBidi" w:cstheme="majorBidi"/>
          <w:i/>
          <w:iCs/>
        </w:rPr>
        <w:t>Health inequalities and equality legal duties</w:t>
      </w:r>
      <w:r w:rsidRPr="00C81C2A">
        <w:rPr>
          <w:rFonts w:asciiTheme="majorBidi" w:hAnsiTheme="majorBidi" w:cstheme="majorBidi"/>
        </w:rPr>
        <w:t xml:space="preserve">. Available at: </w:t>
      </w:r>
      <w:hyperlink r:id="rId6" w:tgtFrame="_new" w:history="1">
        <w:r w:rsidRPr="00C81C2A">
          <w:rPr>
            <w:rStyle w:val="Hyperlink"/>
            <w:rFonts w:asciiTheme="majorBidi" w:eastAsiaTheme="majorEastAsia" w:hAnsiTheme="majorBidi" w:cstheme="majorBidi"/>
          </w:rPr>
          <w:t>h</w:t>
        </w:r>
        <w:r w:rsidR="00E2573B" w:rsidRPr="00E2573B">
          <w:t xml:space="preserve"> </w:t>
        </w:r>
        <w:r w:rsidR="00E2573B" w:rsidRPr="00E2573B">
          <w:rPr>
            <w:rStyle w:val="Hyperlink"/>
            <w:rFonts w:asciiTheme="majorBidi" w:hAnsiTheme="majorBidi" w:cstheme="majorBidi"/>
          </w:rPr>
          <w:t>https://www.england.nhs.uk/long-read/health-inequalities-equality-legal-duties/</w:t>
        </w:r>
      </w:hyperlink>
      <w:r w:rsidR="00E2573B">
        <w:rPr>
          <w:rFonts w:asciiTheme="majorBidi" w:hAnsiTheme="majorBidi" w:cstheme="majorBidi"/>
        </w:rPr>
        <w:t xml:space="preserve"> </w:t>
      </w:r>
      <w:r w:rsidR="00E2573B" w:rsidRPr="00E2573B">
        <w:rPr>
          <w:rFonts w:asciiTheme="majorBidi" w:hAnsiTheme="majorBidi" w:cstheme="majorBidi"/>
        </w:rPr>
        <w:t>(Accessed: 20 Mar 2026).</w:t>
      </w:r>
    </w:p>
    <w:p w:rsidR="00E2573B" w:rsidRDefault="00C81C2A" w:rsidP="00E2573B">
      <w:pPr>
        <w:pStyle w:val="NormalWeb"/>
        <w:spacing w:before="0" w:beforeAutospacing="0" w:after="0" w:afterAutospacing="0" w:line="360" w:lineRule="auto"/>
        <w:ind w:left="720" w:hanging="720"/>
        <w:rPr>
          <w:rFonts w:asciiTheme="majorBidi" w:hAnsiTheme="majorBidi" w:cstheme="majorBidi"/>
        </w:rPr>
      </w:pPr>
      <w:r w:rsidRPr="00C81C2A">
        <w:rPr>
          <w:rFonts w:asciiTheme="majorBidi" w:hAnsiTheme="majorBidi" w:cstheme="majorBidi"/>
        </w:rPr>
        <w:t xml:space="preserve">NHS (2021). </w:t>
      </w:r>
      <w:r w:rsidRPr="00C81C2A">
        <w:rPr>
          <w:rFonts w:asciiTheme="majorBidi" w:eastAsiaTheme="majorEastAsia" w:hAnsiTheme="majorBidi" w:cstheme="majorBidi"/>
          <w:i/>
          <w:iCs/>
        </w:rPr>
        <w:t>Integration and innovation: working together to improve health and social care</w:t>
      </w:r>
      <w:r w:rsidRPr="00C81C2A">
        <w:rPr>
          <w:rFonts w:asciiTheme="majorBidi" w:hAnsiTheme="majorBidi" w:cstheme="majorBidi"/>
        </w:rPr>
        <w:t xml:space="preserve">. Available at: </w:t>
      </w:r>
      <w:hyperlink r:id="rId7" w:history="1">
        <w:r w:rsidR="00E2573B" w:rsidRPr="0099379E">
          <w:rPr>
            <w:rStyle w:val="Hyperlink"/>
            <w:rFonts w:asciiTheme="majorBidi" w:hAnsiTheme="majorBidi" w:cstheme="majorBidi"/>
          </w:rPr>
          <w:t>https://www.gov.uk/government/publications/working-together-to-improve-health-and-social-care-for-all/integration-and-innovation-working-together-to-improve-health-and-social-care-for-all-html-version</w:t>
        </w:r>
      </w:hyperlink>
      <w:r w:rsidR="00E2573B">
        <w:rPr>
          <w:rFonts w:asciiTheme="majorBidi" w:hAnsiTheme="majorBidi" w:cstheme="majorBidi"/>
        </w:rPr>
        <w:t xml:space="preserve"> </w:t>
      </w:r>
      <w:r w:rsidR="00E2573B" w:rsidRPr="00E2573B">
        <w:rPr>
          <w:rFonts w:asciiTheme="majorBidi" w:hAnsiTheme="majorBidi" w:cstheme="majorBidi"/>
        </w:rPr>
        <w:t>(Accessed: 20 Mar 2026).</w:t>
      </w:r>
    </w:p>
    <w:p w:rsidR="00E2573B" w:rsidRDefault="00C81C2A" w:rsidP="00E2573B">
      <w:pPr>
        <w:pStyle w:val="NormalWeb"/>
        <w:spacing w:before="0" w:beforeAutospacing="0" w:after="0" w:afterAutospacing="0" w:line="360" w:lineRule="auto"/>
        <w:ind w:left="720" w:hanging="720"/>
        <w:rPr>
          <w:rFonts w:asciiTheme="majorBidi" w:hAnsiTheme="majorBidi" w:cstheme="majorBidi"/>
        </w:rPr>
      </w:pPr>
      <w:r w:rsidRPr="00C81C2A">
        <w:rPr>
          <w:rFonts w:asciiTheme="majorBidi" w:hAnsiTheme="majorBidi" w:cstheme="majorBidi"/>
        </w:rPr>
        <w:t xml:space="preserve">Social Care Wales (2023). </w:t>
      </w:r>
      <w:r w:rsidRPr="00C81C2A">
        <w:rPr>
          <w:rFonts w:asciiTheme="majorBidi" w:eastAsiaTheme="majorEastAsia" w:hAnsiTheme="majorBidi" w:cstheme="majorBidi"/>
          <w:i/>
          <w:iCs/>
        </w:rPr>
        <w:t>Managing people in health and social care</w:t>
      </w:r>
      <w:r w:rsidRPr="00C81C2A">
        <w:rPr>
          <w:rFonts w:asciiTheme="majorBidi" w:hAnsiTheme="majorBidi" w:cstheme="majorBidi"/>
        </w:rPr>
        <w:t xml:space="preserve">. </w:t>
      </w:r>
      <w:r w:rsidR="00E2573B" w:rsidRPr="00C81C2A">
        <w:rPr>
          <w:rFonts w:asciiTheme="majorBidi" w:hAnsiTheme="majorBidi" w:cstheme="majorBidi"/>
        </w:rPr>
        <w:t xml:space="preserve">Available at: </w:t>
      </w:r>
      <w:hyperlink r:id="rId8" w:history="1">
        <w:r w:rsidR="00E2573B" w:rsidRPr="0099379E">
          <w:rPr>
            <w:rStyle w:val="Hyperlink"/>
            <w:rFonts w:asciiTheme="majorBidi" w:hAnsiTheme="majorBidi" w:cstheme="majorBidi"/>
          </w:rPr>
          <w:t>https://socialcare.wales/social-care-delivery-plan-2023-to-2026</w:t>
        </w:r>
      </w:hyperlink>
      <w:r w:rsidR="00E2573B">
        <w:rPr>
          <w:rFonts w:asciiTheme="majorBidi" w:hAnsiTheme="majorBidi" w:cstheme="majorBidi"/>
        </w:rPr>
        <w:t xml:space="preserve"> </w:t>
      </w:r>
      <w:r w:rsidR="00E2573B" w:rsidRPr="00E2573B">
        <w:rPr>
          <w:rFonts w:asciiTheme="majorBidi" w:hAnsiTheme="majorBidi" w:cstheme="majorBidi"/>
        </w:rPr>
        <w:t>(Accessed: 20 Mar 2026).</w:t>
      </w:r>
    </w:p>
    <w:p w:rsidR="00E2573B" w:rsidRDefault="00C81C2A" w:rsidP="00E2573B">
      <w:pPr>
        <w:pStyle w:val="NormalWeb"/>
        <w:spacing w:before="0" w:beforeAutospacing="0" w:after="0" w:afterAutospacing="0" w:line="360" w:lineRule="auto"/>
        <w:ind w:left="720" w:hanging="720"/>
        <w:rPr>
          <w:rFonts w:asciiTheme="majorBidi" w:hAnsiTheme="majorBidi" w:cstheme="majorBidi"/>
        </w:rPr>
      </w:pPr>
      <w:r w:rsidRPr="00C81C2A">
        <w:rPr>
          <w:rFonts w:asciiTheme="majorBidi" w:hAnsiTheme="majorBidi" w:cstheme="majorBidi"/>
        </w:rPr>
        <w:t xml:space="preserve">TEWV NHS Foundation Trust (2021). </w:t>
      </w:r>
      <w:r w:rsidRPr="00C81C2A">
        <w:rPr>
          <w:rFonts w:asciiTheme="majorBidi" w:eastAsiaTheme="majorEastAsia" w:hAnsiTheme="majorBidi" w:cstheme="majorBidi"/>
          <w:i/>
          <w:iCs/>
        </w:rPr>
        <w:t>Communicating with service users: Best practice guide</w:t>
      </w:r>
      <w:r w:rsidRPr="00C81C2A">
        <w:rPr>
          <w:rFonts w:asciiTheme="majorBidi" w:hAnsiTheme="majorBidi" w:cstheme="majorBidi"/>
        </w:rPr>
        <w:t>.</w:t>
      </w:r>
      <w:r w:rsidR="00E2573B">
        <w:rPr>
          <w:rFonts w:asciiTheme="majorBidi" w:hAnsiTheme="majorBidi" w:cstheme="majorBidi"/>
        </w:rPr>
        <w:t xml:space="preserve"> </w:t>
      </w:r>
      <w:r w:rsidR="00E2573B" w:rsidRPr="00C81C2A">
        <w:rPr>
          <w:rFonts w:asciiTheme="majorBidi" w:hAnsiTheme="majorBidi" w:cstheme="majorBidi"/>
        </w:rPr>
        <w:t xml:space="preserve">Available at: </w:t>
      </w:r>
      <w:hyperlink r:id="rId9" w:history="1">
        <w:r w:rsidR="00E2573B" w:rsidRPr="0099379E">
          <w:rPr>
            <w:rStyle w:val="Hyperlink"/>
            <w:rFonts w:asciiTheme="majorBidi" w:hAnsiTheme="majorBidi" w:cstheme="majorBidi"/>
          </w:rPr>
          <w:t>https://www.tewv.nhs.uk/wp-content/uploads/2021/10/Communicating-with-Service-Users-Best-Practice.pdf</w:t>
        </w:r>
      </w:hyperlink>
      <w:r w:rsidR="00E2573B">
        <w:rPr>
          <w:rFonts w:asciiTheme="majorBidi" w:hAnsiTheme="majorBidi" w:cstheme="majorBidi"/>
        </w:rPr>
        <w:t xml:space="preserve"> </w:t>
      </w:r>
      <w:r w:rsidR="00E2573B" w:rsidRPr="00E2573B">
        <w:rPr>
          <w:rFonts w:asciiTheme="majorBidi" w:hAnsiTheme="majorBidi" w:cstheme="majorBidi"/>
        </w:rPr>
        <w:t>(Accessed: 20 Mar 2026).</w:t>
      </w:r>
    </w:p>
    <w:p w:rsidR="00E2573B" w:rsidRDefault="00C81C2A" w:rsidP="00E2573B">
      <w:pPr>
        <w:pStyle w:val="NormalWeb"/>
        <w:spacing w:before="0" w:beforeAutospacing="0" w:after="0" w:afterAutospacing="0" w:line="360" w:lineRule="auto"/>
        <w:ind w:left="720" w:hanging="720"/>
        <w:rPr>
          <w:rFonts w:asciiTheme="majorBidi" w:hAnsiTheme="majorBidi" w:cstheme="majorBidi"/>
        </w:rPr>
      </w:pPr>
      <w:r w:rsidRPr="00C81C2A">
        <w:rPr>
          <w:rFonts w:asciiTheme="majorBidi" w:hAnsiTheme="majorBidi" w:cstheme="majorBidi"/>
        </w:rPr>
        <w:t xml:space="preserve">UK Government (2010). </w:t>
      </w:r>
      <w:r w:rsidRPr="00C81C2A">
        <w:rPr>
          <w:rFonts w:asciiTheme="majorBidi" w:eastAsiaTheme="majorEastAsia" w:hAnsiTheme="majorBidi" w:cstheme="majorBidi"/>
          <w:i/>
          <w:iCs/>
        </w:rPr>
        <w:t>Equality Act 2010</w:t>
      </w:r>
      <w:r w:rsidRPr="00C81C2A">
        <w:rPr>
          <w:rFonts w:asciiTheme="majorBidi" w:hAnsiTheme="majorBidi" w:cstheme="majorBidi"/>
        </w:rPr>
        <w:t xml:space="preserve">. Available at: </w:t>
      </w:r>
      <w:hyperlink r:id="rId10" w:history="1">
        <w:r w:rsidR="00E2573B" w:rsidRPr="0099379E">
          <w:rPr>
            <w:rStyle w:val="Hyperlink"/>
            <w:rFonts w:asciiTheme="majorBidi" w:hAnsiTheme="majorBidi" w:cstheme="majorBidi"/>
          </w:rPr>
          <w:t>https://www.gov.uk/guidance/equality-act-2010-guidance</w:t>
        </w:r>
      </w:hyperlink>
      <w:r w:rsidR="00E2573B">
        <w:rPr>
          <w:rFonts w:asciiTheme="majorBidi" w:hAnsiTheme="majorBidi" w:cstheme="majorBidi"/>
        </w:rPr>
        <w:t xml:space="preserve"> </w:t>
      </w:r>
      <w:r w:rsidR="00E2573B" w:rsidRPr="00E2573B">
        <w:rPr>
          <w:rFonts w:asciiTheme="majorBidi" w:hAnsiTheme="majorBidi" w:cstheme="majorBidi"/>
        </w:rPr>
        <w:t>(Accessed: 20 Mar 2026).</w:t>
      </w:r>
    </w:p>
    <w:p w:rsidR="00E2573B" w:rsidRDefault="00C81C2A" w:rsidP="00E2573B">
      <w:pPr>
        <w:pStyle w:val="NormalWeb"/>
        <w:spacing w:before="0" w:beforeAutospacing="0" w:after="0" w:afterAutospacing="0" w:line="360" w:lineRule="auto"/>
        <w:ind w:left="720" w:hanging="720"/>
        <w:rPr>
          <w:rFonts w:asciiTheme="majorBidi" w:hAnsiTheme="majorBidi" w:cstheme="majorBidi"/>
        </w:rPr>
      </w:pPr>
      <w:r w:rsidRPr="00C81C2A">
        <w:rPr>
          <w:rFonts w:asciiTheme="majorBidi" w:hAnsiTheme="majorBidi" w:cstheme="majorBidi"/>
        </w:rPr>
        <w:t xml:space="preserve">UK Government (2018). </w:t>
      </w:r>
      <w:r w:rsidRPr="00C81C2A">
        <w:rPr>
          <w:rFonts w:asciiTheme="majorBidi" w:eastAsiaTheme="majorEastAsia" w:hAnsiTheme="majorBidi" w:cstheme="majorBidi"/>
          <w:i/>
          <w:iCs/>
        </w:rPr>
        <w:t>Data Protection Act 2018</w:t>
      </w:r>
      <w:r w:rsidRPr="00C81C2A">
        <w:rPr>
          <w:rFonts w:asciiTheme="majorBidi" w:hAnsiTheme="majorBidi" w:cstheme="majorBidi"/>
        </w:rPr>
        <w:t xml:space="preserve">. Available at: </w:t>
      </w:r>
      <w:hyperlink r:id="rId11" w:history="1">
        <w:r w:rsidR="00E2573B" w:rsidRPr="0099379E">
          <w:rPr>
            <w:rStyle w:val="Hyperlink"/>
            <w:rFonts w:asciiTheme="majorBidi" w:hAnsiTheme="majorBidi" w:cstheme="majorBidi"/>
          </w:rPr>
          <w:t>https://www.legislation.gov.uk/ukpga/2018/12/contents</w:t>
        </w:r>
      </w:hyperlink>
      <w:r w:rsidR="00E2573B">
        <w:rPr>
          <w:rFonts w:asciiTheme="majorBidi" w:hAnsiTheme="majorBidi" w:cstheme="majorBidi"/>
        </w:rPr>
        <w:t xml:space="preserve"> </w:t>
      </w:r>
      <w:r w:rsidR="00E2573B" w:rsidRPr="00E2573B">
        <w:rPr>
          <w:rFonts w:asciiTheme="majorBidi" w:hAnsiTheme="majorBidi" w:cstheme="majorBidi"/>
        </w:rPr>
        <w:t>(Accessed: 20 Mar 2026).</w:t>
      </w:r>
    </w:p>
    <w:p w:rsidR="00C81C2A" w:rsidRPr="00C81C2A" w:rsidRDefault="00C81C2A" w:rsidP="00E2573B">
      <w:pPr>
        <w:pStyle w:val="NormalWeb"/>
        <w:spacing w:before="0" w:beforeAutospacing="0" w:after="0" w:afterAutospacing="0" w:line="360" w:lineRule="auto"/>
        <w:ind w:left="720" w:hanging="720"/>
      </w:pPr>
      <w:r w:rsidRPr="00C81C2A">
        <w:rPr>
          <w:rFonts w:asciiTheme="majorBidi" w:hAnsiTheme="majorBidi" w:cstheme="majorBidi"/>
        </w:rPr>
        <w:t xml:space="preserve">Valleys Medical Partnership (2023). </w:t>
      </w:r>
      <w:r w:rsidRPr="00C81C2A">
        <w:rPr>
          <w:rFonts w:asciiTheme="majorBidi" w:eastAsiaTheme="majorEastAsia" w:hAnsiTheme="majorBidi" w:cstheme="majorBidi"/>
          <w:i/>
          <w:iCs/>
        </w:rPr>
        <w:t>Data protection and confidentiality policy</w:t>
      </w:r>
      <w:r w:rsidRPr="00C81C2A">
        <w:rPr>
          <w:rFonts w:asciiTheme="majorBidi" w:hAnsiTheme="majorBidi" w:cstheme="majorBidi"/>
        </w:rPr>
        <w:t>.</w:t>
      </w:r>
      <w:r w:rsidR="00E2573B">
        <w:rPr>
          <w:rFonts w:asciiTheme="majorBidi" w:hAnsiTheme="majorBidi" w:cstheme="majorBidi"/>
        </w:rPr>
        <w:t xml:space="preserve"> </w:t>
      </w:r>
      <w:r w:rsidR="00E2573B" w:rsidRPr="00C81C2A">
        <w:rPr>
          <w:rFonts w:asciiTheme="majorBidi" w:hAnsiTheme="majorBidi" w:cstheme="majorBidi"/>
        </w:rPr>
        <w:t xml:space="preserve">Available at: </w:t>
      </w:r>
      <w:hyperlink r:id="rId12" w:history="1">
        <w:r w:rsidR="00E2573B" w:rsidRPr="0099379E">
          <w:rPr>
            <w:rStyle w:val="Hyperlink"/>
            <w:rFonts w:asciiTheme="majorBidi" w:hAnsiTheme="majorBidi" w:cstheme="majorBidi"/>
          </w:rPr>
          <w:t>https://www.thevalleysmedicalpartnership.nhs.uk/contact/data-protection-and-confidentiality-policy/</w:t>
        </w:r>
      </w:hyperlink>
      <w:r w:rsidR="00E2573B">
        <w:rPr>
          <w:rFonts w:asciiTheme="majorBidi" w:hAnsiTheme="majorBidi" w:cstheme="majorBidi"/>
        </w:rPr>
        <w:t xml:space="preserve"> </w:t>
      </w:r>
      <w:r w:rsidR="00E2573B" w:rsidRPr="00E2573B">
        <w:rPr>
          <w:rFonts w:asciiTheme="majorBidi" w:hAnsiTheme="majorBidi" w:cstheme="majorBidi"/>
        </w:rPr>
        <w:t>(Accessed: 20 Mar 2026).</w:t>
      </w:r>
    </w:p>
    <w:p w:rsidR="00F64E5D" w:rsidRPr="00C81C2A" w:rsidRDefault="00F64E5D" w:rsidP="00E2573B">
      <w:pPr>
        <w:spacing w:after="0" w:line="360" w:lineRule="auto"/>
        <w:rPr>
          <w:rFonts w:asciiTheme="majorBidi" w:hAnsiTheme="majorBidi" w:cstheme="majorBidi"/>
        </w:rPr>
      </w:pPr>
    </w:p>
    <w:sectPr w:rsidR="00F64E5D" w:rsidRPr="00C81C2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0C1F3B"/>
    <w:multiLevelType w:val="multilevel"/>
    <w:tmpl w:val="929E5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6370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C2A"/>
    <w:rsid w:val="0018568C"/>
    <w:rsid w:val="00305952"/>
    <w:rsid w:val="0045415B"/>
    <w:rsid w:val="004A38E5"/>
    <w:rsid w:val="006B6BB5"/>
    <w:rsid w:val="008E2B3E"/>
    <w:rsid w:val="009A56B9"/>
    <w:rsid w:val="00A4314B"/>
    <w:rsid w:val="00B80389"/>
    <w:rsid w:val="00C81C2A"/>
    <w:rsid w:val="00CB6B97"/>
    <w:rsid w:val="00CF38E7"/>
    <w:rsid w:val="00D2579B"/>
    <w:rsid w:val="00E2573B"/>
    <w:rsid w:val="00F64E5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6F2FA"/>
  <w15:chartTrackingRefBased/>
  <w15:docId w15:val="{24B220B7-D362-0845-840C-36ADFC5AA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1C2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81C2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81C2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81C2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81C2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81C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1C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1C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1C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1C2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81C2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81C2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81C2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81C2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81C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1C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1C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1C2A"/>
    <w:rPr>
      <w:rFonts w:eastAsiaTheme="majorEastAsia" w:cstheme="majorBidi"/>
      <w:color w:val="272727" w:themeColor="text1" w:themeTint="D8"/>
    </w:rPr>
  </w:style>
  <w:style w:type="paragraph" w:styleId="Title">
    <w:name w:val="Title"/>
    <w:basedOn w:val="Normal"/>
    <w:next w:val="Normal"/>
    <w:link w:val="TitleChar"/>
    <w:uiPriority w:val="10"/>
    <w:qFormat/>
    <w:rsid w:val="00C81C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1C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1C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1C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1C2A"/>
    <w:pPr>
      <w:spacing w:before="160"/>
      <w:jc w:val="center"/>
    </w:pPr>
    <w:rPr>
      <w:i/>
      <w:iCs/>
      <w:color w:val="404040" w:themeColor="text1" w:themeTint="BF"/>
    </w:rPr>
  </w:style>
  <w:style w:type="character" w:customStyle="1" w:styleId="QuoteChar">
    <w:name w:val="Quote Char"/>
    <w:basedOn w:val="DefaultParagraphFont"/>
    <w:link w:val="Quote"/>
    <w:uiPriority w:val="29"/>
    <w:rsid w:val="00C81C2A"/>
    <w:rPr>
      <w:i/>
      <w:iCs/>
      <w:color w:val="404040" w:themeColor="text1" w:themeTint="BF"/>
    </w:rPr>
  </w:style>
  <w:style w:type="paragraph" w:styleId="ListParagraph">
    <w:name w:val="List Paragraph"/>
    <w:basedOn w:val="Normal"/>
    <w:uiPriority w:val="34"/>
    <w:qFormat/>
    <w:rsid w:val="00C81C2A"/>
    <w:pPr>
      <w:ind w:left="720"/>
      <w:contextualSpacing/>
    </w:pPr>
  </w:style>
  <w:style w:type="character" w:styleId="IntenseEmphasis">
    <w:name w:val="Intense Emphasis"/>
    <w:basedOn w:val="DefaultParagraphFont"/>
    <w:uiPriority w:val="21"/>
    <w:qFormat/>
    <w:rsid w:val="00C81C2A"/>
    <w:rPr>
      <w:i/>
      <w:iCs/>
      <w:color w:val="2F5496" w:themeColor="accent1" w:themeShade="BF"/>
    </w:rPr>
  </w:style>
  <w:style w:type="paragraph" w:styleId="IntenseQuote">
    <w:name w:val="Intense Quote"/>
    <w:basedOn w:val="Normal"/>
    <w:next w:val="Normal"/>
    <w:link w:val="IntenseQuoteChar"/>
    <w:uiPriority w:val="30"/>
    <w:qFormat/>
    <w:rsid w:val="00C81C2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81C2A"/>
    <w:rPr>
      <w:i/>
      <w:iCs/>
      <w:color w:val="2F5496" w:themeColor="accent1" w:themeShade="BF"/>
    </w:rPr>
  </w:style>
  <w:style w:type="character" w:styleId="IntenseReference">
    <w:name w:val="Intense Reference"/>
    <w:basedOn w:val="DefaultParagraphFont"/>
    <w:uiPriority w:val="32"/>
    <w:qFormat/>
    <w:rsid w:val="00C81C2A"/>
    <w:rPr>
      <w:b/>
      <w:bCs/>
      <w:smallCaps/>
      <w:color w:val="2F5496" w:themeColor="accent1" w:themeShade="BF"/>
      <w:spacing w:val="5"/>
    </w:rPr>
  </w:style>
  <w:style w:type="character" w:styleId="Hyperlink">
    <w:name w:val="Hyperlink"/>
    <w:basedOn w:val="DefaultParagraphFont"/>
    <w:uiPriority w:val="99"/>
    <w:unhideWhenUsed/>
    <w:rsid w:val="00C81C2A"/>
    <w:rPr>
      <w:color w:val="0563C1" w:themeColor="hyperlink"/>
      <w:u w:val="single"/>
    </w:rPr>
  </w:style>
  <w:style w:type="character" w:styleId="UnresolvedMention">
    <w:name w:val="Unresolved Mention"/>
    <w:basedOn w:val="DefaultParagraphFont"/>
    <w:uiPriority w:val="99"/>
    <w:semiHidden/>
    <w:unhideWhenUsed/>
    <w:rsid w:val="00C81C2A"/>
    <w:rPr>
      <w:color w:val="605E5C"/>
      <w:shd w:val="clear" w:color="auto" w:fill="E1DFDD"/>
    </w:rPr>
  </w:style>
  <w:style w:type="paragraph" w:styleId="NormalWeb">
    <w:name w:val="Normal (Web)"/>
    <w:basedOn w:val="Normal"/>
    <w:uiPriority w:val="99"/>
    <w:unhideWhenUsed/>
    <w:rsid w:val="00E2573B"/>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url">
    <w:name w:val="url"/>
    <w:basedOn w:val="DefaultParagraphFont"/>
    <w:rsid w:val="00E257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care.wales/social-care-delivery-plan-2023-to-2026"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publications/working-together-to-improve-health-and-social-care-for-all/integration-and-innovation-working-together-to-improve-health-and-social-care-for-all-html-version" TargetMode="External"/><Relationship Id="rId12" Type="http://schemas.openxmlformats.org/officeDocument/2006/relationships/hyperlink" Target="https://www.thevalleysmedicalpartnership.nhs.uk/contact/data-protection-and-confidentiality-polic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ngland.nhs.uk" TargetMode="External"/><Relationship Id="rId11" Type="http://schemas.openxmlformats.org/officeDocument/2006/relationships/hyperlink" Target="https://www.legislation.gov.uk/ukpga/2018/12/contents" TargetMode="External"/><Relationship Id="rId5" Type="http://schemas.openxmlformats.org/officeDocument/2006/relationships/hyperlink" Target="https://doi.org/10.5603/rpor.a2021.0138" TargetMode="External"/><Relationship Id="rId10" Type="http://schemas.openxmlformats.org/officeDocument/2006/relationships/hyperlink" Target="https://www.gov.uk/guidance/equality-act-2010-guidance" TargetMode="External"/><Relationship Id="rId4" Type="http://schemas.openxmlformats.org/officeDocument/2006/relationships/webSettings" Target="webSettings.xml"/><Relationship Id="rId9" Type="http://schemas.openxmlformats.org/officeDocument/2006/relationships/hyperlink" Target="https://www.tewv.nhs.uk/wp-content/uploads/2021/10/Communicating-with-Service-Users-Best-Practice.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6</Pages>
  <Words>1693</Words>
  <Characters>11126</Characters>
  <Application>Microsoft Office Word</Application>
  <DocSecurity>0</DocSecurity>
  <Lines>171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author_12345@outlook.com</dc:creator>
  <cp:keywords/>
  <dc:description/>
  <cp:lastModifiedBy>author_12345@outlook.com</cp:lastModifiedBy>
  <cp:revision>1</cp:revision>
  <dcterms:created xsi:type="dcterms:W3CDTF">2026-03-20T14:25:00Z</dcterms:created>
  <dcterms:modified xsi:type="dcterms:W3CDTF">2026-03-20T15:04:00Z</dcterms:modified>
</cp:coreProperties>
</file>