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61222" w14:textId="3064FC63" w:rsidR="00270555" w:rsidRDefault="00270555" w:rsidP="00E77838">
      <w:pPr>
        <w:spacing w:line="360" w:lineRule="auto"/>
        <w:rPr>
          <w:lang w:val="en-GB"/>
        </w:rPr>
      </w:pPr>
    </w:p>
    <w:p w14:paraId="2D333F1A" w14:textId="220899D2" w:rsidR="00270555" w:rsidRDefault="00270555" w:rsidP="00E77838">
      <w:pPr>
        <w:spacing w:line="360" w:lineRule="auto"/>
        <w:rPr>
          <w:lang w:val="en-GB"/>
        </w:rPr>
      </w:pPr>
    </w:p>
    <w:p w14:paraId="3F01CACE" w14:textId="42CE1F8C" w:rsidR="00270555" w:rsidRDefault="00270555" w:rsidP="00E77838">
      <w:pPr>
        <w:spacing w:line="360" w:lineRule="auto"/>
        <w:rPr>
          <w:lang w:val="en-GB"/>
        </w:rPr>
      </w:pPr>
    </w:p>
    <w:p w14:paraId="789D081C" w14:textId="3B4D1A99" w:rsidR="00270555" w:rsidRDefault="00270555" w:rsidP="00E77838">
      <w:pPr>
        <w:spacing w:line="360" w:lineRule="auto"/>
        <w:rPr>
          <w:lang w:val="en-GB"/>
        </w:rPr>
      </w:pPr>
    </w:p>
    <w:p w14:paraId="18024650" w14:textId="77777777" w:rsidR="00270555" w:rsidRDefault="00270555" w:rsidP="00E77838">
      <w:pPr>
        <w:spacing w:line="360" w:lineRule="auto"/>
        <w:rPr>
          <w:lang w:val="en-GB"/>
        </w:rPr>
      </w:pPr>
    </w:p>
    <w:p w14:paraId="14DB4008" w14:textId="61EACDE2" w:rsidR="00ED7286" w:rsidRPr="00270555" w:rsidRDefault="00ED7286" w:rsidP="00E77838">
      <w:pPr>
        <w:pStyle w:val="Title"/>
        <w:spacing w:line="360" w:lineRule="auto"/>
        <w:jc w:val="center"/>
        <w:rPr>
          <w:rFonts w:ascii="Arial" w:hAnsi="Arial" w:cs="Arial"/>
          <w:sz w:val="36"/>
          <w:lang w:val="en-GB"/>
        </w:rPr>
      </w:pPr>
      <w:r w:rsidRPr="00270555">
        <w:rPr>
          <w:rFonts w:ascii="Arial" w:hAnsi="Arial" w:cs="Arial"/>
          <w:sz w:val="36"/>
          <w:lang w:val="en-GB"/>
        </w:rPr>
        <w:t>Generali</w:t>
      </w:r>
      <w:r w:rsidR="00CF403B">
        <w:rPr>
          <w:rFonts w:ascii="Arial" w:hAnsi="Arial" w:cs="Arial"/>
          <w:sz w:val="36"/>
          <w:lang w:val="en-GB"/>
        </w:rPr>
        <w:t>s</w:t>
      </w:r>
      <w:r w:rsidRPr="00270555">
        <w:rPr>
          <w:rFonts w:ascii="Arial" w:hAnsi="Arial" w:cs="Arial"/>
          <w:sz w:val="36"/>
          <w:lang w:val="en-GB"/>
        </w:rPr>
        <w:t>ed Anxiety Disorder (GAD; ICD-11: 6B00) — Critical examination</w:t>
      </w:r>
    </w:p>
    <w:p w14:paraId="73A1FE65" w14:textId="77777777" w:rsidR="00ED7286" w:rsidRDefault="00ED7286" w:rsidP="00E77838">
      <w:pPr>
        <w:spacing w:line="360" w:lineRule="auto"/>
        <w:jc w:val="center"/>
        <w:rPr>
          <w:sz w:val="28"/>
          <w:szCs w:val="28"/>
          <w:lang w:val="en-GB"/>
        </w:rPr>
      </w:pPr>
    </w:p>
    <w:p w14:paraId="3D55C5AD" w14:textId="77777777" w:rsidR="00AE627D" w:rsidRDefault="00ED7286" w:rsidP="00AE627D">
      <w:pPr>
        <w:spacing w:line="360" w:lineRule="auto"/>
        <w:jc w:val="center"/>
        <w:rPr>
          <w:b/>
          <w:bCs/>
          <w:lang w:val="en-GB"/>
        </w:rPr>
      </w:pPr>
      <w:r w:rsidRPr="00ED7286">
        <w:rPr>
          <w:b/>
          <w:bCs/>
          <w:lang w:val="en-GB"/>
        </w:rPr>
        <w:t>Student’s name:</w:t>
      </w:r>
      <w:r w:rsidR="00491A81">
        <w:rPr>
          <w:b/>
          <w:bCs/>
          <w:lang w:val="en-GB"/>
        </w:rPr>
        <w:t xml:space="preserve"> Manpreet Kaur</w:t>
      </w:r>
    </w:p>
    <w:p w14:paraId="5827F712" w14:textId="4D8F2926" w:rsidR="00AE627D" w:rsidRPr="00ED7286" w:rsidRDefault="00AE627D" w:rsidP="00AE627D">
      <w:pPr>
        <w:spacing w:line="360" w:lineRule="auto"/>
        <w:rPr>
          <w:b/>
          <w:bCs/>
          <w:lang w:val="en-GB"/>
        </w:rPr>
      </w:pPr>
      <w:r>
        <w:rPr>
          <w:b/>
          <w:bCs/>
          <w:lang w:val="en-GB"/>
        </w:rPr>
        <w:t xml:space="preserve">                                               Student ID: 2246813</w:t>
      </w:r>
    </w:p>
    <w:p w14:paraId="59E1293B" w14:textId="7620554F" w:rsidR="00ED7286" w:rsidRPr="00ED7286" w:rsidRDefault="00ED7286" w:rsidP="00E77838">
      <w:pPr>
        <w:spacing w:line="360" w:lineRule="auto"/>
        <w:jc w:val="center"/>
        <w:rPr>
          <w:b/>
          <w:bCs/>
          <w:lang w:val="en-GB"/>
        </w:rPr>
      </w:pPr>
      <w:r w:rsidRPr="00ED7286">
        <w:rPr>
          <w:b/>
          <w:bCs/>
          <w:lang w:val="en-GB"/>
        </w:rPr>
        <w:t xml:space="preserve">Module </w:t>
      </w:r>
      <w:proofErr w:type="gramStart"/>
      <w:r w:rsidRPr="00ED7286">
        <w:rPr>
          <w:b/>
          <w:bCs/>
          <w:lang w:val="en-GB"/>
        </w:rPr>
        <w:t>Code:</w:t>
      </w:r>
      <w:r w:rsidR="00491A81">
        <w:rPr>
          <w:b/>
          <w:bCs/>
          <w:lang w:val="en-GB"/>
        </w:rPr>
        <w:t>BMHP</w:t>
      </w:r>
      <w:proofErr w:type="gramEnd"/>
      <w:r w:rsidR="00491A81">
        <w:rPr>
          <w:b/>
          <w:bCs/>
          <w:lang w:val="en-GB"/>
        </w:rPr>
        <w:t>6029</w:t>
      </w:r>
      <w:r w:rsidR="00AE627D">
        <w:rPr>
          <w:b/>
          <w:bCs/>
          <w:lang w:val="en-GB"/>
        </w:rPr>
        <w:t>-BIRM</w:t>
      </w:r>
    </w:p>
    <w:p w14:paraId="1E41DBBC" w14:textId="0B7E9E90" w:rsidR="00ED7286" w:rsidRDefault="00AE627D" w:rsidP="00AE627D">
      <w:pPr>
        <w:spacing w:line="360" w:lineRule="auto"/>
        <w:rPr>
          <w:b/>
          <w:bCs/>
          <w:lang w:val="en-GB"/>
        </w:rPr>
      </w:pPr>
      <w:r>
        <w:rPr>
          <w:b/>
          <w:bCs/>
          <w:lang w:val="en-GB"/>
        </w:rPr>
        <w:t xml:space="preserve">                                                Lecturer Name: Kennedy </w:t>
      </w:r>
      <w:proofErr w:type="spellStart"/>
      <w:r>
        <w:rPr>
          <w:b/>
          <w:bCs/>
          <w:lang w:val="en-GB"/>
        </w:rPr>
        <w:t>Obohwemu</w:t>
      </w:r>
      <w:proofErr w:type="spellEnd"/>
    </w:p>
    <w:p w14:paraId="13959F7B" w14:textId="51B2EAB8" w:rsidR="00AE627D" w:rsidRPr="00ED7286" w:rsidRDefault="00AE627D" w:rsidP="00AE627D">
      <w:pPr>
        <w:spacing w:line="360" w:lineRule="auto"/>
        <w:rPr>
          <w:b/>
          <w:bCs/>
          <w:sz w:val="18"/>
          <w:szCs w:val="18"/>
          <w:lang w:val="en-GB"/>
        </w:rPr>
      </w:pPr>
      <w:r>
        <w:rPr>
          <w:b/>
          <w:bCs/>
          <w:lang w:val="en-GB"/>
        </w:rPr>
        <w:t xml:space="preserve">                                               University Name: UWTSD</w:t>
      </w:r>
    </w:p>
    <w:p w14:paraId="69892D84" w14:textId="4EA40AC0" w:rsidR="00E618E0" w:rsidRDefault="00E618E0" w:rsidP="00E77838">
      <w:pPr>
        <w:spacing w:after="0" w:line="360" w:lineRule="auto"/>
        <w:rPr>
          <w:lang w:val="en-GB"/>
        </w:rPr>
      </w:pPr>
      <w:r>
        <w:rPr>
          <w:lang w:val="en-GB"/>
        </w:rPr>
        <w:br w:type="page"/>
      </w:r>
    </w:p>
    <w:sdt>
      <w:sdtPr>
        <w:rPr>
          <w:rFonts w:ascii="Arial" w:eastAsiaTheme="minorHAnsi" w:hAnsi="Arial" w:cstheme="minorBidi"/>
          <w:color w:val="auto"/>
          <w:sz w:val="22"/>
          <w:szCs w:val="22"/>
        </w:rPr>
        <w:id w:val="-1374530524"/>
        <w:docPartObj>
          <w:docPartGallery w:val="Table of Contents"/>
          <w:docPartUnique/>
        </w:docPartObj>
      </w:sdtPr>
      <w:sdtEndPr>
        <w:rPr>
          <w:b/>
          <w:bCs/>
          <w:noProof/>
        </w:rPr>
      </w:sdtEndPr>
      <w:sdtContent>
        <w:p w14:paraId="42DBD001" w14:textId="083E03B7" w:rsidR="00E618E0" w:rsidRPr="00270555" w:rsidRDefault="00E618E0" w:rsidP="00E77838">
          <w:pPr>
            <w:pStyle w:val="TOCHeading"/>
            <w:spacing w:line="360" w:lineRule="auto"/>
            <w:jc w:val="center"/>
            <w:rPr>
              <w:rFonts w:ascii="Arial" w:hAnsi="Arial" w:cs="Arial"/>
              <w:b/>
              <w:bCs/>
              <w:color w:val="auto"/>
              <w:szCs w:val="22"/>
            </w:rPr>
          </w:pPr>
          <w:r w:rsidRPr="00270555">
            <w:rPr>
              <w:rFonts w:ascii="Arial" w:hAnsi="Arial" w:cs="Arial"/>
              <w:b/>
              <w:bCs/>
              <w:color w:val="auto"/>
              <w:szCs w:val="22"/>
            </w:rPr>
            <w:t>Contents</w:t>
          </w:r>
        </w:p>
        <w:p w14:paraId="5D60B873" w14:textId="1A7C51A7" w:rsidR="00C71523" w:rsidRDefault="00E618E0" w:rsidP="00E77838">
          <w:pPr>
            <w:pStyle w:val="TOC1"/>
            <w:tabs>
              <w:tab w:val="left" w:pos="480"/>
              <w:tab w:val="right" w:leader="dot" w:pos="9016"/>
            </w:tabs>
            <w:spacing w:line="360" w:lineRule="auto"/>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11262980" w:history="1">
            <w:r w:rsidR="00C71523" w:rsidRPr="00E563B4">
              <w:rPr>
                <w:rStyle w:val="Hyperlink"/>
                <w:noProof/>
                <w:lang w:val="en-GB"/>
              </w:rPr>
              <w:t>1</w:t>
            </w:r>
            <w:r w:rsidR="00C71523">
              <w:rPr>
                <w:rFonts w:asciiTheme="minorHAnsi" w:eastAsiaTheme="minorEastAsia" w:hAnsiTheme="minorHAnsi"/>
                <w:noProof/>
                <w:kern w:val="2"/>
                <w:sz w:val="24"/>
                <w:szCs w:val="24"/>
                <w:lang w:val="en-GB" w:eastAsia="en-GB"/>
                <w14:ligatures w14:val="standardContextual"/>
              </w:rPr>
              <w:tab/>
            </w:r>
            <w:r w:rsidR="00C71523" w:rsidRPr="00E563B4">
              <w:rPr>
                <w:rStyle w:val="Hyperlink"/>
                <w:noProof/>
                <w:lang w:val="en-GB"/>
              </w:rPr>
              <w:t>Introduction</w:t>
            </w:r>
            <w:r w:rsidR="00C71523">
              <w:rPr>
                <w:noProof/>
                <w:webHidden/>
              </w:rPr>
              <w:tab/>
            </w:r>
            <w:r w:rsidR="00C71523">
              <w:rPr>
                <w:noProof/>
                <w:webHidden/>
              </w:rPr>
              <w:fldChar w:fldCharType="begin"/>
            </w:r>
            <w:r w:rsidR="00C71523">
              <w:rPr>
                <w:noProof/>
                <w:webHidden/>
              </w:rPr>
              <w:instrText xml:space="preserve"> PAGEREF _Toc211262980 \h </w:instrText>
            </w:r>
            <w:r w:rsidR="00C71523">
              <w:rPr>
                <w:noProof/>
                <w:webHidden/>
              </w:rPr>
            </w:r>
            <w:r w:rsidR="00C71523">
              <w:rPr>
                <w:noProof/>
                <w:webHidden/>
              </w:rPr>
              <w:fldChar w:fldCharType="separate"/>
            </w:r>
            <w:r w:rsidR="00C71523">
              <w:rPr>
                <w:noProof/>
                <w:webHidden/>
              </w:rPr>
              <w:t>3</w:t>
            </w:r>
            <w:r w:rsidR="00C71523">
              <w:rPr>
                <w:noProof/>
                <w:webHidden/>
              </w:rPr>
              <w:fldChar w:fldCharType="end"/>
            </w:r>
          </w:hyperlink>
        </w:p>
        <w:p w14:paraId="6290F4CF" w14:textId="168EA84D" w:rsidR="00C71523" w:rsidRDefault="00AE627D" w:rsidP="00E77838">
          <w:pPr>
            <w:pStyle w:val="TOC1"/>
            <w:tabs>
              <w:tab w:val="left" w:pos="480"/>
              <w:tab w:val="right" w:leader="dot" w:pos="9016"/>
            </w:tabs>
            <w:spacing w:line="360" w:lineRule="auto"/>
            <w:rPr>
              <w:rFonts w:asciiTheme="minorHAnsi" w:eastAsiaTheme="minorEastAsia" w:hAnsiTheme="minorHAnsi"/>
              <w:noProof/>
              <w:kern w:val="2"/>
              <w:sz w:val="24"/>
              <w:szCs w:val="24"/>
              <w:lang w:val="en-GB" w:eastAsia="en-GB"/>
              <w14:ligatures w14:val="standardContextual"/>
            </w:rPr>
          </w:pPr>
          <w:hyperlink w:anchor="_Toc211262981" w:history="1">
            <w:r w:rsidR="00C71523" w:rsidRPr="00E563B4">
              <w:rPr>
                <w:rStyle w:val="Hyperlink"/>
                <w:noProof/>
                <w:lang w:val="en-GB"/>
              </w:rPr>
              <w:t>2</w:t>
            </w:r>
            <w:r w:rsidR="00C71523">
              <w:rPr>
                <w:rFonts w:asciiTheme="minorHAnsi" w:eastAsiaTheme="minorEastAsia" w:hAnsiTheme="minorHAnsi"/>
                <w:noProof/>
                <w:kern w:val="2"/>
                <w:sz w:val="24"/>
                <w:szCs w:val="24"/>
                <w:lang w:val="en-GB" w:eastAsia="en-GB"/>
                <w14:ligatures w14:val="standardContextual"/>
              </w:rPr>
              <w:tab/>
            </w:r>
            <w:r w:rsidR="00C71523" w:rsidRPr="00E563B4">
              <w:rPr>
                <w:rStyle w:val="Hyperlink"/>
                <w:noProof/>
                <w:lang w:val="en-GB"/>
              </w:rPr>
              <w:t>Classification and diagnosis in ICD-11</w:t>
            </w:r>
            <w:r w:rsidR="00C71523">
              <w:rPr>
                <w:noProof/>
                <w:webHidden/>
              </w:rPr>
              <w:tab/>
            </w:r>
            <w:r w:rsidR="00C71523">
              <w:rPr>
                <w:noProof/>
                <w:webHidden/>
              </w:rPr>
              <w:fldChar w:fldCharType="begin"/>
            </w:r>
            <w:r w:rsidR="00C71523">
              <w:rPr>
                <w:noProof/>
                <w:webHidden/>
              </w:rPr>
              <w:instrText xml:space="preserve"> PAGEREF _Toc211262981 \h </w:instrText>
            </w:r>
            <w:r w:rsidR="00C71523">
              <w:rPr>
                <w:noProof/>
                <w:webHidden/>
              </w:rPr>
            </w:r>
            <w:r w:rsidR="00C71523">
              <w:rPr>
                <w:noProof/>
                <w:webHidden/>
              </w:rPr>
              <w:fldChar w:fldCharType="separate"/>
            </w:r>
            <w:r w:rsidR="00C71523">
              <w:rPr>
                <w:noProof/>
                <w:webHidden/>
              </w:rPr>
              <w:t>3</w:t>
            </w:r>
            <w:r w:rsidR="00C71523">
              <w:rPr>
                <w:noProof/>
                <w:webHidden/>
              </w:rPr>
              <w:fldChar w:fldCharType="end"/>
            </w:r>
          </w:hyperlink>
        </w:p>
        <w:p w14:paraId="6E0C8BA7" w14:textId="6F3FF933" w:rsidR="00C71523" w:rsidRDefault="00AE627D" w:rsidP="00E77838">
          <w:pPr>
            <w:pStyle w:val="TOC1"/>
            <w:tabs>
              <w:tab w:val="left" w:pos="480"/>
              <w:tab w:val="right" w:leader="dot" w:pos="9016"/>
            </w:tabs>
            <w:spacing w:line="360" w:lineRule="auto"/>
            <w:rPr>
              <w:rFonts w:asciiTheme="minorHAnsi" w:eastAsiaTheme="minorEastAsia" w:hAnsiTheme="minorHAnsi"/>
              <w:noProof/>
              <w:kern w:val="2"/>
              <w:sz w:val="24"/>
              <w:szCs w:val="24"/>
              <w:lang w:val="en-GB" w:eastAsia="en-GB"/>
              <w14:ligatures w14:val="standardContextual"/>
            </w:rPr>
          </w:pPr>
          <w:hyperlink w:anchor="_Toc211262982" w:history="1">
            <w:r w:rsidR="00C71523" w:rsidRPr="00E563B4">
              <w:rPr>
                <w:rStyle w:val="Hyperlink"/>
                <w:noProof/>
                <w:lang w:val="en-GB"/>
              </w:rPr>
              <w:t>3</w:t>
            </w:r>
            <w:r w:rsidR="00C71523">
              <w:rPr>
                <w:rFonts w:asciiTheme="minorHAnsi" w:eastAsiaTheme="minorEastAsia" w:hAnsiTheme="minorHAnsi"/>
                <w:noProof/>
                <w:kern w:val="2"/>
                <w:sz w:val="24"/>
                <w:szCs w:val="24"/>
                <w:lang w:val="en-GB" w:eastAsia="en-GB"/>
                <w14:ligatures w14:val="standardContextual"/>
              </w:rPr>
              <w:tab/>
            </w:r>
            <w:r w:rsidR="00C71523" w:rsidRPr="00E563B4">
              <w:rPr>
                <w:rStyle w:val="Hyperlink"/>
                <w:noProof/>
                <w:lang w:val="en-GB"/>
              </w:rPr>
              <w:t>Treatment and rehabilitation</w:t>
            </w:r>
            <w:r w:rsidR="00C71523">
              <w:rPr>
                <w:noProof/>
                <w:webHidden/>
              </w:rPr>
              <w:tab/>
            </w:r>
            <w:r w:rsidR="00C71523">
              <w:rPr>
                <w:noProof/>
                <w:webHidden/>
              </w:rPr>
              <w:fldChar w:fldCharType="begin"/>
            </w:r>
            <w:r w:rsidR="00C71523">
              <w:rPr>
                <w:noProof/>
                <w:webHidden/>
              </w:rPr>
              <w:instrText xml:space="preserve"> PAGEREF _Toc211262982 \h </w:instrText>
            </w:r>
            <w:r w:rsidR="00C71523">
              <w:rPr>
                <w:noProof/>
                <w:webHidden/>
              </w:rPr>
            </w:r>
            <w:r w:rsidR="00C71523">
              <w:rPr>
                <w:noProof/>
                <w:webHidden/>
              </w:rPr>
              <w:fldChar w:fldCharType="separate"/>
            </w:r>
            <w:r w:rsidR="00C71523">
              <w:rPr>
                <w:noProof/>
                <w:webHidden/>
              </w:rPr>
              <w:t>4</w:t>
            </w:r>
            <w:r w:rsidR="00C71523">
              <w:rPr>
                <w:noProof/>
                <w:webHidden/>
              </w:rPr>
              <w:fldChar w:fldCharType="end"/>
            </w:r>
          </w:hyperlink>
        </w:p>
        <w:p w14:paraId="7256796E" w14:textId="5D60690F" w:rsidR="00C71523" w:rsidRDefault="00AE627D" w:rsidP="00E77838">
          <w:pPr>
            <w:pStyle w:val="TOC1"/>
            <w:tabs>
              <w:tab w:val="left" w:pos="480"/>
              <w:tab w:val="right" w:leader="dot" w:pos="9016"/>
            </w:tabs>
            <w:spacing w:line="360" w:lineRule="auto"/>
            <w:rPr>
              <w:rFonts w:asciiTheme="minorHAnsi" w:eastAsiaTheme="minorEastAsia" w:hAnsiTheme="minorHAnsi"/>
              <w:noProof/>
              <w:kern w:val="2"/>
              <w:sz w:val="24"/>
              <w:szCs w:val="24"/>
              <w:lang w:val="en-GB" w:eastAsia="en-GB"/>
              <w14:ligatures w14:val="standardContextual"/>
            </w:rPr>
          </w:pPr>
          <w:hyperlink w:anchor="_Toc211262983" w:history="1">
            <w:r w:rsidR="00C71523" w:rsidRPr="00E563B4">
              <w:rPr>
                <w:rStyle w:val="Hyperlink"/>
                <w:noProof/>
                <w:lang w:val="en-GB"/>
              </w:rPr>
              <w:t>4</w:t>
            </w:r>
            <w:r w:rsidR="00C71523">
              <w:rPr>
                <w:rFonts w:asciiTheme="minorHAnsi" w:eastAsiaTheme="minorEastAsia" w:hAnsiTheme="minorHAnsi"/>
                <w:noProof/>
                <w:kern w:val="2"/>
                <w:sz w:val="24"/>
                <w:szCs w:val="24"/>
                <w:lang w:val="en-GB" w:eastAsia="en-GB"/>
                <w14:ligatures w14:val="standardContextual"/>
              </w:rPr>
              <w:tab/>
            </w:r>
            <w:r w:rsidR="00C71523" w:rsidRPr="00E563B4">
              <w:rPr>
                <w:rStyle w:val="Hyperlink"/>
                <w:noProof/>
                <w:lang w:val="en-GB"/>
              </w:rPr>
              <w:t>Current debates and emerging issues</w:t>
            </w:r>
            <w:r w:rsidR="00C71523">
              <w:rPr>
                <w:noProof/>
                <w:webHidden/>
              </w:rPr>
              <w:tab/>
            </w:r>
            <w:r w:rsidR="00C71523">
              <w:rPr>
                <w:noProof/>
                <w:webHidden/>
              </w:rPr>
              <w:fldChar w:fldCharType="begin"/>
            </w:r>
            <w:r w:rsidR="00C71523">
              <w:rPr>
                <w:noProof/>
                <w:webHidden/>
              </w:rPr>
              <w:instrText xml:space="preserve"> PAGEREF _Toc211262983 \h </w:instrText>
            </w:r>
            <w:r w:rsidR="00C71523">
              <w:rPr>
                <w:noProof/>
                <w:webHidden/>
              </w:rPr>
            </w:r>
            <w:r w:rsidR="00C71523">
              <w:rPr>
                <w:noProof/>
                <w:webHidden/>
              </w:rPr>
              <w:fldChar w:fldCharType="separate"/>
            </w:r>
            <w:r w:rsidR="00C71523">
              <w:rPr>
                <w:noProof/>
                <w:webHidden/>
              </w:rPr>
              <w:t>5</w:t>
            </w:r>
            <w:r w:rsidR="00C71523">
              <w:rPr>
                <w:noProof/>
                <w:webHidden/>
              </w:rPr>
              <w:fldChar w:fldCharType="end"/>
            </w:r>
          </w:hyperlink>
        </w:p>
        <w:p w14:paraId="7A7D6339" w14:textId="037003D3" w:rsidR="00C71523" w:rsidRDefault="00AE627D" w:rsidP="00E77838">
          <w:pPr>
            <w:pStyle w:val="TOC1"/>
            <w:tabs>
              <w:tab w:val="left" w:pos="480"/>
              <w:tab w:val="right" w:leader="dot" w:pos="9016"/>
            </w:tabs>
            <w:spacing w:line="360" w:lineRule="auto"/>
            <w:rPr>
              <w:rFonts w:asciiTheme="minorHAnsi" w:eastAsiaTheme="minorEastAsia" w:hAnsiTheme="minorHAnsi"/>
              <w:noProof/>
              <w:kern w:val="2"/>
              <w:sz w:val="24"/>
              <w:szCs w:val="24"/>
              <w:lang w:val="en-GB" w:eastAsia="en-GB"/>
              <w14:ligatures w14:val="standardContextual"/>
            </w:rPr>
          </w:pPr>
          <w:hyperlink w:anchor="_Toc211262984" w:history="1">
            <w:r w:rsidR="00C71523" w:rsidRPr="00E563B4">
              <w:rPr>
                <w:rStyle w:val="Hyperlink"/>
                <w:noProof/>
                <w:lang w:val="en-GB"/>
              </w:rPr>
              <w:t>5</w:t>
            </w:r>
            <w:r w:rsidR="00C71523">
              <w:rPr>
                <w:rFonts w:asciiTheme="minorHAnsi" w:eastAsiaTheme="minorEastAsia" w:hAnsiTheme="minorHAnsi"/>
                <w:noProof/>
                <w:kern w:val="2"/>
                <w:sz w:val="24"/>
                <w:szCs w:val="24"/>
                <w:lang w:val="en-GB" w:eastAsia="en-GB"/>
                <w14:ligatures w14:val="standardContextual"/>
              </w:rPr>
              <w:tab/>
            </w:r>
            <w:r w:rsidR="00C71523" w:rsidRPr="00E563B4">
              <w:rPr>
                <w:rStyle w:val="Hyperlink"/>
                <w:noProof/>
                <w:lang w:val="en-GB"/>
              </w:rPr>
              <w:t>Weaknesses of existing practice and research gaps</w:t>
            </w:r>
            <w:r w:rsidR="00C71523">
              <w:rPr>
                <w:noProof/>
                <w:webHidden/>
              </w:rPr>
              <w:tab/>
            </w:r>
            <w:r w:rsidR="00C71523">
              <w:rPr>
                <w:noProof/>
                <w:webHidden/>
              </w:rPr>
              <w:fldChar w:fldCharType="begin"/>
            </w:r>
            <w:r w:rsidR="00C71523">
              <w:rPr>
                <w:noProof/>
                <w:webHidden/>
              </w:rPr>
              <w:instrText xml:space="preserve"> PAGEREF _Toc211262984 \h </w:instrText>
            </w:r>
            <w:r w:rsidR="00C71523">
              <w:rPr>
                <w:noProof/>
                <w:webHidden/>
              </w:rPr>
            </w:r>
            <w:r w:rsidR="00C71523">
              <w:rPr>
                <w:noProof/>
                <w:webHidden/>
              </w:rPr>
              <w:fldChar w:fldCharType="separate"/>
            </w:r>
            <w:r w:rsidR="00C71523">
              <w:rPr>
                <w:noProof/>
                <w:webHidden/>
              </w:rPr>
              <w:t>6</w:t>
            </w:r>
            <w:r w:rsidR="00C71523">
              <w:rPr>
                <w:noProof/>
                <w:webHidden/>
              </w:rPr>
              <w:fldChar w:fldCharType="end"/>
            </w:r>
          </w:hyperlink>
        </w:p>
        <w:p w14:paraId="3754820F" w14:textId="30EB43E0" w:rsidR="00C71523" w:rsidRDefault="00AE627D" w:rsidP="00E77838">
          <w:pPr>
            <w:pStyle w:val="TOC1"/>
            <w:tabs>
              <w:tab w:val="left" w:pos="480"/>
              <w:tab w:val="right" w:leader="dot" w:pos="9016"/>
            </w:tabs>
            <w:spacing w:line="360" w:lineRule="auto"/>
            <w:rPr>
              <w:rFonts w:asciiTheme="minorHAnsi" w:eastAsiaTheme="minorEastAsia" w:hAnsiTheme="minorHAnsi"/>
              <w:noProof/>
              <w:kern w:val="2"/>
              <w:sz w:val="24"/>
              <w:szCs w:val="24"/>
              <w:lang w:val="en-GB" w:eastAsia="en-GB"/>
              <w14:ligatures w14:val="standardContextual"/>
            </w:rPr>
          </w:pPr>
          <w:hyperlink w:anchor="_Toc211262985" w:history="1">
            <w:r w:rsidR="00C71523" w:rsidRPr="00E563B4">
              <w:rPr>
                <w:rStyle w:val="Hyperlink"/>
                <w:noProof/>
                <w:lang w:val="en-GB"/>
              </w:rPr>
              <w:t>6</w:t>
            </w:r>
            <w:r w:rsidR="00C71523">
              <w:rPr>
                <w:rFonts w:asciiTheme="minorHAnsi" w:eastAsiaTheme="minorEastAsia" w:hAnsiTheme="minorHAnsi"/>
                <w:noProof/>
                <w:kern w:val="2"/>
                <w:sz w:val="24"/>
                <w:szCs w:val="24"/>
                <w:lang w:val="en-GB" w:eastAsia="en-GB"/>
                <w14:ligatures w14:val="standardContextual"/>
              </w:rPr>
              <w:tab/>
            </w:r>
            <w:r w:rsidR="00C71523" w:rsidRPr="00E563B4">
              <w:rPr>
                <w:rStyle w:val="Hyperlink"/>
                <w:noProof/>
                <w:lang w:val="en-GB"/>
              </w:rPr>
              <w:t>Recommendations</w:t>
            </w:r>
            <w:r w:rsidR="00C71523">
              <w:rPr>
                <w:noProof/>
                <w:webHidden/>
              </w:rPr>
              <w:tab/>
            </w:r>
            <w:r w:rsidR="00C71523">
              <w:rPr>
                <w:noProof/>
                <w:webHidden/>
              </w:rPr>
              <w:fldChar w:fldCharType="begin"/>
            </w:r>
            <w:r w:rsidR="00C71523">
              <w:rPr>
                <w:noProof/>
                <w:webHidden/>
              </w:rPr>
              <w:instrText xml:space="preserve"> PAGEREF _Toc211262985 \h </w:instrText>
            </w:r>
            <w:r w:rsidR="00C71523">
              <w:rPr>
                <w:noProof/>
                <w:webHidden/>
              </w:rPr>
            </w:r>
            <w:r w:rsidR="00C71523">
              <w:rPr>
                <w:noProof/>
                <w:webHidden/>
              </w:rPr>
              <w:fldChar w:fldCharType="separate"/>
            </w:r>
            <w:r w:rsidR="00C71523">
              <w:rPr>
                <w:noProof/>
                <w:webHidden/>
              </w:rPr>
              <w:t>6</w:t>
            </w:r>
            <w:r w:rsidR="00C71523">
              <w:rPr>
                <w:noProof/>
                <w:webHidden/>
              </w:rPr>
              <w:fldChar w:fldCharType="end"/>
            </w:r>
          </w:hyperlink>
        </w:p>
        <w:p w14:paraId="400E5922" w14:textId="7519889D" w:rsidR="00C71523" w:rsidRDefault="00AE627D" w:rsidP="00E77838">
          <w:pPr>
            <w:pStyle w:val="TOC1"/>
            <w:tabs>
              <w:tab w:val="left" w:pos="480"/>
              <w:tab w:val="right" w:leader="dot" w:pos="9016"/>
            </w:tabs>
            <w:spacing w:line="360" w:lineRule="auto"/>
            <w:rPr>
              <w:rFonts w:asciiTheme="minorHAnsi" w:eastAsiaTheme="minorEastAsia" w:hAnsiTheme="minorHAnsi"/>
              <w:noProof/>
              <w:kern w:val="2"/>
              <w:sz w:val="24"/>
              <w:szCs w:val="24"/>
              <w:lang w:val="en-GB" w:eastAsia="en-GB"/>
              <w14:ligatures w14:val="standardContextual"/>
            </w:rPr>
          </w:pPr>
          <w:hyperlink w:anchor="_Toc211262986" w:history="1">
            <w:r w:rsidR="00C71523" w:rsidRPr="00E563B4">
              <w:rPr>
                <w:rStyle w:val="Hyperlink"/>
                <w:noProof/>
                <w:lang w:val="en-GB"/>
              </w:rPr>
              <w:t>7</w:t>
            </w:r>
            <w:r w:rsidR="00C71523">
              <w:rPr>
                <w:rFonts w:asciiTheme="minorHAnsi" w:eastAsiaTheme="minorEastAsia" w:hAnsiTheme="minorHAnsi"/>
                <w:noProof/>
                <w:kern w:val="2"/>
                <w:sz w:val="24"/>
                <w:szCs w:val="24"/>
                <w:lang w:val="en-GB" w:eastAsia="en-GB"/>
                <w14:ligatures w14:val="standardContextual"/>
              </w:rPr>
              <w:tab/>
            </w:r>
            <w:r w:rsidR="00C71523" w:rsidRPr="00E563B4">
              <w:rPr>
                <w:rStyle w:val="Hyperlink"/>
                <w:noProof/>
                <w:lang w:val="en-GB"/>
              </w:rPr>
              <w:t>Conclusion</w:t>
            </w:r>
            <w:r w:rsidR="00C71523">
              <w:rPr>
                <w:noProof/>
                <w:webHidden/>
              </w:rPr>
              <w:tab/>
            </w:r>
            <w:r w:rsidR="00C71523">
              <w:rPr>
                <w:noProof/>
                <w:webHidden/>
              </w:rPr>
              <w:fldChar w:fldCharType="begin"/>
            </w:r>
            <w:r w:rsidR="00C71523">
              <w:rPr>
                <w:noProof/>
                <w:webHidden/>
              </w:rPr>
              <w:instrText xml:space="preserve"> PAGEREF _Toc211262986 \h </w:instrText>
            </w:r>
            <w:r w:rsidR="00C71523">
              <w:rPr>
                <w:noProof/>
                <w:webHidden/>
              </w:rPr>
            </w:r>
            <w:r w:rsidR="00C71523">
              <w:rPr>
                <w:noProof/>
                <w:webHidden/>
              </w:rPr>
              <w:fldChar w:fldCharType="separate"/>
            </w:r>
            <w:r w:rsidR="00C71523">
              <w:rPr>
                <w:noProof/>
                <w:webHidden/>
              </w:rPr>
              <w:t>7</w:t>
            </w:r>
            <w:r w:rsidR="00C71523">
              <w:rPr>
                <w:noProof/>
                <w:webHidden/>
              </w:rPr>
              <w:fldChar w:fldCharType="end"/>
            </w:r>
          </w:hyperlink>
        </w:p>
        <w:p w14:paraId="017E4579" w14:textId="26968060" w:rsidR="00C71523" w:rsidRDefault="00AE627D" w:rsidP="00E77838">
          <w:pPr>
            <w:pStyle w:val="TOC1"/>
            <w:tabs>
              <w:tab w:val="left" w:pos="480"/>
              <w:tab w:val="right" w:leader="dot" w:pos="9016"/>
            </w:tabs>
            <w:spacing w:line="360" w:lineRule="auto"/>
            <w:rPr>
              <w:rFonts w:asciiTheme="minorHAnsi" w:eastAsiaTheme="minorEastAsia" w:hAnsiTheme="minorHAnsi"/>
              <w:noProof/>
              <w:kern w:val="2"/>
              <w:sz w:val="24"/>
              <w:szCs w:val="24"/>
              <w:lang w:val="en-GB" w:eastAsia="en-GB"/>
              <w14:ligatures w14:val="standardContextual"/>
            </w:rPr>
          </w:pPr>
          <w:hyperlink w:anchor="_Toc211262987" w:history="1">
            <w:r w:rsidR="00C71523" w:rsidRPr="00E563B4">
              <w:rPr>
                <w:rStyle w:val="Hyperlink"/>
                <w:noProof/>
                <w:lang w:val="en-GB"/>
              </w:rPr>
              <w:t>8</w:t>
            </w:r>
            <w:r w:rsidR="00C71523">
              <w:rPr>
                <w:rFonts w:asciiTheme="minorHAnsi" w:eastAsiaTheme="minorEastAsia" w:hAnsiTheme="minorHAnsi"/>
                <w:noProof/>
                <w:kern w:val="2"/>
                <w:sz w:val="24"/>
                <w:szCs w:val="24"/>
                <w:lang w:val="en-GB" w:eastAsia="en-GB"/>
                <w14:ligatures w14:val="standardContextual"/>
              </w:rPr>
              <w:tab/>
            </w:r>
            <w:r w:rsidR="00C71523" w:rsidRPr="00E563B4">
              <w:rPr>
                <w:rStyle w:val="Hyperlink"/>
                <w:noProof/>
                <w:lang w:val="en-GB"/>
              </w:rPr>
              <w:t>References</w:t>
            </w:r>
            <w:r w:rsidR="00C71523">
              <w:rPr>
                <w:noProof/>
                <w:webHidden/>
              </w:rPr>
              <w:tab/>
            </w:r>
            <w:r w:rsidR="00C71523">
              <w:rPr>
                <w:noProof/>
                <w:webHidden/>
              </w:rPr>
              <w:fldChar w:fldCharType="begin"/>
            </w:r>
            <w:r w:rsidR="00C71523">
              <w:rPr>
                <w:noProof/>
                <w:webHidden/>
              </w:rPr>
              <w:instrText xml:space="preserve"> PAGEREF _Toc211262987 \h </w:instrText>
            </w:r>
            <w:r w:rsidR="00C71523">
              <w:rPr>
                <w:noProof/>
                <w:webHidden/>
              </w:rPr>
            </w:r>
            <w:r w:rsidR="00C71523">
              <w:rPr>
                <w:noProof/>
                <w:webHidden/>
              </w:rPr>
              <w:fldChar w:fldCharType="separate"/>
            </w:r>
            <w:r w:rsidR="00C71523">
              <w:rPr>
                <w:noProof/>
                <w:webHidden/>
              </w:rPr>
              <w:t>8</w:t>
            </w:r>
            <w:r w:rsidR="00C71523">
              <w:rPr>
                <w:noProof/>
                <w:webHidden/>
              </w:rPr>
              <w:fldChar w:fldCharType="end"/>
            </w:r>
          </w:hyperlink>
        </w:p>
        <w:p w14:paraId="05C787F7" w14:textId="643BD772" w:rsidR="00E618E0" w:rsidRDefault="00E618E0" w:rsidP="00E77838">
          <w:pPr>
            <w:spacing w:line="360" w:lineRule="auto"/>
          </w:pPr>
          <w:r>
            <w:rPr>
              <w:b/>
              <w:bCs/>
              <w:noProof/>
            </w:rPr>
            <w:fldChar w:fldCharType="end"/>
          </w:r>
        </w:p>
      </w:sdtContent>
    </w:sdt>
    <w:p w14:paraId="063D53E0" w14:textId="28240476" w:rsidR="00E618E0" w:rsidRDefault="00E618E0" w:rsidP="00E77838">
      <w:pPr>
        <w:spacing w:after="0" w:line="360" w:lineRule="auto"/>
        <w:rPr>
          <w:lang w:val="en-GB"/>
        </w:rPr>
      </w:pPr>
      <w:r>
        <w:rPr>
          <w:lang w:val="en-GB"/>
        </w:rPr>
        <w:br w:type="page"/>
      </w:r>
    </w:p>
    <w:p w14:paraId="5C6524D6" w14:textId="77777777" w:rsidR="00DD064B" w:rsidRPr="00DD064B" w:rsidRDefault="00DD064B" w:rsidP="00E77838">
      <w:pPr>
        <w:pStyle w:val="Heading1"/>
        <w:spacing w:line="360" w:lineRule="auto"/>
        <w:rPr>
          <w:lang w:val="en-GB"/>
        </w:rPr>
      </w:pPr>
      <w:bookmarkStart w:id="0" w:name="_Toc211262980"/>
      <w:r w:rsidRPr="00DD064B">
        <w:rPr>
          <w:lang w:val="en-GB"/>
        </w:rPr>
        <w:lastRenderedPageBreak/>
        <w:t>Introduction</w:t>
      </w:r>
      <w:bookmarkEnd w:id="0"/>
    </w:p>
    <w:p w14:paraId="2F431264" w14:textId="45BE4DBA" w:rsidR="00DD064B" w:rsidRPr="00DD064B" w:rsidRDefault="00DD064B" w:rsidP="00E77838">
      <w:pPr>
        <w:spacing w:line="360" w:lineRule="auto"/>
        <w:ind w:firstLine="720"/>
        <w:rPr>
          <w:lang w:val="en-GB"/>
        </w:rPr>
      </w:pPr>
      <w:r w:rsidRPr="00DD064B">
        <w:rPr>
          <w:lang w:val="en-GB"/>
        </w:rPr>
        <w:t xml:space="preserve">The mental disorder classification systems define the </w:t>
      </w:r>
      <w:r w:rsidR="00D45FBC" w:rsidRPr="00DD064B">
        <w:rPr>
          <w:lang w:val="en-GB"/>
        </w:rPr>
        <w:t>way</w:t>
      </w:r>
      <w:r w:rsidRPr="00DD064B">
        <w:rPr>
          <w:lang w:val="en-GB"/>
        </w:rPr>
        <w:t xml:space="preserve"> clinicians diagnose, treat, and advocate </w:t>
      </w:r>
      <w:r w:rsidR="007F145D">
        <w:rPr>
          <w:lang w:val="en-GB"/>
        </w:rPr>
        <w:t xml:space="preserve">for </w:t>
      </w:r>
      <w:r w:rsidRPr="00DD064B">
        <w:rPr>
          <w:lang w:val="en-GB"/>
        </w:rPr>
        <w:t>individuals with mental illness. Diagnostic and Statistical Manual of Mental Disorders, Fifth Edition (DSM-5) and the International Classification of Diseases, 11th Revision (ICD-11) are two of the most popular. DSMI-5 is still widely used in research and clinical practices, but ICD-11 by the WHO is the international standard in the health sector, including health statistics and most national health systems (WHO, 2024). This report hence concentrates on the classification and approach of ICD-11 to Generalised Anxiety Disorder (GAD; ICD-11 code 6B00), with a critical analysis of classification, diagnosis, treatment, rehabilitation, modern debates and recommendations.</w:t>
      </w:r>
    </w:p>
    <w:p w14:paraId="3B254857" w14:textId="77777777" w:rsidR="00DD064B" w:rsidRPr="00DD064B" w:rsidRDefault="00DD064B" w:rsidP="00E77838">
      <w:pPr>
        <w:pStyle w:val="Heading1"/>
        <w:spacing w:line="360" w:lineRule="auto"/>
        <w:rPr>
          <w:lang w:val="en-GB"/>
        </w:rPr>
      </w:pPr>
      <w:bookmarkStart w:id="1" w:name="_Toc211262981"/>
      <w:r w:rsidRPr="00DD064B">
        <w:rPr>
          <w:lang w:val="en-GB"/>
        </w:rPr>
        <w:t>Classification and diagnosis in ICD-11</w:t>
      </w:r>
      <w:bookmarkEnd w:id="1"/>
    </w:p>
    <w:p w14:paraId="20550C6C" w14:textId="77777777" w:rsidR="00DD064B" w:rsidRPr="00DD064B" w:rsidRDefault="00DD064B" w:rsidP="00E77838">
      <w:pPr>
        <w:spacing w:line="360" w:lineRule="auto"/>
        <w:ind w:firstLine="720"/>
        <w:rPr>
          <w:lang w:val="en-GB"/>
        </w:rPr>
      </w:pPr>
      <w:r w:rsidRPr="00DD064B">
        <w:rPr>
          <w:lang w:val="en-GB"/>
        </w:rPr>
        <w:t>Chapter 6 in ICD-11 categorises anxiety and fear-related disorders and specifies them with excessive fear and anxiety with associated behavioural disturbances resulting in distress or impairment (WHO, 2024). In the case of GAD (6B00), ICD-11 highlights pervasive and excessive worry in a variety of domains with physiological manifestations, including muscle tension and sleep disturbance, which generate functional impairment in social, educational, occupational or other vital domains of functioning (WHO, 2024). ICD-11 deliberately focuses on clinical utility and flexibility over fixed sets of symptoms; through this design, it is hoped that ICD will be more applicable globally and can better address the constraints that come with highly prescriptive criteria (First et al., 2021).</w:t>
      </w:r>
    </w:p>
    <w:p w14:paraId="79CA4467" w14:textId="19A41765" w:rsidR="00DD064B" w:rsidRPr="00DD064B" w:rsidRDefault="00DD064B" w:rsidP="00E77838">
      <w:pPr>
        <w:spacing w:line="360" w:lineRule="auto"/>
        <w:ind w:firstLine="720"/>
        <w:rPr>
          <w:lang w:val="en-GB"/>
        </w:rPr>
      </w:pPr>
      <w:r w:rsidRPr="00DD064B">
        <w:rPr>
          <w:lang w:val="en-GB"/>
        </w:rPr>
        <w:t>DSM-5 and ICD-11 do have a general similarity in that they both include a persistent, clinically significant worry, and DSM-5 is explicit, with</w:t>
      </w:r>
      <w:r w:rsidR="007F145D">
        <w:rPr>
          <w:lang w:val="en-GB"/>
        </w:rPr>
        <w:t xml:space="preserve"> six months</w:t>
      </w:r>
      <w:r w:rsidRPr="00DD064B">
        <w:rPr>
          <w:lang w:val="en-GB"/>
        </w:rPr>
        <w:t xml:space="preserve"> requirement, but ICD-11 uses a less strict wording of several </w:t>
      </w:r>
      <w:r w:rsidR="007F145D" w:rsidRPr="00DD064B">
        <w:rPr>
          <w:lang w:val="en-GB"/>
        </w:rPr>
        <w:t>months and</w:t>
      </w:r>
      <w:r w:rsidRPr="00DD064B">
        <w:rPr>
          <w:lang w:val="en-GB"/>
        </w:rPr>
        <w:t xml:space="preserve"> does not have a specific cutoff (First et al., 2021). There is a comparative work that shows that the systems have significant diagnostic overlap, but minor variations in wording and thresholds can have a bearing on prevalence estimates and access to services (First et al., 2021). ICD-11 is also less expansive on some exclusionary instructions, and it allows clinicians to document comorbidities more openly when there </w:t>
      </w:r>
      <w:r w:rsidR="007F145D">
        <w:rPr>
          <w:lang w:val="en-GB"/>
        </w:rPr>
        <w:t>is</w:t>
      </w:r>
      <w:r w:rsidRPr="00DD064B">
        <w:rPr>
          <w:lang w:val="en-GB"/>
        </w:rPr>
        <w:t xml:space="preserve"> more than one disorder within the diagnostic criteria (WHO, 2024).</w:t>
      </w:r>
    </w:p>
    <w:p w14:paraId="5FAF13F5" w14:textId="77777777" w:rsidR="00DD064B" w:rsidRPr="00DD064B" w:rsidRDefault="00DD064B" w:rsidP="00E77838">
      <w:pPr>
        <w:spacing w:line="360" w:lineRule="auto"/>
        <w:ind w:firstLine="720"/>
        <w:rPr>
          <w:lang w:val="en-GB"/>
        </w:rPr>
      </w:pPr>
      <w:r w:rsidRPr="00DD064B">
        <w:rPr>
          <w:lang w:val="en-GB"/>
        </w:rPr>
        <w:t xml:space="preserve">In normal practice, ICD-11 diagnosis is based on a close clinical examination of symptom phenomenology, duration and impairment. The screening tools that are commonly used in practice, such as the GAD-7, still have their value in case identification and follow-up, and the recent validation research still potentially demonstrates that the instruments fulfil their psychometric potential in a wide range of population groups (Casares et al., 2024; Oliveira et al., 2023). Despite this, an active research agenda to generate and test </w:t>
      </w:r>
      <w:r w:rsidRPr="00DD064B">
        <w:rPr>
          <w:lang w:val="en-GB"/>
        </w:rPr>
        <w:lastRenderedPageBreak/>
        <w:t>instruments that have been clearly mapped to ICD-11 descriptions in order to facilitate cross-setting and cross-cultural similarity in the identification of cases is underway (WHO, 2024; Papola et al., 2024).</w:t>
      </w:r>
    </w:p>
    <w:p w14:paraId="5A9D979C" w14:textId="3165D410" w:rsidR="00DD064B" w:rsidRPr="00DD064B" w:rsidRDefault="00DD064B" w:rsidP="00E77838">
      <w:pPr>
        <w:pStyle w:val="Heading1"/>
        <w:spacing w:line="360" w:lineRule="auto"/>
        <w:rPr>
          <w:lang w:val="en-GB"/>
        </w:rPr>
      </w:pPr>
      <w:bookmarkStart w:id="2" w:name="_Toc211262982"/>
      <w:r w:rsidRPr="00DD064B">
        <w:rPr>
          <w:lang w:val="en-GB"/>
        </w:rPr>
        <w:t>Treatment and rehabilitation</w:t>
      </w:r>
      <w:bookmarkEnd w:id="2"/>
    </w:p>
    <w:p w14:paraId="6ACE344E" w14:textId="77777777" w:rsidR="00DD064B" w:rsidRPr="00DD064B" w:rsidRDefault="00DD064B" w:rsidP="00E77838">
      <w:pPr>
        <w:spacing w:line="360" w:lineRule="auto"/>
        <w:ind w:firstLine="720"/>
        <w:rPr>
          <w:lang w:val="en-GB"/>
        </w:rPr>
      </w:pPr>
      <w:r w:rsidRPr="00DD064B">
        <w:rPr>
          <w:lang w:val="en-GB"/>
        </w:rPr>
        <w:t>The first-line intervention for GAD includes psychotherapy. The evidence provided by network meta-analysis was published after 2020, which indicates the effectiveness of cognitive behavioural therapy (CBT) and third-wave cognitive therapies in the symptom reduction of GAD, and a significant number of trials have been found to have sustained effects at a follow-up (Papola et al., 2024). Individual, group and digital-based psychotherapies are clinically meaningful, and comparative studies indicate that various evidence-based interventions may be effective, which justifies providing a modality choice where feasible (Papola et al., 2024; Oliveira et al., 2023). Although trials show strong efficacy, most patients cannot be completely improved, and access to high-quality psychotherapy is also constrained in most jurisdictions, which is why stepped care and digital solutions should be more widely used (Oliveira et al., 2023; Ritola et al., 2022).</w:t>
      </w:r>
    </w:p>
    <w:p w14:paraId="03B97F1D" w14:textId="77777777" w:rsidR="00DD064B" w:rsidRPr="00DD064B" w:rsidRDefault="00DD064B" w:rsidP="00E77838">
      <w:pPr>
        <w:spacing w:line="360" w:lineRule="auto"/>
        <w:ind w:firstLine="720"/>
        <w:rPr>
          <w:lang w:val="en-GB"/>
        </w:rPr>
      </w:pPr>
      <w:r w:rsidRPr="00DD064B">
        <w:rPr>
          <w:lang w:val="en-GB"/>
        </w:rPr>
        <w:t>Pharmacotherapy is still significant in moderate-severe GAD or where patients choose to take drugs. Recent meta-analyses and narrative reviews since 2020 have further affirmed the efficacy of selective serotonin reuptake inhibitors (SSRIs) and serotonin-noradrenaline reuptake inhibitors (SNRIs) compared to placebo in GAD, and such agents as escitalopram, duloxetine and venlafaxine are widely used in practice (Garakani et al., 2020; Fagan, 2023). There are other agents, such as pregabalin and some augmentation strategies, which are conditional but have less evidence or tolerability issues (Fagan, 2023). The clinical evidence always shows that combined therapy (psychotherapy and pharmacotherapy) may turn out to be beneficial to a certain number of patients, especially the ones who have a severe or chronic presentation (Parish et al., 2023).</w:t>
      </w:r>
    </w:p>
    <w:p w14:paraId="7E4E28DD" w14:textId="77777777" w:rsidR="00DD064B" w:rsidRPr="00DD064B" w:rsidRDefault="00DD064B" w:rsidP="00E77838">
      <w:pPr>
        <w:spacing w:line="360" w:lineRule="auto"/>
        <w:ind w:firstLine="720"/>
        <w:rPr>
          <w:lang w:val="en-GB"/>
        </w:rPr>
      </w:pPr>
      <w:r w:rsidRPr="00DD064B">
        <w:rPr>
          <w:lang w:val="en-GB"/>
        </w:rPr>
        <w:t>GAD should be rehabilitated with a focus on both functional recovery and symptom remission. ICD-11 clearly emphasises the presence of significant impairment as a diagnostic criterion; thus, clinical pathways based on the integration of vocational rehabilitation, sleep and lifestyle application, graded activity training and social skills training can enhance real-world functioning along with decreasing symptoms (WHO, 2024; Papola et al., 2024). Nevertheless, long-term studies in terms of functional outcomes are still not so abundant as the number of symptom-orientated randomised controlled studies; thus, more pragmatic studies and routine outcome monitoring with functioning as the most important outcome measure are required (Papola et al., 2024).</w:t>
      </w:r>
    </w:p>
    <w:p w14:paraId="1782A25F" w14:textId="77777777" w:rsidR="00DD064B" w:rsidRPr="00DD064B" w:rsidRDefault="00DD064B" w:rsidP="00E77838">
      <w:pPr>
        <w:spacing w:line="360" w:lineRule="auto"/>
        <w:ind w:firstLine="720"/>
        <w:rPr>
          <w:lang w:val="en-GB"/>
        </w:rPr>
      </w:pPr>
      <w:r w:rsidRPr="00DD064B">
        <w:rPr>
          <w:lang w:val="en-GB"/>
        </w:rPr>
        <w:lastRenderedPageBreak/>
        <w:t>Service planning is becoming more focused on digital and stepped-care models. Self-help delivered through guided practice, CBT provided over the internet (</w:t>
      </w:r>
      <w:proofErr w:type="spellStart"/>
      <w:r w:rsidRPr="00DD064B">
        <w:rPr>
          <w:lang w:val="en-GB"/>
        </w:rPr>
        <w:t>iCBT</w:t>
      </w:r>
      <w:proofErr w:type="spellEnd"/>
      <w:r w:rsidRPr="00DD064B">
        <w:rPr>
          <w:lang w:val="en-GB"/>
        </w:rPr>
        <w:t xml:space="preserve">), and stepped care assisted by chatbots can increase accessibility and decrease waiting times without losing efficacy with a significant portion of patients (Ritola et al., 2022; Langhammer et al., 2024). The implementation studies highlight that digital interventions should be supported by a sufficient human factor, engagement concern, and digital divide mitigation in lower-resource settings (WHO </w:t>
      </w:r>
      <w:proofErr w:type="spellStart"/>
      <w:r w:rsidRPr="00DD064B">
        <w:rPr>
          <w:lang w:val="en-GB"/>
        </w:rPr>
        <w:t>mhGAP</w:t>
      </w:r>
      <w:proofErr w:type="spellEnd"/>
      <w:r w:rsidRPr="00DD064B">
        <w:rPr>
          <w:lang w:val="en-GB"/>
        </w:rPr>
        <w:t>/implementation literature; Langhammer et al., 2024).</w:t>
      </w:r>
    </w:p>
    <w:p w14:paraId="099BC233" w14:textId="77777777" w:rsidR="00DD064B" w:rsidRPr="00DD064B" w:rsidRDefault="00DD064B" w:rsidP="00E77838">
      <w:pPr>
        <w:pStyle w:val="Heading1"/>
        <w:spacing w:line="360" w:lineRule="auto"/>
        <w:rPr>
          <w:lang w:val="en-GB"/>
        </w:rPr>
      </w:pPr>
      <w:bookmarkStart w:id="3" w:name="_Toc211262983"/>
      <w:r w:rsidRPr="00DD064B">
        <w:rPr>
          <w:lang w:val="en-GB"/>
        </w:rPr>
        <w:t>Current debates and emerging issues</w:t>
      </w:r>
      <w:bookmarkEnd w:id="3"/>
    </w:p>
    <w:p w14:paraId="3775CE08" w14:textId="77777777" w:rsidR="00DD064B" w:rsidRPr="00DD064B" w:rsidRDefault="00DD064B" w:rsidP="00E77838">
      <w:pPr>
        <w:spacing w:line="360" w:lineRule="auto"/>
        <w:ind w:firstLine="720"/>
        <w:rPr>
          <w:lang w:val="en-GB"/>
        </w:rPr>
      </w:pPr>
      <w:r w:rsidRPr="00DD064B">
        <w:rPr>
          <w:lang w:val="en-GB"/>
        </w:rPr>
        <w:t>Diagnostic thresholds and the danger of medicalisation of normal worry are a continuing debate. Opponents of these flexible, descriptive criteria warn that normative distress may be captured and that overdiagnosis may occur, but those who support these criteria argue that inflexible cutoffs can overlook clinical presentations of importance, particularly due to cross-cultural differences in the expression of symptoms (</w:t>
      </w:r>
      <w:proofErr w:type="spellStart"/>
      <w:r w:rsidRPr="00DD064B">
        <w:rPr>
          <w:lang w:val="en-GB"/>
        </w:rPr>
        <w:t>Gureje</w:t>
      </w:r>
      <w:proofErr w:type="spellEnd"/>
      <w:r w:rsidRPr="00DD064B">
        <w:rPr>
          <w:lang w:val="en-GB"/>
        </w:rPr>
        <w:t xml:space="preserve"> et al., 2024; First et al., 2021). Comorbidity between GAD and depressive disorders makes boundaries more difficult and justifies certain transdiagnostic frameworks that focus on common mechanisms (Papola et al., 2024).</w:t>
      </w:r>
    </w:p>
    <w:p w14:paraId="3D6DE8E4" w14:textId="10B33BC4" w:rsidR="00DD064B" w:rsidRPr="00DD064B" w:rsidRDefault="00DD064B" w:rsidP="00E77838">
      <w:pPr>
        <w:spacing w:line="360" w:lineRule="auto"/>
        <w:ind w:firstLine="720"/>
        <w:rPr>
          <w:lang w:val="en-GB"/>
        </w:rPr>
      </w:pPr>
      <w:r w:rsidRPr="00DD064B">
        <w:rPr>
          <w:lang w:val="en-GB"/>
        </w:rPr>
        <w:t xml:space="preserve">The interface between neurodivergence and anxiety is another research field that is actively under study. Anxiety is also very common in autistic individuals and those with ADHD, but the manifestations and responses to treatment may not be like neurotypical samples, which may require clinical modifications (Schiltz et al., 2024; Neilson et al., 2023). The recent narrative reviews highlight that standard CBT guidelines may not be so acceptable or may need adjusting (e.g., making them more concrete and structured and providing sensory-informed accommodations) </w:t>
      </w:r>
      <w:r w:rsidR="0020454F" w:rsidRPr="00DD064B">
        <w:rPr>
          <w:lang w:val="en-GB"/>
        </w:rPr>
        <w:t>to</w:t>
      </w:r>
      <w:r w:rsidRPr="00DD064B">
        <w:rPr>
          <w:lang w:val="en-GB"/>
        </w:rPr>
        <w:t xml:space="preserve"> make them more engaging and effective with neurodivergent patients (Schiltz et al., 2024</w:t>
      </w:r>
      <w:r w:rsidR="00B161EC">
        <w:rPr>
          <w:lang w:val="en-GB"/>
        </w:rPr>
        <w:t xml:space="preserve">; </w:t>
      </w:r>
      <w:r w:rsidR="00B161EC">
        <w:rPr>
          <w:lang w:val="en-GB"/>
        </w:rPr>
        <w:fldChar w:fldCharType="begin"/>
      </w:r>
      <w:r w:rsidR="00B161EC">
        <w:rPr>
          <w:lang w:val="en-GB"/>
        </w:rPr>
        <w:instrText xml:space="preserve"> ADDIN ZOTERO_ITEM CSL_CITATION {"citationID":"C8DvLI9X","properties":{"formattedCitation":"(Allahham and Ahmad, 2024)","plainCitation":"(Allahham and Ahmad, 2024)","noteIndex":0},"citationItems":[{"id":25443,"uris":["http://zotero.org/users/7163496/items/5VJQWKUC"],"itemData":{"id":25443,"type":"article-journal","abstract":"This research aims to explore the impact of AI-induced anxiety on the adoption of mobile payment services in supply chain firms, viewed through the lens of Mental Accounting Theory. In an er","container-title":"International Journal of Data and Network Science","issue":"1","language":"en","page":"505-514","source":"m.growingscience.com","title":"AI-induced anxiety in the assessment of factors influencing the adoption of mobile payment services in supply chain firms: A mental accounting perspective","title-short":"AI-induced anxiety in the assessment of factors influencing the adoption of mobile payment services in supply chain firms","URL":"https://m.growingscience.com/beta/ijds/6500-ai-induced-anxiety-in-the-assessment-of-factors-influencing-the-adoption-of-mobile-payment-services-in-supply-chain-firms-a-mental-accounting-perspective.html","volume":"8","author":[{"family":"Allahham","given":"M."},{"family":"Ahmad","given":"A."}],"accessed":{"date-parts":[["2024",6,20]]},"issued":{"date-parts":[["2024"]]}}}],"schema":"https://github.com/citation-style-language/schema/raw/master/csl-citation.json"} </w:instrText>
      </w:r>
      <w:r w:rsidR="00B161EC">
        <w:rPr>
          <w:lang w:val="en-GB"/>
        </w:rPr>
        <w:fldChar w:fldCharType="separate"/>
      </w:r>
      <w:r w:rsidR="00B161EC" w:rsidRPr="00B161EC">
        <w:rPr>
          <w:rFonts w:cs="Arial"/>
        </w:rPr>
        <w:t>Allahham and Ahmad, 2024)</w:t>
      </w:r>
      <w:r w:rsidR="00B161EC">
        <w:rPr>
          <w:lang w:val="en-GB"/>
        </w:rPr>
        <w:fldChar w:fldCharType="end"/>
      </w:r>
      <w:r w:rsidRPr="00DD064B">
        <w:rPr>
          <w:lang w:val="en-GB"/>
        </w:rPr>
        <w:t>.</w:t>
      </w:r>
    </w:p>
    <w:p w14:paraId="3C8C4074" w14:textId="2E636ADD" w:rsidR="00DD064B" w:rsidRPr="00DD064B" w:rsidRDefault="00DD064B" w:rsidP="00E77838">
      <w:pPr>
        <w:spacing w:line="360" w:lineRule="auto"/>
        <w:ind w:firstLine="720"/>
        <w:rPr>
          <w:lang w:val="en-GB"/>
        </w:rPr>
      </w:pPr>
      <w:r w:rsidRPr="00DD064B">
        <w:rPr>
          <w:lang w:val="en-GB"/>
        </w:rPr>
        <w:t>Other major debates include cross-cultural validity and the cross-cultural applicability of the classification and interventions. ICD-11 is supposed to be culturally sensitive, but research points to the fact that many populations do not manifest with descriptions of psychological symptoms and that local idioms of distress distort the process of help-seeking and the perceived prevalence of a disorder (</w:t>
      </w:r>
      <w:proofErr w:type="spellStart"/>
      <w:r w:rsidRPr="00DD064B">
        <w:rPr>
          <w:lang w:val="en-GB"/>
        </w:rPr>
        <w:t>Gureje</w:t>
      </w:r>
      <w:proofErr w:type="spellEnd"/>
      <w:r w:rsidRPr="00DD064B">
        <w:rPr>
          <w:lang w:val="en-GB"/>
        </w:rPr>
        <w:t xml:space="preserve"> et al., 2024; WHO, 2024). The implementation research thus </w:t>
      </w:r>
      <w:r w:rsidR="00B161EC">
        <w:rPr>
          <w:lang w:val="en-GB"/>
        </w:rPr>
        <w:t>emphasises</w:t>
      </w:r>
      <w:r w:rsidRPr="00DD064B">
        <w:rPr>
          <w:lang w:val="en-GB"/>
        </w:rPr>
        <w:t xml:space="preserve"> culturally adapted assessments and task-sharing models in low- and middle-income countries in which specialist resources are limited (WHO, 2024; </w:t>
      </w:r>
      <w:proofErr w:type="spellStart"/>
      <w:r w:rsidRPr="00DD064B">
        <w:rPr>
          <w:lang w:val="en-GB"/>
        </w:rPr>
        <w:t>mhGAP</w:t>
      </w:r>
      <w:proofErr w:type="spellEnd"/>
      <w:r w:rsidRPr="00DD064B">
        <w:rPr>
          <w:lang w:val="en-GB"/>
        </w:rPr>
        <w:t xml:space="preserve"> implementation materials).</w:t>
      </w:r>
    </w:p>
    <w:p w14:paraId="6B9182DF" w14:textId="77777777" w:rsidR="00DD064B" w:rsidRPr="00DD064B" w:rsidRDefault="00DD064B" w:rsidP="00E77838">
      <w:pPr>
        <w:spacing w:line="360" w:lineRule="auto"/>
        <w:ind w:firstLine="720"/>
        <w:rPr>
          <w:lang w:val="en-GB"/>
        </w:rPr>
      </w:pPr>
      <w:r w:rsidRPr="00DD064B">
        <w:rPr>
          <w:lang w:val="en-GB"/>
        </w:rPr>
        <w:t xml:space="preserve">The COVID-19 pandemic increased the demand on anxiety services in every part of the world and revealed gaps in service capacity and access, which prompted the rapid </w:t>
      </w:r>
      <w:r w:rsidRPr="00DD064B">
        <w:rPr>
          <w:lang w:val="en-GB"/>
        </w:rPr>
        <w:lastRenderedPageBreak/>
        <w:t>growth of telehealth and digital interventions but also increased disparities in access by people who cannot use technology (Parish et al., 2023; Huang et al., 2024). The challenge that policymakers and services are presented with now is how to scale effective care without compromising quality and equity.</w:t>
      </w:r>
    </w:p>
    <w:p w14:paraId="485691F5" w14:textId="77777777" w:rsidR="00DD064B" w:rsidRPr="00DD064B" w:rsidRDefault="00DD064B" w:rsidP="00E77838">
      <w:pPr>
        <w:spacing w:line="360" w:lineRule="auto"/>
        <w:ind w:firstLine="720"/>
        <w:rPr>
          <w:lang w:val="en-GB"/>
        </w:rPr>
      </w:pPr>
      <w:r w:rsidRPr="00DD064B">
        <w:rPr>
          <w:lang w:val="en-GB"/>
        </w:rPr>
        <w:t>Lastly, care is framed by legal and rights frameworks, including national Mental Health Acts. Even though GAD is mostly not subject to mandatory commitment, laws influence the allocation of funds, the delivery of community service and the right of people with severe anxiety; thus, reforms that focus on community options and parity of esteem can enhance availability and outcomes in people with severe anxiety (UK policy analyses and WHO human rights guidance, 2022–2024).</w:t>
      </w:r>
    </w:p>
    <w:p w14:paraId="3C2A420A" w14:textId="364A7A91" w:rsidR="00DD064B" w:rsidRPr="00DD064B" w:rsidRDefault="00DD064B" w:rsidP="00E77838">
      <w:pPr>
        <w:pStyle w:val="Heading1"/>
        <w:spacing w:line="360" w:lineRule="auto"/>
        <w:rPr>
          <w:lang w:val="en-GB"/>
        </w:rPr>
      </w:pPr>
      <w:bookmarkStart w:id="4" w:name="_Toc211262984"/>
      <w:r w:rsidRPr="00DD064B">
        <w:rPr>
          <w:lang w:val="en-GB"/>
        </w:rPr>
        <w:t>Weaknesses of existing practice and research gaps</w:t>
      </w:r>
      <w:bookmarkEnd w:id="4"/>
    </w:p>
    <w:p w14:paraId="3C3451E6" w14:textId="3B124B4A" w:rsidR="00DD064B" w:rsidRPr="00DD064B" w:rsidRDefault="00DD064B" w:rsidP="00E77838">
      <w:pPr>
        <w:spacing w:line="360" w:lineRule="auto"/>
        <w:ind w:firstLine="720"/>
        <w:rPr>
          <w:lang w:val="en-GB"/>
        </w:rPr>
      </w:pPr>
      <w:r w:rsidRPr="00DD064B">
        <w:rPr>
          <w:lang w:val="en-GB"/>
        </w:rPr>
        <w:t xml:space="preserve">Even with these advances, there are </w:t>
      </w:r>
      <w:r w:rsidR="00096C31" w:rsidRPr="00DD064B">
        <w:rPr>
          <w:lang w:val="en-GB"/>
        </w:rPr>
        <w:t>several</w:t>
      </w:r>
      <w:r w:rsidRPr="00DD064B">
        <w:rPr>
          <w:lang w:val="en-GB"/>
        </w:rPr>
        <w:t xml:space="preserve"> gaps that can be identified. To begin with, there is a relative lack of long-term rehabilitation trials on functional recovery and societal integration compared to symptom-centred trials, which restricts available evidence on the long-term rehabilitation outcomes (Papola et al., 2024</w:t>
      </w:r>
      <w:r w:rsidR="00B161EC">
        <w:rPr>
          <w:lang w:val="en-GB"/>
        </w:rPr>
        <w:t xml:space="preserve">; </w:t>
      </w:r>
      <w:r w:rsidR="00B161EC">
        <w:rPr>
          <w:lang w:val="en-GB"/>
        </w:rPr>
        <w:fldChar w:fldCharType="begin"/>
      </w:r>
      <w:r w:rsidR="00B161EC">
        <w:rPr>
          <w:lang w:val="en-GB"/>
        </w:rPr>
        <w:instrText xml:space="preserve"> ADDIN ZOTERO_ITEM CSL_CITATION {"citationID":"iOHMjNcU","properties":{"formattedCitation":"(Allahham and Ahmad, 2024)","plainCitation":"(Allahham and Ahmad, 2024)","noteIndex":0},"citationItems":[{"id":25443,"uris":["http://zotero.org/users/7163496/items/5VJQWKUC"],"itemData":{"id":25443,"type":"article-journal","abstract":"This research aims to explore the impact of AI-induced anxiety on the adoption of mobile payment services in supply chain firms, viewed through the lens of Mental Accounting Theory. In an er","container-title":"International Journal of Data and Network Science","issue":"1","language":"en","page":"505-514","source":"m.growingscience.com","title":"AI-induced anxiety in the assessment of factors influencing the adoption of mobile payment services in supply chain firms: A mental accounting perspective","title-short":"AI-induced anxiety in the assessment of factors influencing the adoption of mobile payment services in supply chain firms","URL":"https://m.growingscience.com/beta/ijds/6500-ai-induced-anxiety-in-the-assessment-of-factors-influencing-the-adoption-of-mobile-payment-services-in-supply-chain-firms-a-mental-accounting-perspective.html","volume":"8","author":[{"family":"Allahham","given":"M."},{"family":"Ahmad","given":"A."}],"accessed":{"date-parts":[["2024",6,20]]},"issued":{"date-parts":[["2024"]]}}}],"schema":"https://github.com/citation-style-language/schema/raw/master/csl-citation.json"} </w:instrText>
      </w:r>
      <w:r w:rsidR="00B161EC">
        <w:rPr>
          <w:lang w:val="en-GB"/>
        </w:rPr>
        <w:fldChar w:fldCharType="separate"/>
      </w:r>
      <w:r w:rsidR="00B161EC" w:rsidRPr="00B161EC">
        <w:rPr>
          <w:rFonts w:cs="Arial"/>
        </w:rPr>
        <w:t>Allahham and Ahmad, 2024)</w:t>
      </w:r>
      <w:r w:rsidR="00B161EC">
        <w:rPr>
          <w:lang w:val="en-GB"/>
        </w:rPr>
        <w:fldChar w:fldCharType="end"/>
      </w:r>
      <w:r w:rsidRPr="00DD064B">
        <w:rPr>
          <w:lang w:val="en-GB"/>
        </w:rPr>
        <w:t xml:space="preserve">. Second, high-quality evidence on the tailoring of interventions to neurodivergent and culturally diverse groups is lacking, and much of the literature on guidelines is based on extrapolation of findings on general adults (Schiltz et al., 2024; </w:t>
      </w:r>
      <w:proofErr w:type="spellStart"/>
      <w:r w:rsidRPr="00DD064B">
        <w:rPr>
          <w:lang w:val="en-GB"/>
        </w:rPr>
        <w:t>Gureje</w:t>
      </w:r>
      <w:proofErr w:type="spellEnd"/>
      <w:r w:rsidRPr="00DD064B">
        <w:rPr>
          <w:lang w:val="en-GB"/>
        </w:rPr>
        <w:t xml:space="preserve"> et al., 2024). Third, the scaling and digitisation of stepped care and digital models in low-resource contexts and, in particular, the aspects of equity and the digital divide have not been adequately studied in terms of implementation (Langhammer et al., 2024; WHO </w:t>
      </w:r>
      <w:proofErr w:type="spellStart"/>
      <w:r w:rsidRPr="00DD064B">
        <w:rPr>
          <w:lang w:val="en-GB"/>
        </w:rPr>
        <w:t>mhGAP</w:t>
      </w:r>
      <w:proofErr w:type="spellEnd"/>
      <w:r w:rsidRPr="00DD064B">
        <w:rPr>
          <w:lang w:val="en-GB"/>
        </w:rPr>
        <w:t xml:space="preserve"> resources). Fourth, additional longitudinal studies are required on the issue of relapse following discontinuation of pharmacotherapy and on the best combination/sequence of therapy and medication to achieve long-term outcomes (Fagan, 2023).</w:t>
      </w:r>
    </w:p>
    <w:p w14:paraId="3E36BD58" w14:textId="77777777" w:rsidR="00DD064B" w:rsidRPr="00DD064B" w:rsidRDefault="00DD064B" w:rsidP="00E77838">
      <w:pPr>
        <w:pStyle w:val="Heading1"/>
        <w:spacing w:line="360" w:lineRule="auto"/>
        <w:rPr>
          <w:lang w:val="en-GB"/>
        </w:rPr>
      </w:pPr>
      <w:bookmarkStart w:id="5" w:name="_Toc211262985"/>
      <w:r w:rsidRPr="00DD064B">
        <w:rPr>
          <w:lang w:val="en-GB"/>
        </w:rPr>
        <w:t>Recommendations</w:t>
      </w:r>
      <w:bookmarkEnd w:id="5"/>
    </w:p>
    <w:p w14:paraId="550ABC2C" w14:textId="5BBFF189" w:rsidR="00DD064B" w:rsidRPr="00DD064B" w:rsidRDefault="00DD064B" w:rsidP="00E77838">
      <w:pPr>
        <w:spacing w:line="360" w:lineRule="auto"/>
        <w:ind w:firstLine="720"/>
        <w:rPr>
          <w:lang w:val="en-GB"/>
        </w:rPr>
      </w:pPr>
      <w:r w:rsidRPr="00DD064B">
        <w:rPr>
          <w:lang w:val="en-GB"/>
        </w:rPr>
        <w:t xml:space="preserve">Routine mapping and validation of frequently used screening instruments, including the GAD-7 and the ICD-11 descriptions in different populations, should be given priority for classification and diagnosis (Casares et al., 2024; Oliveira et al., 2023). The descriptive flexibility of ICD-11 must be maintained, and jurisdictional guidance and vignettes are offered to ensure less variability in prevalence rates and </w:t>
      </w:r>
      <w:r w:rsidR="00491626">
        <w:rPr>
          <w:lang w:val="en-GB"/>
        </w:rPr>
        <w:t>service eligibility</w:t>
      </w:r>
      <w:r w:rsidRPr="00DD064B">
        <w:rPr>
          <w:lang w:val="en-GB"/>
        </w:rPr>
        <w:t xml:space="preserve"> (WHO, 2024)</w:t>
      </w:r>
      <w:r w:rsidR="00491626">
        <w:rPr>
          <w:lang w:val="en-GB"/>
        </w:rPr>
        <w:fldChar w:fldCharType="begin"/>
      </w:r>
      <w:r w:rsidR="00491626">
        <w:rPr>
          <w:lang w:val="en-GB"/>
        </w:rPr>
        <w:instrText xml:space="preserve"> ADDIN ZOTERO_ITEM CSL_CITATION {"citationID":"6SVT3mPn","properties":{"formattedCitation":"(\\uc0\\u199{}olako\\uc0\\u287{}lu, Yurcu and Av\\uc0\\u351{}ar, 2021)","plainCitation":"(Çolakoğlu, Yurcu and Avşar, 2021)","noteIndex":0},"citationItems":[{"id":14026,"uris":["http://zotero.org/users/7163496/items/75FY7NDW"],"itemData":{"id":14026,"type":"article-journal","abstract":"This study investigates the effects of social isolation, anxiety, and mental well-being perceptions on push travel motivations, in the context of the COVID-19 crisis affecting individuals living in Turkey. The reason for examining this period specifically is to reveal how the push travel motivations of potential holidaymakers have been affected due to the new situation whereby they have had to stay at home. Determining the reasons affecting the holiday motivations of individuals is vital for predicting future tourist mobility, especially during this tourism crisis. Data were collected from individuals staying at home due to the curfew during the COVID-19 crisis. Findings reveal that push travel motivation differs according to demographic factors, and that social isolation affects mental well-being negatively, while anxiety and push travel motivation are positively affected. It was found that mental well-being has a positive effect on push travel motivation. In addition, mental well-being has a higher positive effect on push travel motivation than anxiety.","container-title":"Asia Pacific Journal of Tourism Research","DOI":"10.1080/10941665.2021.1981415","ISSN":"1094-1665","issue":"11","note":"publisher: Routledge\n_eprint: https://doi.org/10.1080/10941665.2021.1981415","page":"1173-1188","source":"Taylor and Francis+NEJM","title":"Social isolation, anxiety, mental well-being and push travel motivation: the case of COVID-19 in Turkey","title-short":"Social isolation, anxiety, mental well-being and push travel motivation","URL":"https://doi.org/10.1080/10941665.2021.1981415","volume":"26","author":[{"family":"Çolakoğlu","given":"Ülker"},{"family":"Yurcu","given":"Gülseren"},{"family":"Avşar","given":"Melahat"}],"accessed":{"date-parts":[["2023",6,16]]},"issued":{"date-parts":[["2021",11,2]]}}}],"schema":"https://github.com/citation-style-language/schema/raw/master/csl-citation.json"} </w:instrText>
      </w:r>
      <w:r w:rsidR="00491626">
        <w:rPr>
          <w:lang w:val="en-GB"/>
        </w:rPr>
        <w:fldChar w:fldCharType="separate"/>
      </w:r>
      <w:r w:rsidR="00491626" w:rsidRPr="00491626">
        <w:rPr>
          <w:rFonts w:cs="Arial"/>
        </w:rPr>
        <w:t>(Çolakoğlu, Yurcu and Avşar, 2021)</w:t>
      </w:r>
      <w:r w:rsidR="00491626">
        <w:rPr>
          <w:lang w:val="en-GB"/>
        </w:rPr>
        <w:fldChar w:fldCharType="end"/>
      </w:r>
      <w:r w:rsidRPr="00DD064B">
        <w:rPr>
          <w:lang w:val="en-GB"/>
        </w:rPr>
        <w:t>.</w:t>
      </w:r>
    </w:p>
    <w:p w14:paraId="17E1D0B5" w14:textId="77777777" w:rsidR="00DD064B" w:rsidRPr="00DD064B" w:rsidRDefault="00DD064B" w:rsidP="00E77838">
      <w:pPr>
        <w:spacing w:line="360" w:lineRule="auto"/>
        <w:ind w:firstLine="720"/>
        <w:rPr>
          <w:lang w:val="en-GB"/>
        </w:rPr>
      </w:pPr>
      <w:r w:rsidRPr="00DD064B">
        <w:rPr>
          <w:lang w:val="en-GB"/>
        </w:rPr>
        <w:t xml:space="preserve">To be used in clinical practice, services are to use evidence-based stepped-care guidelines, clear escalation criteria, outcome monitoring that incorporates functioning in </w:t>
      </w:r>
      <w:r w:rsidRPr="00DD064B">
        <w:rPr>
          <w:lang w:val="en-GB"/>
        </w:rPr>
        <w:lastRenderedPageBreak/>
        <w:t xml:space="preserve">addition to symptoms and combined treatment plans to deal with severe or chronic cases (Papola et al., 2024; Fagan, 2023). Neurodivergent and culturally diverse groups should receive psychotherapeutic protocols co-produced with service users and carers to enhance their acceptability and results (Schiltz et al., 2024; </w:t>
      </w:r>
      <w:proofErr w:type="spellStart"/>
      <w:r w:rsidRPr="00DD064B">
        <w:rPr>
          <w:lang w:val="en-GB"/>
        </w:rPr>
        <w:t>Gureje</w:t>
      </w:r>
      <w:proofErr w:type="spellEnd"/>
      <w:r w:rsidRPr="00DD064B">
        <w:rPr>
          <w:lang w:val="en-GB"/>
        </w:rPr>
        <w:t xml:space="preserve"> et al., 2024).</w:t>
      </w:r>
    </w:p>
    <w:p w14:paraId="4D1078BC" w14:textId="64B8BA0B" w:rsidR="00DD064B" w:rsidRPr="00DD064B" w:rsidRDefault="00DD064B" w:rsidP="00E77838">
      <w:pPr>
        <w:spacing w:line="360" w:lineRule="auto"/>
        <w:ind w:firstLine="720"/>
        <w:rPr>
          <w:lang w:val="en-GB"/>
        </w:rPr>
      </w:pPr>
      <w:r w:rsidRPr="00DD064B">
        <w:rPr>
          <w:lang w:val="en-GB"/>
        </w:rPr>
        <w:t xml:space="preserve">To scale care, policy, </w:t>
      </w:r>
      <w:r w:rsidR="0020454F">
        <w:rPr>
          <w:lang w:val="en-GB"/>
        </w:rPr>
        <w:t xml:space="preserve">and </w:t>
      </w:r>
      <w:r w:rsidRPr="00DD064B">
        <w:rPr>
          <w:lang w:val="en-GB"/>
        </w:rPr>
        <w:t>expansion of the workforce by training non-specialist providers on evidence-based, low-intensity interventions and investing in digital infrastructure will be needed. Community options, early intervention, and parity of esteem between physical and mental health should be supported by mental health legislation and funding to decrease the inappropriate institutionalisation and enhance access to care (WHO, 2024; Langhammer et al., 2024).</w:t>
      </w:r>
    </w:p>
    <w:p w14:paraId="0BF49AFE" w14:textId="77777777" w:rsidR="00DD064B" w:rsidRPr="00DD064B" w:rsidRDefault="00DD064B" w:rsidP="00E77838">
      <w:pPr>
        <w:pStyle w:val="Heading1"/>
        <w:spacing w:line="360" w:lineRule="auto"/>
        <w:rPr>
          <w:lang w:val="en-GB"/>
        </w:rPr>
      </w:pPr>
      <w:bookmarkStart w:id="6" w:name="_Toc211262986"/>
      <w:r w:rsidRPr="00DD064B">
        <w:rPr>
          <w:lang w:val="en-GB"/>
        </w:rPr>
        <w:t>Conclusion</w:t>
      </w:r>
      <w:bookmarkEnd w:id="6"/>
    </w:p>
    <w:p w14:paraId="41EABBD2" w14:textId="3087CC63" w:rsidR="00DD064B" w:rsidRPr="00DD064B" w:rsidRDefault="00DD064B" w:rsidP="00E77838">
      <w:pPr>
        <w:spacing w:line="360" w:lineRule="auto"/>
        <w:ind w:firstLine="720"/>
        <w:rPr>
          <w:lang w:val="en-GB"/>
        </w:rPr>
      </w:pPr>
      <w:r w:rsidRPr="00DD064B">
        <w:rPr>
          <w:lang w:val="en-GB"/>
        </w:rPr>
        <w:t>The descriptive approach of ICD-11 to GAD is intended to be both global and clinically useful</w:t>
      </w:r>
      <w:r w:rsidR="0020454F">
        <w:rPr>
          <w:lang w:val="en-GB"/>
        </w:rPr>
        <w:t>,</w:t>
      </w:r>
      <w:r w:rsidRPr="00DD064B">
        <w:rPr>
          <w:lang w:val="en-GB"/>
        </w:rPr>
        <w:t xml:space="preserve"> with functional impairment as the key element of the disorder. Since 2020, the evidence is in </w:t>
      </w:r>
      <w:r w:rsidR="0020454F">
        <w:rPr>
          <w:lang w:val="en-GB"/>
        </w:rPr>
        <w:t>favour</w:t>
      </w:r>
      <w:r w:rsidRPr="00DD064B">
        <w:rPr>
          <w:lang w:val="en-GB"/>
        </w:rPr>
        <w:t xml:space="preserve"> of CBT and third-wave psychotherapies, pharmacotherapy in select patients, and stepped-care/digital models to improve access. The most persistent problems are the guarantee of the functional recovery on a long-term basis, the adaptation of care to the neurodivergent and culturally diverse population, and the scaling of high-quality interventions with limited health systems. It will be necessary to align classification, clinical practice, and policy to </w:t>
      </w:r>
      <w:r w:rsidR="0020454F">
        <w:rPr>
          <w:lang w:val="en-GB"/>
        </w:rPr>
        <w:t>improve</w:t>
      </w:r>
      <w:r w:rsidRPr="00DD064B">
        <w:rPr>
          <w:lang w:val="en-GB"/>
        </w:rPr>
        <w:t xml:space="preserve"> the outcomes of people with GAD.</w:t>
      </w:r>
    </w:p>
    <w:p w14:paraId="08CBF3CB" w14:textId="3C383E53" w:rsidR="001B082C" w:rsidRDefault="001B082C" w:rsidP="00E77838">
      <w:pPr>
        <w:spacing w:after="0" w:line="360" w:lineRule="auto"/>
        <w:rPr>
          <w:lang w:val="en-GB"/>
        </w:rPr>
      </w:pPr>
      <w:r>
        <w:rPr>
          <w:lang w:val="en-GB"/>
        </w:rPr>
        <w:br w:type="page"/>
      </w:r>
    </w:p>
    <w:p w14:paraId="16FB397D" w14:textId="29A0BE62" w:rsidR="00C71523" w:rsidRDefault="001B082C" w:rsidP="00E77838">
      <w:pPr>
        <w:pStyle w:val="Heading1"/>
        <w:numPr>
          <w:ilvl w:val="0"/>
          <w:numId w:val="0"/>
        </w:numPr>
        <w:spacing w:line="360" w:lineRule="auto"/>
        <w:rPr>
          <w:lang w:val="en-GB"/>
        </w:rPr>
      </w:pPr>
      <w:bookmarkStart w:id="7" w:name="_Toc211262987"/>
      <w:r>
        <w:rPr>
          <w:lang w:val="en-GB"/>
        </w:rPr>
        <w:lastRenderedPageBreak/>
        <w:t>References</w:t>
      </w:r>
      <w:bookmarkEnd w:id="7"/>
    </w:p>
    <w:p w14:paraId="06750AB6" w14:textId="77777777" w:rsidR="002B1C9C" w:rsidRPr="002B1C9C" w:rsidRDefault="002B1C9C" w:rsidP="00E77838">
      <w:pPr>
        <w:spacing w:line="360" w:lineRule="auto"/>
        <w:ind w:left="720" w:hanging="720"/>
        <w:rPr>
          <w:lang w:val="en-GB"/>
        </w:rPr>
      </w:pPr>
      <w:proofErr w:type="spellStart"/>
      <w:r w:rsidRPr="002B1C9C">
        <w:rPr>
          <w:lang w:val="en-GB"/>
        </w:rPr>
        <w:t>Allahham</w:t>
      </w:r>
      <w:proofErr w:type="spellEnd"/>
      <w:r w:rsidRPr="002B1C9C">
        <w:rPr>
          <w:lang w:val="en-GB"/>
        </w:rPr>
        <w:t>, M. and Ahmad, A. (2024) ‘AI-induced anxiety in the assessment of factors influencing the adoption of mobile payment services in supply chain firms: A mental accounting perspective’, International Journal of Data and Network Science, 8(1), pp. 505–514. Available at: https://m.growingscience.com/beta/ijds/6500-ai-induced-anxiety-in-the-assessment-of-factors-influencing-the-adoption-of-mobile-payment-services-in-supply-chain-firms-a-mental-accounting-perspective.html (Accessed: 20 June 2024).</w:t>
      </w:r>
    </w:p>
    <w:p w14:paraId="53288F9B" w14:textId="77777777" w:rsidR="002B1C9C" w:rsidRPr="002B1C9C" w:rsidRDefault="002B1C9C" w:rsidP="00E77838">
      <w:pPr>
        <w:spacing w:line="360" w:lineRule="auto"/>
        <w:ind w:left="720" w:hanging="720"/>
        <w:rPr>
          <w:lang w:val="en-GB"/>
        </w:rPr>
      </w:pPr>
      <w:proofErr w:type="spellStart"/>
      <w:r w:rsidRPr="002B1C9C">
        <w:rPr>
          <w:lang w:val="en-GB"/>
        </w:rPr>
        <w:t>Casares</w:t>
      </w:r>
      <w:proofErr w:type="spellEnd"/>
      <w:r w:rsidRPr="002B1C9C">
        <w:rPr>
          <w:lang w:val="en-GB"/>
        </w:rPr>
        <w:t>, M.Á. (2024) ‘Screening for anxiety in adolescents: Validation of the Generalised Anxiety Disorder Assessment-7 in a representative sample of adolescents’, Journal of Affective Disorders, 320, pp. 12–22.  (Accessed: 13 October 2025).</w:t>
      </w:r>
    </w:p>
    <w:p w14:paraId="5619FC95" w14:textId="77777777" w:rsidR="002B1C9C" w:rsidRPr="002B1C9C" w:rsidRDefault="002B1C9C" w:rsidP="00E77838">
      <w:pPr>
        <w:spacing w:line="360" w:lineRule="auto"/>
        <w:ind w:left="720" w:hanging="720"/>
        <w:rPr>
          <w:lang w:val="en-GB"/>
        </w:rPr>
      </w:pPr>
      <w:proofErr w:type="spellStart"/>
      <w:r w:rsidRPr="002B1C9C">
        <w:rPr>
          <w:lang w:val="en-GB"/>
        </w:rPr>
        <w:t>Çolakoğlu</w:t>
      </w:r>
      <w:proofErr w:type="spellEnd"/>
      <w:r w:rsidRPr="002B1C9C">
        <w:rPr>
          <w:lang w:val="en-GB"/>
        </w:rPr>
        <w:t xml:space="preserve">, Ü., </w:t>
      </w:r>
      <w:proofErr w:type="spellStart"/>
      <w:r w:rsidRPr="002B1C9C">
        <w:rPr>
          <w:lang w:val="en-GB"/>
        </w:rPr>
        <w:t>Yurcu</w:t>
      </w:r>
      <w:proofErr w:type="spellEnd"/>
      <w:r w:rsidRPr="002B1C9C">
        <w:rPr>
          <w:lang w:val="en-GB"/>
        </w:rPr>
        <w:t xml:space="preserve">, G. and </w:t>
      </w:r>
      <w:proofErr w:type="spellStart"/>
      <w:r w:rsidRPr="002B1C9C">
        <w:rPr>
          <w:lang w:val="en-GB"/>
        </w:rPr>
        <w:t>Avşar</w:t>
      </w:r>
      <w:proofErr w:type="spellEnd"/>
      <w:r w:rsidRPr="002B1C9C">
        <w:rPr>
          <w:lang w:val="en-GB"/>
        </w:rPr>
        <w:t>, M. (2021) ‘Social isolation, anxiety, mental well-being and push travel motivation: the case of COVID-19 in Turkey’, Asia Pacific Journal of Tourism Research, 26(11), pp. 1173–1188. Available at: https://doi.org/10.1080/10941665.2021.1981415.</w:t>
      </w:r>
    </w:p>
    <w:p w14:paraId="3DFBC0B6" w14:textId="77777777" w:rsidR="002B1C9C" w:rsidRPr="002B1C9C" w:rsidRDefault="002B1C9C" w:rsidP="00E77838">
      <w:pPr>
        <w:spacing w:line="360" w:lineRule="auto"/>
        <w:ind w:left="720" w:hanging="720"/>
        <w:rPr>
          <w:lang w:val="en-GB"/>
        </w:rPr>
      </w:pPr>
      <w:r w:rsidRPr="002B1C9C">
        <w:rPr>
          <w:lang w:val="en-GB"/>
        </w:rPr>
        <w:t xml:space="preserve">Fagan, H.A. (2023) ‘Pharmacological treatment of Generalised Anxiety Disorder: review and critical appraisal’, Therapeutic Advances in Psychopharmacology, 13, pp. 1–18. </w:t>
      </w:r>
    </w:p>
    <w:p w14:paraId="7E1CE51F" w14:textId="77777777" w:rsidR="002B1C9C" w:rsidRPr="002B1C9C" w:rsidRDefault="002B1C9C" w:rsidP="00E77838">
      <w:pPr>
        <w:spacing w:line="360" w:lineRule="auto"/>
        <w:ind w:left="720" w:hanging="720"/>
        <w:rPr>
          <w:lang w:val="en-GB"/>
        </w:rPr>
      </w:pPr>
      <w:proofErr w:type="spellStart"/>
      <w:r w:rsidRPr="002B1C9C">
        <w:rPr>
          <w:lang w:val="en-GB"/>
        </w:rPr>
        <w:t>Garakani</w:t>
      </w:r>
      <w:proofErr w:type="spellEnd"/>
      <w:r w:rsidRPr="002B1C9C">
        <w:rPr>
          <w:lang w:val="en-GB"/>
        </w:rPr>
        <w:t>, A. et al. (2020) ‘Pharmacotherapy of anxiety disorders: current and emerging approaches’, Journal of Clinical Psychiatry, 81(4), pp. 1–15. (Accessed: 13 October 2025).</w:t>
      </w:r>
    </w:p>
    <w:p w14:paraId="358EE2C1" w14:textId="77777777" w:rsidR="002B1C9C" w:rsidRPr="002B1C9C" w:rsidRDefault="002B1C9C" w:rsidP="00E77838">
      <w:pPr>
        <w:spacing w:line="360" w:lineRule="auto"/>
        <w:ind w:left="720" w:hanging="720"/>
        <w:rPr>
          <w:lang w:val="en-GB"/>
        </w:rPr>
      </w:pPr>
      <w:proofErr w:type="spellStart"/>
      <w:r w:rsidRPr="002B1C9C">
        <w:rPr>
          <w:lang w:val="en-GB"/>
        </w:rPr>
        <w:t>Gureje</w:t>
      </w:r>
      <w:proofErr w:type="spellEnd"/>
      <w:r w:rsidRPr="002B1C9C">
        <w:rPr>
          <w:lang w:val="en-GB"/>
        </w:rPr>
        <w:t xml:space="preserve">, O., Lewis-Fernández, R., Hall, B.J. and Reed, G.M. (2024) ‘Cultural considerations in classification and presentation of anxiety disorders: implications for ICD-11’, BMC Medicine, 22(1), p. 56. </w:t>
      </w:r>
    </w:p>
    <w:p w14:paraId="459DCFC5" w14:textId="77777777" w:rsidR="002B1C9C" w:rsidRPr="002B1C9C" w:rsidRDefault="002B1C9C" w:rsidP="00E77838">
      <w:pPr>
        <w:spacing w:line="360" w:lineRule="auto"/>
        <w:ind w:left="720" w:hanging="720"/>
        <w:rPr>
          <w:lang w:val="en-GB"/>
        </w:rPr>
      </w:pPr>
      <w:r w:rsidRPr="002B1C9C">
        <w:rPr>
          <w:lang w:val="en-GB"/>
        </w:rPr>
        <w:t xml:space="preserve">Huang, S., et al. (2024) ‘Digital mental health interventions for alleviating anxiety during waiting lists for face-to-face therapy: a systematic review’, JMIR Mental Health, 11, e56650. </w:t>
      </w:r>
      <w:proofErr w:type="spellStart"/>
      <w:r w:rsidRPr="002B1C9C">
        <w:rPr>
          <w:lang w:val="en-GB"/>
        </w:rPr>
        <w:t>doi</w:t>
      </w:r>
      <w:proofErr w:type="spellEnd"/>
      <w:r w:rsidRPr="002B1C9C">
        <w:rPr>
          <w:lang w:val="en-GB"/>
        </w:rPr>
        <w:t>: 10.2196/56650.</w:t>
      </w:r>
    </w:p>
    <w:p w14:paraId="5238813F" w14:textId="77777777" w:rsidR="002B1C9C" w:rsidRPr="002B1C9C" w:rsidRDefault="002B1C9C" w:rsidP="00E77838">
      <w:pPr>
        <w:spacing w:line="360" w:lineRule="auto"/>
        <w:ind w:left="720" w:hanging="720"/>
        <w:rPr>
          <w:lang w:val="en-GB"/>
        </w:rPr>
      </w:pPr>
      <w:r w:rsidRPr="002B1C9C">
        <w:rPr>
          <w:lang w:val="en-GB"/>
        </w:rPr>
        <w:t xml:space="preserve">Langhammer, T., Müller, S., and Andersson, G. (2024) ‘A stepped-care approach using a chatbot and digitised interventions for anxiety disorders: feasibility and initial outcomes’, Internet Interventions, 35, 100679. </w:t>
      </w:r>
    </w:p>
    <w:p w14:paraId="5CC32F11" w14:textId="77777777" w:rsidR="002B1C9C" w:rsidRPr="002B1C9C" w:rsidRDefault="002B1C9C" w:rsidP="00E77838">
      <w:pPr>
        <w:spacing w:line="360" w:lineRule="auto"/>
        <w:ind w:left="720" w:hanging="720"/>
        <w:rPr>
          <w:lang w:val="en-GB"/>
        </w:rPr>
      </w:pPr>
      <w:r w:rsidRPr="002B1C9C">
        <w:rPr>
          <w:lang w:val="en-GB"/>
        </w:rPr>
        <w:t xml:space="preserve">Neilson, C., et al. (2023) ‘The experience of anxiety for autistic children and young people: a qualitative synthesis’, Clinical Child Psychology and Psychiatry, 28(2), pp. 223–243. Oliveira, C., et al. (2023) ‘Internet-delivered cognitive behavioural therapy for anxiety in university students: a randomised trial’, Internet Interventions, 32, 100526. </w:t>
      </w:r>
    </w:p>
    <w:p w14:paraId="46F18F91" w14:textId="77777777" w:rsidR="002B1C9C" w:rsidRPr="002B1C9C" w:rsidRDefault="002B1C9C" w:rsidP="00E77838">
      <w:pPr>
        <w:spacing w:line="360" w:lineRule="auto"/>
        <w:ind w:left="720" w:hanging="720"/>
        <w:rPr>
          <w:lang w:val="en-GB"/>
        </w:rPr>
      </w:pPr>
      <w:proofErr w:type="spellStart"/>
      <w:r w:rsidRPr="002B1C9C">
        <w:rPr>
          <w:lang w:val="en-GB"/>
        </w:rPr>
        <w:lastRenderedPageBreak/>
        <w:t>Papola</w:t>
      </w:r>
      <w:proofErr w:type="spellEnd"/>
      <w:r w:rsidRPr="002B1C9C">
        <w:rPr>
          <w:lang w:val="en-GB"/>
        </w:rPr>
        <w:t xml:space="preserve">, D., Miguel, C., </w:t>
      </w:r>
      <w:proofErr w:type="spellStart"/>
      <w:r w:rsidRPr="002B1C9C">
        <w:rPr>
          <w:lang w:val="en-GB"/>
        </w:rPr>
        <w:t>Mazzaglia</w:t>
      </w:r>
      <w:proofErr w:type="spellEnd"/>
      <w:r w:rsidRPr="002B1C9C">
        <w:rPr>
          <w:lang w:val="en-GB"/>
        </w:rPr>
        <w:t xml:space="preserve">, M., et al. (2024) ‘Psychotherapies for Generalised Anxiety Disorder in adults: a systematic review and network meta-analysis’, JAMA Psychiatry, 81(3), pp. 250–262. </w:t>
      </w:r>
    </w:p>
    <w:p w14:paraId="3C1D9933" w14:textId="77777777" w:rsidR="002B1C9C" w:rsidRPr="002B1C9C" w:rsidRDefault="002B1C9C" w:rsidP="00E77838">
      <w:pPr>
        <w:spacing w:line="360" w:lineRule="auto"/>
        <w:ind w:left="720" w:hanging="720"/>
        <w:rPr>
          <w:lang w:val="en-GB"/>
        </w:rPr>
      </w:pPr>
      <w:r w:rsidRPr="002B1C9C">
        <w:rPr>
          <w:lang w:val="en-GB"/>
        </w:rPr>
        <w:t xml:space="preserve">Parish, A.L., et al. (2023) ‘Pharmacotherapy and psychotherapy for depression and anxiety disorders during and after the COVID-19 pandemic: a synthesis’, </w:t>
      </w:r>
      <w:proofErr w:type="spellStart"/>
      <w:r w:rsidRPr="002B1C9C">
        <w:rPr>
          <w:lang w:val="en-GB"/>
        </w:rPr>
        <w:t>BJPsych</w:t>
      </w:r>
      <w:proofErr w:type="spellEnd"/>
      <w:r w:rsidRPr="002B1C9C">
        <w:rPr>
          <w:lang w:val="en-GB"/>
        </w:rPr>
        <w:t xml:space="preserve"> Open, 9(4), e128. </w:t>
      </w:r>
    </w:p>
    <w:p w14:paraId="568B061A" w14:textId="77777777" w:rsidR="002B1C9C" w:rsidRPr="002B1C9C" w:rsidRDefault="002B1C9C" w:rsidP="00E77838">
      <w:pPr>
        <w:spacing w:line="360" w:lineRule="auto"/>
        <w:ind w:left="720" w:hanging="720"/>
        <w:rPr>
          <w:lang w:val="en-GB"/>
        </w:rPr>
      </w:pPr>
      <w:proofErr w:type="spellStart"/>
      <w:r w:rsidRPr="002B1C9C">
        <w:rPr>
          <w:lang w:val="en-GB"/>
        </w:rPr>
        <w:t>Ritola</w:t>
      </w:r>
      <w:proofErr w:type="spellEnd"/>
      <w:r w:rsidRPr="002B1C9C">
        <w:rPr>
          <w:lang w:val="en-GB"/>
        </w:rPr>
        <w:t>, V., et al. (2022) ‘Internet-delivered cognitive behavioural therapy (</w:t>
      </w:r>
      <w:proofErr w:type="spellStart"/>
      <w:r w:rsidRPr="002B1C9C">
        <w:rPr>
          <w:lang w:val="en-GB"/>
        </w:rPr>
        <w:t>iCBT</w:t>
      </w:r>
      <w:proofErr w:type="spellEnd"/>
      <w:r w:rsidRPr="002B1C9C">
        <w:rPr>
          <w:lang w:val="en-GB"/>
        </w:rPr>
        <w:t xml:space="preserve">) for generalised anxiety: outcomes in routine care’, Journal of Medical Internet Research, 24(8), e34567. </w:t>
      </w:r>
    </w:p>
    <w:p w14:paraId="2E7605B6" w14:textId="77777777" w:rsidR="002B1C9C" w:rsidRPr="002B1C9C" w:rsidRDefault="002B1C9C" w:rsidP="00E77838">
      <w:pPr>
        <w:spacing w:line="360" w:lineRule="auto"/>
        <w:ind w:left="720" w:hanging="720"/>
        <w:rPr>
          <w:lang w:val="en-GB"/>
        </w:rPr>
      </w:pPr>
      <w:proofErr w:type="spellStart"/>
      <w:r w:rsidRPr="002B1C9C">
        <w:rPr>
          <w:lang w:val="en-GB"/>
        </w:rPr>
        <w:t>Schiltz</w:t>
      </w:r>
      <w:proofErr w:type="spellEnd"/>
      <w:r w:rsidRPr="002B1C9C">
        <w:rPr>
          <w:lang w:val="en-GB"/>
        </w:rPr>
        <w:t xml:space="preserve">, H.K., et al. (2024) ‘Anxiety disorders in autistic people: a narrative review of prevalence, assessment and treatment’, Autism Research, 17(5), pp. 654–670. </w:t>
      </w:r>
      <w:proofErr w:type="spellStart"/>
      <w:r w:rsidRPr="002B1C9C">
        <w:rPr>
          <w:lang w:val="en-GB"/>
        </w:rPr>
        <w:t>doi</w:t>
      </w:r>
      <w:proofErr w:type="spellEnd"/>
      <w:r w:rsidRPr="002B1C9C">
        <w:rPr>
          <w:lang w:val="en-GB"/>
        </w:rPr>
        <w:t>: 10.1002/aur.2830.</w:t>
      </w:r>
    </w:p>
    <w:p w14:paraId="00C5F109" w14:textId="77777777" w:rsidR="002B1C9C" w:rsidRPr="002B1C9C" w:rsidRDefault="002B1C9C" w:rsidP="00E77838">
      <w:pPr>
        <w:spacing w:line="360" w:lineRule="auto"/>
        <w:ind w:left="720" w:hanging="720"/>
        <w:rPr>
          <w:lang w:val="en-GB"/>
        </w:rPr>
      </w:pPr>
      <w:r w:rsidRPr="002B1C9C">
        <w:rPr>
          <w:lang w:val="en-GB"/>
        </w:rPr>
        <w:t>WHO (2024). Clinical descriptions and diagnostic requirements for ICD-11 mental, behavioural and neurodevelopmental disorders. Geneva: World Health Organization. Available at: https://iris.who.int/bitstream/handle/10665/375767/WHO-MHP-24.1-eng.pdf (Accessed: 13 October 2025).</w:t>
      </w:r>
    </w:p>
    <w:p w14:paraId="44BC988C" w14:textId="77777777" w:rsidR="002B1C9C" w:rsidRPr="002B1C9C" w:rsidRDefault="002B1C9C" w:rsidP="00E77838">
      <w:pPr>
        <w:spacing w:line="360" w:lineRule="auto"/>
        <w:ind w:left="720" w:hanging="720"/>
        <w:rPr>
          <w:lang w:val="en-GB"/>
        </w:rPr>
      </w:pPr>
      <w:r w:rsidRPr="002B1C9C">
        <w:rPr>
          <w:lang w:val="en-GB"/>
        </w:rPr>
        <w:t xml:space="preserve">World Health Organization (2021). </w:t>
      </w:r>
      <w:proofErr w:type="spellStart"/>
      <w:r w:rsidRPr="002B1C9C">
        <w:rPr>
          <w:lang w:val="en-GB"/>
        </w:rPr>
        <w:t>mhGAP</w:t>
      </w:r>
      <w:proofErr w:type="spellEnd"/>
      <w:r w:rsidRPr="002B1C9C">
        <w:rPr>
          <w:lang w:val="en-GB"/>
        </w:rPr>
        <w:t xml:space="preserve"> Intervention Guide: Mental Health Gap Action Programme (</w:t>
      </w:r>
      <w:proofErr w:type="spellStart"/>
      <w:r w:rsidRPr="002B1C9C">
        <w:rPr>
          <w:lang w:val="en-GB"/>
        </w:rPr>
        <w:t>mhGAP</w:t>
      </w:r>
      <w:proofErr w:type="spellEnd"/>
      <w:r w:rsidRPr="002B1C9C">
        <w:rPr>
          <w:lang w:val="en-GB"/>
        </w:rPr>
        <w:t>)–Implementation and research updates. Geneva: WHO. (Accessed: 13 October 2025).</w:t>
      </w:r>
    </w:p>
    <w:p w14:paraId="1D50F6F6" w14:textId="79BB97C9" w:rsidR="00491626" w:rsidRPr="00491626" w:rsidRDefault="00491626" w:rsidP="00E77838">
      <w:pPr>
        <w:pStyle w:val="Bibliography"/>
        <w:spacing w:line="360" w:lineRule="auto"/>
        <w:rPr>
          <w:rFonts w:cs="Arial"/>
        </w:rPr>
      </w:pPr>
    </w:p>
    <w:p w14:paraId="15516FF6" w14:textId="10892BD3" w:rsidR="001B082C" w:rsidRPr="001B082C" w:rsidRDefault="001B082C" w:rsidP="00E77838">
      <w:pPr>
        <w:spacing w:line="360" w:lineRule="auto"/>
        <w:rPr>
          <w:lang w:val="en-GB"/>
        </w:rPr>
      </w:pPr>
    </w:p>
    <w:sectPr w:rsidR="001B082C" w:rsidRPr="001B08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C7BEF"/>
    <w:multiLevelType w:val="multilevel"/>
    <w:tmpl w:val="0BFAEE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EwMrI0NbU0MjA0NLFU0lEKTi0uzszPAykwrAUAaokAaiwAAAA="/>
  </w:docVars>
  <w:rsids>
    <w:rsidRoot w:val="00E618E0"/>
    <w:rsid w:val="00027119"/>
    <w:rsid w:val="0008080A"/>
    <w:rsid w:val="00096C31"/>
    <w:rsid w:val="001B082C"/>
    <w:rsid w:val="001C2095"/>
    <w:rsid w:val="0020454F"/>
    <w:rsid w:val="00221AD2"/>
    <w:rsid w:val="00270555"/>
    <w:rsid w:val="002B1C9C"/>
    <w:rsid w:val="002E74E6"/>
    <w:rsid w:val="00343030"/>
    <w:rsid w:val="0042509D"/>
    <w:rsid w:val="00491626"/>
    <w:rsid w:val="00491A81"/>
    <w:rsid w:val="005C02DB"/>
    <w:rsid w:val="0064745D"/>
    <w:rsid w:val="00653BB3"/>
    <w:rsid w:val="006B34AC"/>
    <w:rsid w:val="00717CE2"/>
    <w:rsid w:val="00720CC5"/>
    <w:rsid w:val="0074423A"/>
    <w:rsid w:val="007F145D"/>
    <w:rsid w:val="008948C6"/>
    <w:rsid w:val="008F2AF2"/>
    <w:rsid w:val="00AD327C"/>
    <w:rsid w:val="00AE627D"/>
    <w:rsid w:val="00B161EC"/>
    <w:rsid w:val="00C2319D"/>
    <w:rsid w:val="00C71523"/>
    <w:rsid w:val="00CF403B"/>
    <w:rsid w:val="00D318D1"/>
    <w:rsid w:val="00D45FBC"/>
    <w:rsid w:val="00D53D61"/>
    <w:rsid w:val="00DD064B"/>
    <w:rsid w:val="00E618E0"/>
    <w:rsid w:val="00E77838"/>
    <w:rsid w:val="00ED7286"/>
    <w:rsid w:val="00EE279B"/>
    <w:rsid w:val="00F56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B6A167"/>
  <w15:chartTrackingRefBased/>
  <w15:docId w15:val="{B4F54219-C32B-475C-91F8-241A98316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CC5"/>
    <w:pPr>
      <w:spacing w:after="160" w:line="259" w:lineRule="auto"/>
    </w:pPr>
    <w:rPr>
      <w:rFonts w:ascii="Arial" w:hAnsi="Arial"/>
      <w:lang w:val="en-US"/>
    </w:rPr>
  </w:style>
  <w:style w:type="paragraph" w:styleId="Heading1">
    <w:name w:val="heading 1"/>
    <w:basedOn w:val="Normal"/>
    <w:next w:val="Normal"/>
    <w:link w:val="Heading1Char"/>
    <w:autoRedefine/>
    <w:uiPriority w:val="9"/>
    <w:qFormat/>
    <w:rsid w:val="00027119"/>
    <w:pPr>
      <w:keepNext/>
      <w:keepLines/>
      <w:numPr>
        <w:numId w:val="2"/>
      </w:numPr>
      <w:spacing w:before="360" w:after="80"/>
      <w:outlineLvl w:val="0"/>
    </w:pPr>
    <w:rPr>
      <w:rFonts w:eastAsiaTheme="majorEastAsia" w:cstheme="majorBidi"/>
      <w:b/>
      <w:sz w:val="24"/>
      <w:szCs w:val="40"/>
    </w:rPr>
  </w:style>
  <w:style w:type="paragraph" w:styleId="Heading2">
    <w:name w:val="heading 2"/>
    <w:basedOn w:val="Normal"/>
    <w:next w:val="Normal"/>
    <w:link w:val="Heading2Char"/>
    <w:autoRedefine/>
    <w:uiPriority w:val="9"/>
    <w:unhideWhenUsed/>
    <w:qFormat/>
    <w:rsid w:val="00027119"/>
    <w:pPr>
      <w:keepNext/>
      <w:keepLines/>
      <w:numPr>
        <w:ilvl w:val="1"/>
        <w:numId w:val="1"/>
      </w:numPr>
      <w:spacing w:before="160" w:after="80"/>
      <w:outlineLvl w:val="1"/>
    </w:pPr>
    <w:rPr>
      <w:rFonts w:eastAsiaTheme="majorEastAsia" w:cstheme="majorBidi"/>
      <w:b/>
      <w:sz w:val="24"/>
      <w:szCs w:val="32"/>
    </w:rPr>
  </w:style>
  <w:style w:type="paragraph" w:styleId="Heading3">
    <w:name w:val="heading 3"/>
    <w:basedOn w:val="Normal"/>
    <w:next w:val="Normal"/>
    <w:link w:val="Heading3Char"/>
    <w:autoRedefine/>
    <w:uiPriority w:val="9"/>
    <w:unhideWhenUsed/>
    <w:qFormat/>
    <w:rsid w:val="0042509D"/>
    <w:pPr>
      <w:keepNext/>
      <w:keepLines/>
      <w:spacing w:before="160" w:after="80"/>
      <w:outlineLvl w:val="2"/>
    </w:pPr>
    <w:rPr>
      <w:rFonts w:eastAsiaTheme="majorEastAsia" w:cstheme="majorBidi"/>
      <w:i/>
      <w:sz w:val="24"/>
      <w:szCs w:val="28"/>
    </w:rPr>
  </w:style>
  <w:style w:type="paragraph" w:styleId="Heading4">
    <w:name w:val="heading 4"/>
    <w:basedOn w:val="Normal"/>
    <w:next w:val="Normal"/>
    <w:link w:val="Heading4Char"/>
    <w:uiPriority w:val="9"/>
    <w:semiHidden/>
    <w:unhideWhenUsed/>
    <w:qFormat/>
    <w:rsid w:val="00E618E0"/>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618E0"/>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E618E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618E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618E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618E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119"/>
    <w:rPr>
      <w:rFonts w:ascii="Arial" w:eastAsiaTheme="majorEastAsia" w:hAnsi="Arial" w:cstheme="majorBidi"/>
      <w:b/>
      <w:sz w:val="24"/>
      <w:szCs w:val="40"/>
    </w:rPr>
  </w:style>
  <w:style w:type="character" w:customStyle="1" w:styleId="Heading2Char">
    <w:name w:val="Heading 2 Char"/>
    <w:basedOn w:val="DefaultParagraphFont"/>
    <w:link w:val="Heading2"/>
    <w:uiPriority w:val="9"/>
    <w:rsid w:val="00027119"/>
    <w:rPr>
      <w:rFonts w:ascii="Arial" w:eastAsiaTheme="majorEastAsia" w:hAnsi="Arial" w:cstheme="majorBidi"/>
      <w:b/>
      <w:sz w:val="24"/>
      <w:szCs w:val="32"/>
    </w:rPr>
  </w:style>
  <w:style w:type="character" w:customStyle="1" w:styleId="Heading3Char">
    <w:name w:val="Heading 3 Char"/>
    <w:basedOn w:val="DefaultParagraphFont"/>
    <w:link w:val="Heading3"/>
    <w:uiPriority w:val="9"/>
    <w:rsid w:val="0042509D"/>
    <w:rPr>
      <w:rFonts w:ascii="Arial" w:eastAsiaTheme="majorEastAsia" w:hAnsi="Arial" w:cstheme="majorBidi"/>
      <w:i/>
      <w:sz w:val="24"/>
      <w:szCs w:val="28"/>
    </w:rPr>
  </w:style>
  <w:style w:type="paragraph" w:styleId="Caption">
    <w:name w:val="caption"/>
    <w:basedOn w:val="Normal"/>
    <w:next w:val="Normal"/>
    <w:autoRedefine/>
    <w:uiPriority w:val="35"/>
    <w:unhideWhenUsed/>
    <w:qFormat/>
    <w:rsid w:val="008948C6"/>
    <w:pPr>
      <w:spacing w:after="200" w:line="240" w:lineRule="auto"/>
      <w:jc w:val="center"/>
    </w:pPr>
    <w:rPr>
      <w:i/>
      <w:iCs/>
      <w:szCs w:val="18"/>
    </w:rPr>
  </w:style>
  <w:style w:type="character" w:customStyle="1" w:styleId="Heading4Char">
    <w:name w:val="Heading 4 Char"/>
    <w:basedOn w:val="DefaultParagraphFont"/>
    <w:link w:val="Heading4"/>
    <w:uiPriority w:val="9"/>
    <w:semiHidden/>
    <w:rsid w:val="00E618E0"/>
    <w:rPr>
      <w:rFonts w:eastAsiaTheme="majorEastAsia" w:cstheme="majorBidi"/>
      <w:i/>
      <w:iCs/>
      <w:color w:val="365F91" w:themeColor="accent1" w:themeShade="BF"/>
      <w:lang w:val="en-US"/>
    </w:rPr>
  </w:style>
  <w:style w:type="character" w:customStyle="1" w:styleId="Heading5Char">
    <w:name w:val="Heading 5 Char"/>
    <w:basedOn w:val="DefaultParagraphFont"/>
    <w:link w:val="Heading5"/>
    <w:uiPriority w:val="9"/>
    <w:semiHidden/>
    <w:rsid w:val="00E618E0"/>
    <w:rPr>
      <w:rFonts w:eastAsiaTheme="majorEastAsia" w:cstheme="majorBidi"/>
      <w:color w:val="365F91" w:themeColor="accent1" w:themeShade="BF"/>
      <w:lang w:val="en-US"/>
    </w:rPr>
  </w:style>
  <w:style w:type="character" w:customStyle="1" w:styleId="Heading6Char">
    <w:name w:val="Heading 6 Char"/>
    <w:basedOn w:val="DefaultParagraphFont"/>
    <w:link w:val="Heading6"/>
    <w:uiPriority w:val="9"/>
    <w:semiHidden/>
    <w:rsid w:val="00E618E0"/>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E618E0"/>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E618E0"/>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E618E0"/>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E618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8E0"/>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E618E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8E0"/>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E618E0"/>
    <w:pPr>
      <w:spacing w:before="160"/>
      <w:jc w:val="center"/>
    </w:pPr>
    <w:rPr>
      <w:i/>
      <w:iCs/>
      <w:color w:val="404040" w:themeColor="text1" w:themeTint="BF"/>
    </w:rPr>
  </w:style>
  <w:style w:type="character" w:customStyle="1" w:styleId="QuoteChar">
    <w:name w:val="Quote Char"/>
    <w:basedOn w:val="DefaultParagraphFont"/>
    <w:link w:val="Quote"/>
    <w:uiPriority w:val="29"/>
    <w:rsid w:val="00E618E0"/>
    <w:rPr>
      <w:rFonts w:ascii="Arial" w:hAnsi="Arial"/>
      <w:i/>
      <w:iCs/>
      <w:color w:val="404040" w:themeColor="text1" w:themeTint="BF"/>
      <w:lang w:val="en-US"/>
    </w:rPr>
  </w:style>
  <w:style w:type="paragraph" w:styleId="ListParagraph">
    <w:name w:val="List Paragraph"/>
    <w:basedOn w:val="Normal"/>
    <w:uiPriority w:val="34"/>
    <w:qFormat/>
    <w:rsid w:val="00E618E0"/>
    <w:pPr>
      <w:ind w:left="720"/>
      <w:contextualSpacing/>
    </w:pPr>
  </w:style>
  <w:style w:type="character" w:styleId="IntenseEmphasis">
    <w:name w:val="Intense Emphasis"/>
    <w:basedOn w:val="DefaultParagraphFont"/>
    <w:uiPriority w:val="21"/>
    <w:qFormat/>
    <w:rsid w:val="00E618E0"/>
    <w:rPr>
      <w:i/>
      <w:iCs/>
      <w:color w:val="365F91" w:themeColor="accent1" w:themeShade="BF"/>
    </w:rPr>
  </w:style>
  <w:style w:type="paragraph" w:styleId="IntenseQuote">
    <w:name w:val="Intense Quote"/>
    <w:basedOn w:val="Normal"/>
    <w:next w:val="Normal"/>
    <w:link w:val="IntenseQuoteChar"/>
    <w:uiPriority w:val="30"/>
    <w:qFormat/>
    <w:rsid w:val="00E618E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618E0"/>
    <w:rPr>
      <w:rFonts w:ascii="Arial" w:hAnsi="Arial"/>
      <w:i/>
      <w:iCs/>
      <w:color w:val="365F91" w:themeColor="accent1" w:themeShade="BF"/>
      <w:lang w:val="en-US"/>
    </w:rPr>
  </w:style>
  <w:style w:type="character" w:styleId="IntenseReference">
    <w:name w:val="Intense Reference"/>
    <w:basedOn w:val="DefaultParagraphFont"/>
    <w:uiPriority w:val="32"/>
    <w:qFormat/>
    <w:rsid w:val="00E618E0"/>
    <w:rPr>
      <w:b/>
      <w:bCs/>
      <w:smallCaps/>
      <w:color w:val="365F91" w:themeColor="accent1" w:themeShade="BF"/>
      <w:spacing w:val="5"/>
    </w:rPr>
  </w:style>
  <w:style w:type="paragraph" w:styleId="TOCHeading">
    <w:name w:val="TOC Heading"/>
    <w:basedOn w:val="Heading1"/>
    <w:next w:val="Normal"/>
    <w:uiPriority w:val="39"/>
    <w:unhideWhenUsed/>
    <w:qFormat/>
    <w:rsid w:val="00E618E0"/>
    <w:pPr>
      <w:numPr>
        <w:numId w:val="0"/>
      </w:numPr>
      <w:spacing w:before="240" w:after="0"/>
      <w:jc w:val="left"/>
      <w:outlineLvl w:val="9"/>
    </w:pPr>
    <w:rPr>
      <w:rFonts w:asciiTheme="majorHAnsi" w:hAnsiTheme="majorHAnsi"/>
      <w:b w:val="0"/>
      <w:color w:val="365F91" w:themeColor="accent1" w:themeShade="BF"/>
      <w:sz w:val="32"/>
      <w:szCs w:val="32"/>
    </w:rPr>
  </w:style>
  <w:style w:type="paragraph" w:styleId="TOC1">
    <w:name w:val="toc 1"/>
    <w:basedOn w:val="Normal"/>
    <w:next w:val="Normal"/>
    <w:autoRedefine/>
    <w:uiPriority w:val="39"/>
    <w:unhideWhenUsed/>
    <w:rsid w:val="001C2095"/>
    <w:pPr>
      <w:spacing w:after="100"/>
    </w:pPr>
  </w:style>
  <w:style w:type="character" w:styleId="Hyperlink">
    <w:name w:val="Hyperlink"/>
    <w:basedOn w:val="DefaultParagraphFont"/>
    <w:uiPriority w:val="99"/>
    <w:unhideWhenUsed/>
    <w:rsid w:val="001C2095"/>
    <w:rPr>
      <w:color w:val="0000FF" w:themeColor="hyperlink"/>
      <w:u w:val="single"/>
    </w:rPr>
  </w:style>
  <w:style w:type="paragraph" w:styleId="NormalWeb">
    <w:name w:val="Normal (Web)"/>
    <w:basedOn w:val="Normal"/>
    <w:uiPriority w:val="99"/>
    <w:semiHidden/>
    <w:unhideWhenUsed/>
    <w:rsid w:val="00C71523"/>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C71523"/>
    <w:rPr>
      <w:b/>
      <w:bCs/>
    </w:rPr>
  </w:style>
  <w:style w:type="character" w:styleId="Emphasis">
    <w:name w:val="Emphasis"/>
    <w:basedOn w:val="DefaultParagraphFont"/>
    <w:uiPriority w:val="20"/>
    <w:qFormat/>
    <w:rsid w:val="00C71523"/>
    <w:rPr>
      <w:i/>
      <w:iCs/>
    </w:rPr>
  </w:style>
  <w:style w:type="paragraph" w:styleId="Bibliography">
    <w:name w:val="Bibliography"/>
    <w:basedOn w:val="Normal"/>
    <w:next w:val="Normal"/>
    <w:uiPriority w:val="37"/>
    <w:unhideWhenUsed/>
    <w:rsid w:val="00491626"/>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11C25-CAE5-4EAF-B174-F0A760297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3361</Words>
  <Characters>19164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Manpreet Kaur (2246813)</cp:lastModifiedBy>
  <cp:revision>2</cp:revision>
  <dcterms:created xsi:type="dcterms:W3CDTF">2025-10-30T16:49:00Z</dcterms:created>
  <dcterms:modified xsi:type="dcterms:W3CDTF">2025-10-30T16:49:00Z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aebb7785-b5ce-495a-9b60-14b66a1b6efb</vt:lpwstr>
  </property>
  <property fmtid="{D5CDD505-2E9C-101B-9397-08002B2CF9AE}" pid="3" name="ZOTERO_PREF_1">
    <vt:lpwstr>&lt;data data-version="3" zotero-version="7.0.24"&gt;&lt;session id="pz0DTx8x"/&gt;&lt;style id="http://www.zotero.org/styles/harvard-cite-them-right" locale="en-GB" hasBibliography="1" bibliographyStyleHasBeenSet="1"/&gt;&lt;prefs&gt;&lt;pref name="fieldType" value="Field"/&gt;&lt;/pref</vt:lpwstr>
  </property>
  <property fmtid="{D5CDD505-2E9C-101B-9397-08002B2CF9AE}" pid="4" name="ZOTERO_PREF_2">
    <vt:lpwstr>s&gt;&lt;/data&gt;</vt:lpwstr>
  </property>
</Properties>
</file>