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694B30" w14:textId="310E7563" w:rsidR="00FB6FDD" w:rsidRPr="00CC5E1C" w:rsidRDefault="00FB6FDD" w:rsidP="00FB6FDD">
      <w:pPr>
        <w:spacing w:line="360" w:lineRule="auto"/>
        <w:jc w:val="both"/>
        <w:rPr>
          <w:rFonts w:ascii="Arial" w:eastAsia="Arial" w:hAnsi="Arial" w:cs="Arial"/>
          <w:b/>
          <w:bCs/>
          <w:sz w:val="24"/>
          <w:szCs w:val="24"/>
        </w:rPr>
      </w:pPr>
      <w:r w:rsidRPr="00CC5E1C">
        <w:rPr>
          <w:rFonts w:ascii="Arial" w:eastAsia="Arial" w:hAnsi="Arial" w:cs="Arial"/>
          <w:b/>
          <w:bCs/>
          <w:sz w:val="24"/>
          <w:szCs w:val="24"/>
        </w:rPr>
        <w:t xml:space="preserve">Effective Study Skills </w:t>
      </w:r>
      <w:r w:rsidR="00CC5E1C" w:rsidRPr="00CC5E1C">
        <w:rPr>
          <w:rFonts w:ascii="Arial" w:eastAsia="Arial" w:hAnsi="Arial" w:cs="Arial"/>
          <w:b/>
          <w:bCs/>
          <w:sz w:val="24"/>
          <w:szCs w:val="24"/>
        </w:rPr>
        <w:t>for</w:t>
      </w:r>
      <w:r w:rsidRPr="00CC5E1C">
        <w:rPr>
          <w:rFonts w:ascii="Arial" w:eastAsia="Arial" w:hAnsi="Arial" w:cs="Arial"/>
          <w:b/>
          <w:bCs/>
          <w:sz w:val="24"/>
          <w:szCs w:val="24"/>
        </w:rPr>
        <w:t xml:space="preserve"> Academic Studies</w:t>
      </w:r>
    </w:p>
    <w:p w14:paraId="6F7674C2" w14:textId="4777C630" w:rsidR="00FB6FDD" w:rsidRPr="00CC5E1C" w:rsidRDefault="00FB6FDD" w:rsidP="00FB6FDD">
      <w:pPr>
        <w:spacing w:line="360" w:lineRule="auto"/>
        <w:jc w:val="both"/>
        <w:rPr>
          <w:rFonts w:ascii="Arial" w:eastAsia="Arial" w:hAnsi="Arial" w:cs="Arial"/>
          <w:b/>
          <w:bCs/>
          <w:sz w:val="24"/>
          <w:szCs w:val="24"/>
        </w:rPr>
      </w:pPr>
      <w:r w:rsidRPr="00CC5E1C">
        <w:rPr>
          <w:rFonts w:ascii="Arial" w:eastAsia="Arial" w:hAnsi="Arial" w:cs="Arial"/>
          <w:b/>
          <w:bCs/>
          <w:sz w:val="24"/>
          <w:szCs w:val="24"/>
        </w:rPr>
        <w:t>Introduction</w:t>
      </w:r>
    </w:p>
    <w:p w14:paraId="2E6A2E4A" w14:textId="77777777" w:rsidR="00FB6FDD" w:rsidRPr="00FB6FDD" w:rsidRDefault="00FB6FDD" w:rsidP="00FB6FDD">
      <w:pPr>
        <w:spacing w:line="360" w:lineRule="auto"/>
        <w:jc w:val="both"/>
        <w:rPr>
          <w:rFonts w:ascii="Arial" w:eastAsia="Arial" w:hAnsi="Arial" w:cs="Arial"/>
          <w:sz w:val="24"/>
          <w:szCs w:val="24"/>
        </w:rPr>
      </w:pPr>
      <w:r w:rsidRPr="00FB6FDD">
        <w:rPr>
          <w:rFonts w:ascii="Arial" w:eastAsia="Arial" w:hAnsi="Arial" w:cs="Arial"/>
          <w:sz w:val="24"/>
          <w:szCs w:val="24"/>
        </w:rPr>
        <w:t>Effective reading, critical thinking, and reflective learning are essential study skills that empower students in their academic journey (Moore, S. 2010). Combined with these study skills, students can effectively apply techniques to optimize their academic experience and beyond. The following essay will delve into the crucial study skills of critical thinking, reflective learning, and effective reading. Exploring how the synergy of these skills enhances students' academic success.</w:t>
      </w:r>
    </w:p>
    <w:p w14:paraId="3A7E9171" w14:textId="12BA1CCD" w:rsidR="00FB6FDD" w:rsidRPr="00CC5E1C" w:rsidRDefault="00FB6FDD" w:rsidP="00FB6FDD">
      <w:pPr>
        <w:spacing w:line="360" w:lineRule="auto"/>
        <w:jc w:val="both"/>
        <w:rPr>
          <w:rFonts w:ascii="Arial" w:eastAsia="Arial" w:hAnsi="Arial" w:cs="Arial"/>
          <w:b/>
          <w:bCs/>
          <w:sz w:val="24"/>
          <w:szCs w:val="24"/>
        </w:rPr>
      </w:pPr>
      <w:r w:rsidRPr="00CC5E1C">
        <w:rPr>
          <w:rFonts w:ascii="Arial" w:eastAsia="Arial" w:hAnsi="Arial" w:cs="Arial"/>
          <w:b/>
          <w:bCs/>
          <w:sz w:val="24"/>
          <w:szCs w:val="24"/>
        </w:rPr>
        <w:t>Nurturing Effective reading</w:t>
      </w:r>
    </w:p>
    <w:p w14:paraId="249E7D9C" w14:textId="77777777" w:rsidR="00FB6FDD" w:rsidRPr="00FB6FDD" w:rsidRDefault="00FB6FDD" w:rsidP="00FB6FDD">
      <w:pPr>
        <w:spacing w:line="360" w:lineRule="auto"/>
        <w:jc w:val="both"/>
        <w:rPr>
          <w:rFonts w:ascii="Arial" w:eastAsia="Arial" w:hAnsi="Arial" w:cs="Arial"/>
          <w:sz w:val="24"/>
          <w:szCs w:val="24"/>
        </w:rPr>
      </w:pPr>
      <w:r w:rsidRPr="00FB6FDD">
        <w:rPr>
          <w:rFonts w:ascii="Arial" w:eastAsia="Arial" w:hAnsi="Arial" w:cs="Arial"/>
          <w:sz w:val="24"/>
          <w:szCs w:val="24"/>
        </w:rPr>
        <w:t>Effective reading is essential and beneficial in optimising the reader’s study. It allows for efficient and selective reading without students wasting time on irrelevant content (Wallace and Wray 2021, p. 27).</w:t>
      </w:r>
    </w:p>
    <w:p w14:paraId="6F45902D" w14:textId="77777777" w:rsidR="00FB6FDD" w:rsidRPr="00FB6FDD" w:rsidRDefault="00FB6FDD" w:rsidP="00FB6FDD">
      <w:pPr>
        <w:spacing w:line="360" w:lineRule="auto"/>
        <w:jc w:val="both"/>
        <w:rPr>
          <w:rFonts w:ascii="Arial" w:eastAsia="Arial" w:hAnsi="Arial" w:cs="Arial"/>
          <w:sz w:val="24"/>
          <w:szCs w:val="24"/>
        </w:rPr>
      </w:pPr>
      <w:r w:rsidRPr="00FB6FDD">
        <w:rPr>
          <w:rFonts w:ascii="Arial" w:eastAsia="Arial" w:hAnsi="Arial" w:cs="Arial"/>
          <w:sz w:val="24"/>
          <w:szCs w:val="24"/>
        </w:rPr>
        <w:t xml:space="preserve">For example, research conducted by Thurston, et al. (2020) reveals promising links between reading instruction and the positive impact on students’ reading comprehension, overall literacy and reading accuracy. The study not only highlights these benefits but also examined various student behaviours. </w:t>
      </w:r>
    </w:p>
    <w:p w14:paraId="5AB90BA0" w14:textId="77777777" w:rsidR="00FB6FDD" w:rsidRPr="00FB6FDD" w:rsidRDefault="00FB6FDD" w:rsidP="00FB6FDD">
      <w:pPr>
        <w:spacing w:line="360" w:lineRule="auto"/>
        <w:jc w:val="both"/>
        <w:rPr>
          <w:rFonts w:ascii="Arial" w:eastAsia="Arial" w:hAnsi="Arial" w:cs="Arial"/>
          <w:sz w:val="24"/>
          <w:szCs w:val="24"/>
        </w:rPr>
      </w:pPr>
      <w:r w:rsidRPr="00FB6FDD">
        <w:rPr>
          <w:rFonts w:ascii="Arial" w:eastAsia="Arial" w:hAnsi="Arial" w:cs="Arial"/>
          <w:sz w:val="24"/>
          <w:szCs w:val="24"/>
        </w:rPr>
        <w:t xml:space="preserve">The study observed student behaviours in areas such as: Prediction of what happens next in the text read; Clarifying text; Checking understanding through questioning and summarising text that had been read. These observations reinforce the impact that reading as a study skill, can play a pivotal role in the development of a student’s academic development, particularly in the areas of literacy and comprehension. </w:t>
      </w:r>
    </w:p>
    <w:p w14:paraId="07FFEDF1" w14:textId="77777777" w:rsidR="00FB6FDD" w:rsidRPr="00FB6FDD" w:rsidRDefault="00FB6FDD" w:rsidP="00FB6FDD">
      <w:pPr>
        <w:spacing w:line="360" w:lineRule="auto"/>
        <w:jc w:val="both"/>
        <w:rPr>
          <w:rFonts w:ascii="Arial" w:eastAsia="Arial" w:hAnsi="Arial" w:cs="Arial"/>
          <w:sz w:val="24"/>
          <w:szCs w:val="24"/>
        </w:rPr>
      </w:pPr>
      <w:r w:rsidRPr="00FB6FDD">
        <w:rPr>
          <w:rFonts w:ascii="Arial" w:eastAsia="Arial" w:hAnsi="Arial" w:cs="Arial"/>
          <w:sz w:val="24"/>
          <w:szCs w:val="24"/>
        </w:rPr>
        <w:t>Moreover, Cottrell (2019, p. 213) stresses two critical points. Firstly, reading occupies a significant majority of a learner’s independent study time, especially in the context of Higher Education. Secondly, Higher Education brings on more challenging levels of reading, which can present a greater challenge to students.</w:t>
      </w:r>
    </w:p>
    <w:p w14:paraId="0057F0D9" w14:textId="77777777" w:rsidR="00FB6FDD" w:rsidRPr="00FB6FDD" w:rsidRDefault="00FB6FDD" w:rsidP="00FB6FDD">
      <w:pPr>
        <w:spacing w:line="360" w:lineRule="auto"/>
        <w:jc w:val="both"/>
        <w:rPr>
          <w:rFonts w:ascii="Arial" w:eastAsia="Arial" w:hAnsi="Arial" w:cs="Arial"/>
          <w:sz w:val="24"/>
          <w:szCs w:val="24"/>
        </w:rPr>
      </w:pPr>
      <w:r w:rsidRPr="00FB6FDD">
        <w:rPr>
          <w:rFonts w:ascii="Arial" w:eastAsia="Arial" w:hAnsi="Arial" w:cs="Arial"/>
          <w:sz w:val="24"/>
          <w:szCs w:val="24"/>
        </w:rPr>
        <w:t xml:space="preserve">Accordingly, Bedford and Wilson (2020, p. 28), emphasise the importance of regular practice, to enhance a student’s proficiency in reading with comprehension. Similarly, </w:t>
      </w:r>
      <w:r w:rsidRPr="00FB6FDD">
        <w:rPr>
          <w:rFonts w:ascii="Arial" w:eastAsia="Arial" w:hAnsi="Arial" w:cs="Arial"/>
          <w:sz w:val="24"/>
          <w:szCs w:val="24"/>
        </w:rPr>
        <w:lastRenderedPageBreak/>
        <w:t>Godfrey (2018) maintains that reading and understanding hold crucial roles in an academic student’s journey.</w:t>
      </w:r>
    </w:p>
    <w:p w14:paraId="48BF7472" w14:textId="77777777" w:rsidR="00FB6FDD" w:rsidRPr="00FB6FDD" w:rsidRDefault="00FB6FDD" w:rsidP="00FB6FDD">
      <w:pPr>
        <w:spacing w:line="360" w:lineRule="auto"/>
        <w:jc w:val="both"/>
        <w:rPr>
          <w:rFonts w:ascii="Arial" w:eastAsia="Arial" w:hAnsi="Arial" w:cs="Arial"/>
          <w:sz w:val="24"/>
          <w:szCs w:val="24"/>
        </w:rPr>
      </w:pPr>
      <w:r w:rsidRPr="00FB6FDD">
        <w:rPr>
          <w:rFonts w:ascii="Arial" w:eastAsia="Arial" w:hAnsi="Arial" w:cs="Arial"/>
          <w:sz w:val="24"/>
          <w:szCs w:val="24"/>
        </w:rPr>
        <w:t>To summarise, it is believed that effective reading is a study skill that plays a significant function for any learner, and as a result should be nurtured and refined to take the students reading abilities to a higher level.</w:t>
      </w:r>
    </w:p>
    <w:p w14:paraId="73E31B6B" w14:textId="77777777" w:rsidR="00FB6FDD" w:rsidRPr="00CC5E1C" w:rsidRDefault="00FB6FDD" w:rsidP="00FB6FDD">
      <w:pPr>
        <w:spacing w:line="360" w:lineRule="auto"/>
        <w:jc w:val="both"/>
        <w:rPr>
          <w:rFonts w:ascii="Arial" w:eastAsia="Arial" w:hAnsi="Arial" w:cs="Arial"/>
          <w:b/>
          <w:bCs/>
          <w:sz w:val="24"/>
          <w:szCs w:val="24"/>
        </w:rPr>
      </w:pPr>
      <w:r w:rsidRPr="00CC5E1C">
        <w:rPr>
          <w:rFonts w:ascii="Arial" w:eastAsia="Arial" w:hAnsi="Arial" w:cs="Arial"/>
          <w:b/>
          <w:bCs/>
          <w:sz w:val="24"/>
          <w:szCs w:val="24"/>
        </w:rPr>
        <w:t>Fostering Critical Thinking</w:t>
      </w:r>
    </w:p>
    <w:p w14:paraId="6A9FD693" w14:textId="77777777" w:rsidR="00FB6FDD" w:rsidRPr="00FB6FDD" w:rsidRDefault="00FB6FDD" w:rsidP="00FB6FDD">
      <w:pPr>
        <w:spacing w:line="360" w:lineRule="auto"/>
        <w:jc w:val="both"/>
        <w:rPr>
          <w:rFonts w:ascii="Arial" w:eastAsia="Arial" w:hAnsi="Arial" w:cs="Arial"/>
          <w:sz w:val="24"/>
          <w:szCs w:val="24"/>
        </w:rPr>
      </w:pPr>
      <w:r w:rsidRPr="00FB6FDD">
        <w:rPr>
          <w:rFonts w:ascii="Arial" w:eastAsia="Arial" w:hAnsi="Arial" w:cs="Arial"/>
          <w:sz w:val="24"/>
          <w:szCs w:val="24"/>
        </w:rPr>
        <w:t xml:space="preserve">Critical thinking skills are essential for the development of a sharper mind and prepares learners for academic growth by enhancing their ways of thinking. </w:t>
      </w:r>
    </w:p>
    <w:p w14:paraId="10F7A53D" w14:textId="77777777" w:rsidR="00FB6FDD" w:rsidRPr="00FB6FDD" w:rsidRDefault="00FB6FDD" w:rsidP="00FB6FDD">
      <w:pPr>
        <w:spacing w:line="360" w:lineRule="auto"/>
        <w:jc w:val="both"/>
        <w:rPr>
          <w:rFonts w:ascii="Arial" w:eastAsia="Arial" w:hAnsi="Arial" w:cs="Arial"/>
          <w:sz w:val="24"/>
          <w:szCs w:val="24"/>
        </w:rPr>
      </w:pPr>
      <w:r w:rsidRPr="00FB6FDD">
        <w:rPr>
          <w:rFonts w:ascii="Arial" w:eastAsia="Arial" w:hAnsi="Arial" w:cs="Arial"/>
          <w:sz w:val="24"/>
          <w:szCs w:val="24"/>
        </w:rPr>
        <w:t>To delve deeper, Cottrell (2017, p. 3) cites research by Kahneman (2012). Suggesting, people are highly susceptible to making assumptions, often arriving at irrational and uneducated conclusions. Moreover, Cottrell (2019, p. 253) believes that people have unconscious biases that prevent them from reaching objective conclusions. These factors put students within the context of academic study at risk of misinterpreting or overlooking relevant information.</w:t>
      </w:r>
    </w:p>
    <w:p w14:paraId="078AD4DA" w14:textId="77777777" w:rsidR="00FB6FDD" w:rsidRPr="00FB6FDD" w:rsidRDefault="00FB6FDD" w:rsidP="00FB6FDD">
      <w:pPr>
        <w:spacing w:line="360" w:lineRule="auto"/>
        <w:jc w:val="both"/>
        <w:rPr>
          <w:rFonts w:ascii="Arial" w:eastAsia="Arial" w:hAnsi="Arial" w:cs="Arial"/>
          <w:sz w:val="24"/>
          <w:szCs w:val="24"/>
        </w:rPr>
      </w:pPr>
      <w:r w:rsidRPr="00FB6FDD">
        <w:rPr>
          <w:rFonts w:ascii="Arial" w:eastAsia="Arial" w:hAnsi="Arial" w:cs="Arial"/>
          <w:sz w:val="24"/>
          <w:szCs w:val="24"/>
        </w:rPr>
        <w:t xml:space="preserve">Additionally, Wilson (2020, 1:29) brings our attention to factors such as personal beliefs and opinions that can influence and impede our ability to think critically. Wilson uses the examples of ‘The Sponge’ and ‘Panning for Gold’ as two thinking styles (Browne and Keeley, 2015), which align with Kahneman’s ‘System 1’ and ‘System 2’ for thinking. While ‘The Sponge’ and ‘System 1’ lean towards making decisions with minimal mental processing, often </w:t>
      </w:r>
      <w:proofErr w:type="spellStart"/>
      <w:r w:rsidRPr="00FB6FDD">
        <w:rPr>
          <w:rFonts w:ascii="Arial" w:eastAsia="Arial" w:hAnsi="Arial" w:cs="Arial"/>
          <w:sz w:val="24"/>
          <w:szCs w:val="24"/>
        </w:rPr>
        <w:t>prioritising</w:t>
      </w:r>
      <w:proofErr w:type="spellEnd"/>
      <w:r w:rsidRPr="00FB6FDD">
        <w:rPr>
          <w:rFonts w:ascii="Arial" w:eastAsia="Arial" w:hAnsi="Arial" w:cs="Arial"/>
          <w:sz w:val="24"/>
          <w:szCs w:val="24"/>
        </w:rPr>
        <w:t xml:space="preserve"> plausibility over accuracy. In contrast, ‘Panning for Gold’ and ‘System 2’ counterparts are more rationalised and apply aspects of what critical thinking should resemble, they examine information closely, inspect, and separate relevant and reliable information from the inaccurate.</w:t>
      </w:r>
    </w:p>
    <w:p w14:paraId="741471CE" w14:textId="77777777" w:rsidR="00FB6FDD" w:rsidRPr="00FB6FDD" w:rsidRDefault="00FB6FDD" w:rsidP="00FB6FDD">
      <w:pPr>
        <w:spacing w:line="360" w:lineRule="auto"/>
        <w:jc w:val="both"/>
        <w:rPr>
          <w:rFonts w:ascii="Arial" w:eastAsia="Arial" w:hAnsi="Arial" w:cs="Arial"/>
          <w:sz w:val="24"/>
          <w:szCs w:val="24"/>
        </w:rPr>
      </w:pPr>
      <w:r w:rsidRPr="00FB6FDD">
        <w:rPr>
          <w:rFonts w:ascii="Arial" w:eastAsia="Arial" w:hAnsi="Arial" w:cs="Arial"/>
          <w:sz w:val="24"/>
          <w:szCs w:val="24"/>
        </w:rPr>
        <w:t xml:space="preserve">In brief, this discussion illustrates the importance of critical thinking and how students in academic fields should </w:t>
      </w:r>
      <w:proofErr w:type="spellStart"/>
      <w:r w:rsidRPr="00FB6FDD">
        <w:rPr>
          <w:rFonts w:ascii="Arial" w:eastAsia="Arial" w:hAnsi="Arial" w:cs="Arial"/>
          <w:sz w:val="24"/>
          <w:szCs w:val="24"/>
        </w:rPr>
        <w:t>utilise</w:t>
      </w:r>
      <w:proofErr w:type="spellEnd"/>
      <w:r w:rsidRPr="00FB6FDD">
        <w:rPr>
          <w:rFonts w:ascii="Arial" w:eastAsia="Arial" w:hAnsi="Arial" w:cs="Arial"/>
          <w:sz w:val="24"/>
          <w:szCs w:val="24"/>
        </w:rPr>
        <w:t xml:space="preserve"> and develop their ability to think critically. Objectively, as </w:t>
      </w:r>
      <w:proofErr w:type="spellStart"/>
      <w:r w:rsidRPr="00FB6FDD">
        <w:rPr>
          <w:rFonts w:ascii="Arial" w:eastAsia="Arial" w:hAnsi="Arial" w:cs="Arial"/>
          <w:sz w:val="24"/>
          <w:szCs w:val="24"/>
        </w:rPr>
        <w:t>emphasised</w:t>
      </w:r>
      <w:proofErr w:type="spellEnd"/>
      <w:r w:rsidRPr="00FB6FDD">
        <w:rPr>
          <w:rFonts w:ascii="Arial" w:eastAsia="Arial" w:hAnsi="Arial" w:cs="Arial"/>
          <w:sz w:val="24"/>
          <w:szCs w:val="24"/>
        </w:rPr>
        <w:t xml:space="preserve"> by Moore (2010, p. 50), it allows learners to delve deeper, question assumptions, and refrain from taking anything for granted.</w:t>
      </w:r>
    </w:p>
    <w:p w14:paraId="4F5ED808" w14:textId="77777777" w:rsidR="00FB6FDD" w:rsidRPr="00CC5E1C" w:rsidRDefault="00FB6FDD" w:rsidP="00FB6FDD">
      <w:pPr>
        <w:spacing w:line="360" w:lineRule="auto"/>
        <w:jc w:val="both"/>
        <w:rPr>
          <w:rFonts w:ascii="Arial" w:eastAsia="Arial" w:hAnsi="Arial" w:cs="Arial"/>
          <w:b/>
          <w:bCs/>
          <w:sz w:val="24"/>
          <w:szCs w:val="24"/>
        </w:rPr>
      </w:pPr>
      <w:r w:rsidRPr="00CC5E1C">
        <w:rPr>
          <w:rFonts w:ascii="Arial" w:eastAsia="Arial" w:hAnsi="Arial" w:cs="Arial"/>
          <w:b/>
          <w:bCs/>
          <w:sz w:val="24"/>
          <w:szCs w:val="24"/>
        </w:rPr>
        <w:t>Cultivating Reflective Learning</w:t>
      </w:r>
    </w:p>
    <w:p w14:paraId="04928FD7" w14:textId="77777777" w:rsidR="00FB6FDD" w:rsidRPr="00FB6FDD" w:rsidRDefault="00FB6FDD" w:rsidP="00FB6FDD">
      <w:pPr>
        <w:spacing w:line="360" w:lineRule="auto"/>
        <w:jc w:val="both"/>
        <w:rPr>
          <w:rFonts w:ascii="Arial" w:eastAsia="Arial" w:hAnsi="Arial" w:cs="Arial"/>
          <w:sz w:val="24"/>
          <w:szCs w:val="24"/>
        </w:rPr>
      </w:pPr>
      <w:r w:rsidRPr="00FB6FDD">
        <w:rPr>
          <w:rFonts w:ascii="Arial" w:eastAsia="Arial" w:hAnsi="Arial" w:cs="Arial"/>
          <w:sz w:val="24"/>
          <w:szCs w:val="24"/>
        </w:rPr>
        <w:lastRenderedPageBreak/>
        <w:t>Reflective learning not only assists students to focus on their own performance and development by clarifying their thoughts and emotions, but also provides visibility into their retrospective growth which can often be overlooked (Cottrell, 2019, p.101).</w:t>
      </w:r>
    </w:p>
    <w:p w14:paraId="05A4D1EC" w14:textId="77777777" w:rsidR="00FB6FDD" w:rsidRPr="00FB6FDD" w:rsidRDefault="00FB6FDD" w:rsidP="00FB6FDD">
      <w:pPr>
        <w:spacing w:line="360" w:lineRule="auto"/>
        <w:jc w:val="both"/>
        <w:rPr>
          <w:rFonts w:ascii="Arial" w:eastAsia="Arial" w:hAnsi="Arial" w:cs="Arial"/>
          <w:sz w:val="24"/>
          <w:szCs w:val="24"/>
        </w:rPr>
      </w:pPr>
      <w:r w:rsidRPr="00FB6FDD">
        <w:rPr>
          <w:rFonts w:ascii="Arial" w:eastAsia="Arial" w:hAnsi="Arial" w:cs="Arial"/>
          <w:sz w:val="24"/>
          <w:szCs w:val="24"/>
        </w:rPr>
        <w:t>A study conducted by Cisero (2006) highlights, how the benefits of reflective writing extended beyond a learner’s study. For instance, students shared how the skills gained from the journal assignments prepared them for professional interviews. Cisero further suggests that reflective writing could aid with skill acquisition related to self-reflection and motivation. However, it is important to note that, in contrast, the author emphasises that for participants to benefit from the process, needed to be actively engaged and intentional in completing their reflective assignments.</w:t>
      </w:r>
    </w:p>
    <w:p w14:paraId="1F1601A9" w14:textId="77777777" w:rsidR="00FB6FDD" w:rsidRPr="00FB6FDD" w:rsidRDefault="00FB6FDD" w:rsidP="00FB6FDD">
      <w:pPr>
        <w:spacing w:line="360" w:lineRule="auto"/>
        <w:jc w:val="both"/>
        <w:rPr>
          <w:rFonts w:ascii="Arial" w:eastAsia="Arial" w:hAnsi="Arial" w:cs="Arial"/>
          <w:sz w:val="24"/>
          <w:szCs w:val="24"/>
        </w:rPr>
      </w:pPr>
      <w:r w:rsidRPr="00FB6FDD">
        <w:rPr>
          <w:rFonts w:ascii="Arial" w:eastAsia="Arial" w:hAnsi="Arial" w:cs="Arial"/>
          <w:sz w:val="24"/>
          <w:szCs w:val="24"/>
        </w:rPr>
        <w:t xml:space="preserve">Similarly, Moon (2004, p. 104), in her comprehensive handbook on reflective learning, recommends the use of frameworks to deepen reflections. Her work highlights that learners may struggle to engage in deeper levels of reflections in their writing. Furthermore, similarly to the findings of Cisero, Moon underscores that </w:t>
      </w:r>
      <w:proofErr w:type="gramStart"/>
      <w:r w:rsidRPr="00FB6FDD">
        <w:rPr>
          <w:rFonts w:ascii="Arial" w:eastAsia="Arial" w:hAnsi="Arial" w:cs="Arial"/>
          <w:sz w:val="24"/>
          <w:szCs w:val="24"/>
        </w:rPr>
        <w:t>learners</w:t>
      </w:r>
      <w:proofErr w:type="gramEnd"/>
      <w:r w:rsidRPr="00FB6FDD">
        <w:rPr>
          <w:rFonts w:ascii="Arial" w:eastAsia="Arial" w:hAnsi="Arial" w:cs="Arial"/>
          <w:sz w:val="24"/>
          <w:szCs w:val="24"/>
        </w:rPr>
        <w:t xml:space="preserve"> intentions play a fundamental role in the effectiveness of reflective writing.</w:t>
      </w:r>
    </w:p>
    <w:p w14:paraId="2A4A6957" w14:textId="77777777" w:rsidR="00FB6FDD" w:rsidRPr="00FB6FDD" w:rsidRDefault="00FB6FDD" w:rsidP="00FB6FDD">
      <w:pPr>
        <w:spacing w:line="360" w:lineRule="auto"/>
        <w:jc w:val="both"/>
        <w:rPr>
          <w:rFonts w:ascii="Arial" w:eastAsia="Arial" w:hAnsi="Arial" w:cs="Arial"/>
          <w:sz w:val="24"/>
          <w:szCs w:val="24"/>
        </w:rPr>
      </w:pPr>
      <w:r w:rsidRPr="00FB6FDD">
        <w:rPr>
          <w:rFonts w:ascii="Arial" w:eastAsia="Arial" w:hAnsi="Arial" w:cs="Arial"/>
          <w:sz w:val="24"/>
          <w:szCs w:val="24"/>
        </w:rPr>
        <w:t xml:space="preserve">With all of this in mind, we can learn from </w:t>
      </w:r>
      <w:proofErr w:type="spellStart"/>
      <w:r w:rsidRPr="00FB6FDD">
        <w:rPr>
          <w:rFonts w:ascii="Arial" w:eastAsia="Arial" w:hAnsi="Arial" w:cs="Arial"/>
          <w:sz w:val="24"/>
          <w:szCs w:val="24"/>
        </w:rPr>
        <w:t>Deveci</w:t>
      </w:r>
      <w:proofErr w:type="spellEnd"/>
      <w:r w:rsidRPr="00FB6FDD">
        <w:rPr>
          <w:rFonts w:ascii="Arial" w:eastAsia="Arial" w:hAnsi="Arial" w:cs="Arial"/>
          <w:sz w:val="24"/>
          <w:szCs w:val="24"/>
        </w:rPr>
        <w:t xml:space="preserve"> and Wyatt (2021) that learners, when supported with scaffolding, can benefit, and improve their; analytical and problem-solving abilities, </w:t>
      </w:r>
      <w:proofErr w:type="gramStart"/>
      <w:r w:rsidRPr="00FB6FDD">
        <w:rPr>
          <w:rFonts w:ascii="Arial" w:eastAsia="Arial" w:hAnsi="Arial" w:cs="Arial"/>
          <w:sz w:val="24"/>
          <w:szCs w:val="24"/>
        </w:rPr>
        <w:t>self-awareness</w:t>
      </w:r>
      <w:proofErr w:type="gramEnd"/>
      <w:r w:rsidRPr="00FB6FDD">
        <w:rPr>
          <w:rFonts w:ascii="Arial" w:eastAsia="Arial" w:hAnsi="Arial" w:cs="Arial"/>
          <w:sz w:val="24"/>
          <w:szCs w:val="24"/>
        </w:rPr>
        <w:t xml:space="preserve"> and confidence, as well as support their own reflective processes.</w:t>
      </w:r>
    </w:p>
    <w:p w14:paraId="03B80A3F" w14:textId="77777777" w:rsidR="00FB6FDD" w:rsidRPr="00FB6FDD" w:rsidRDefault="00FB6FDD" w:rsidP="00FB6FDD">
      <w:pPr>
        <w:spacing w:line="360" w:lineRule="auto"/>
        <w:jc w:val="both"/>
        <w:rPr>
          <w:rFonts w:ascii="Arial" w:eastAsia="Arial" w:hAnsi="Arial" w:cs="Arial"/>
          <w:sz w:val="24"/>
          <w:szCs w:val="24"/>
        </w:rPr>
      </w:pPr>
      <w:r w:rsidRPr="00FB6FDD">
        <w:rPr>
          <w:rFonts w:ascii="Arial" w:eastAsia="Arial" w:hAnsi="Arial" w:cs="Arial"/>
          <w:sz w:val="24"/>
          <w:szCs w:val="24"/>
        </w:rPr>
        <w:t>This further illustrates the potential and effectiveness as a fundamental study skill that can help students navigate their academic journey, a skill that should most certainly be adopted, developed, and practiced where appropriate.</w:t>
      </w:r>
    </w:p>
    <w:p w14:paraId="466DCBFB" w14:textId="77777777" w:rsidR="00FB6FDD" w:rsidRPr="00FB6FDD" w:rsidRDefault="00FB6FDD" w:rsidP="00FB6FDD">
      <w:pPr>
        <w:spacing w:line="360" w:lineRule="auto"/>
        <w:jc w:val="both"/>
        <w:rPr>
          <w:rFonts w:ascii="Arial" w:eastAsia="Arial" w:hAnsi="Arial" w:cs="Arial"/>
          <w:sz w:val="24"/>
          <w:szCs w:val="24"/>
        </w:rPr>
      </w:pPr>
    </w:p>
    <w:p w14:paraId="7D3745C1" w14:textId="3DEB009F" w:rsidR="00FB6FDD" w:rsidRPr="00CC5E1C" w:rsidRDefault="00FB6FDD" w:rsidP="00FB6FDD">
      <w:pPr>
        <w:spacing w:line="360" w:lineRule="auto"/>
        <w:jc w:val="both"/>
        <w:rPr>
          <w:rFonts w:ascii="Arial" w:eastAsia="Arial" w:hAnsi="Arial" w:cs="Arial"/>
          <w:b/>
          <w:bCs/>
          <w:sz w:val="24"/>
          <w:szCs w:val="24"/>
        </w:rPr>
      </w:pPr>
      <w:r w:rsidRPr="00CC5E1C">
        <w:rPr>
          <w:rFonts w:ascii="Arial" w:eastAsia="Arial" w:hAnsi="Arial" w:cs="Arial"/>
          <w:b/>
          <w:bCs/>
          <w:sz w:val="24"/>
          <w:szCs w:val="24"/>
        </w:rPr>
        <w:t>Conclusion</w:t>
      </w:r>
    </w:p>
    <w:p w14:paraId="4C7BFAB1" w14:textId="77777777" w:rsidR="00FB6FDD" w:rsidRPr="00FB6FDD" w:rsidRDefault="00FB6FDD" w:rsidP="00FB6FDD">
      <w:pPr>
        <w:spacing w:line="360" w:lineRule="auto"/>
        <w:jc w:val="both"/>
        <w:rPr>
          <w:rFonts w:ascii="Arial" w:eastAsia="Arial" w:hAnsi="Arial" w:cs="Arial"/>
          <w:sz w:val="24"/>
          <w:szCs w:val="24"/>
        </w:rPr>
      </w:pPr>
      <w:r w:rsidRPr="00FB6FDD">
        <w:rPr>
          <w:rFonts w:ascii="Arial" w:eastAsia="Arial" w:hAnsi="Arial" w:cs="Arial"/>
          <w:sz w:val="24"/>
          <w:szCs w:val="24"/>
        </w:rPr>
        <w:t>In summary, effective reading, critical thinking, and reflective learning are indispensable study skills that complement each other. Effective reading streamlines information intake, critical thinking hones analytical abilities, and reflective learning fosters personal growth. Together, they empower students to excel academically and navigate life's challenges.</w:t>
      </w:r>
    </w:p>
    <w:p w14:paraId="43BE2707" w14:textId="5B8CA6E2" w:rsidR="00DA4097" w:rsidRPr="00B945B1" w:rsidRDefault="00FB6FDD" w:rsidP="00FC35C6">
      <w:pPr>
        <w:spacing w:line="360" w:lineRule="auto"/>
        <w:jc w:val="both"/>
        <w:rPr>
          <w:rFonts w:ascii="Arial" w:eastAsia="Arial" w:hAnsi="Arial" w:cs="Arial"/>
          <w:sz w:val="24"/>
          <w:szCs w:val="24"/>
        </w:rPr>
      </w:pPr>
      <w:r w:rsidRPr="00FB6FDD">
        <w:rPr>
          <w:rFonts w:ascii="Arial" w:eastAsia="Arial" w:hAnsi="Arial" w:cs="Arial"/>
          <w:sz w:val="24"/>
          <w:szCs w:val="24"/>
        </w:rPr>
        <w:lastRenderedPageBreak/>
        <w:t>In conclusion, these interrelated skills are fundamental for students, educators, and institutions to cultivate. They equip students not only for academic success but also for lifelong learning and adaptability, ensuring their success in both their educational journey and the ever-evolving world.</w:t>
      </w:r>
      <w:r w:rsidR="005579EF" w:rsidRPr="001D4B81">
        <w:rPr>
          <w:rFonts w:ascii="Arial" w:eastAsia="Arial" w:hAnsi="Arial" w:cs="Arial"/>
          <w:sz w:val="44"/>
          <w:szCs w:val="44"/>
        </w:rPr>
        <w:br w:type="page"/>
      </w:r>
    </w:p>
    <w:p w14:paraId="5FDD5F72" w14:textId="77777777" w:rsidR="00E926E7" w:rsidRPr="005579EF" w:rsidRDefault="00E926E7" w:rsidP="002A67F3">
      <w:pPr>
        <w:spacing w:line="360" w:lineRule="auto"/>
        <w:jc w:val="both"/>
        <w:rPr>
          <w:rFonts w:ascii="Arial" w:eastAsia="Arial" w:hAnsi="Arial" w:cs="Arial"/>
          <w:sz w:val="24"/>
          <w:szCs w:val="24"/>
        </w:rPr>
      </w:pPr>
    </w:p>
    <w:p w14:paraId="3C23848F" w14:textId="10CC5BD6" w:rsidR="00AA2AE8" w:rsidRDefault="00E926E7" w:rsidP="00BD1490">
      <w:pPr>
        <w:spacing w:line="360" w:lineRule="auto"/>
        <w:jc w:val="both"/>
        <w:rPr>
          <w:rFonts w:ascii="Arial" w:eastAsia="Arial" w:hAnsi="Arial" w:cs="Arial"/>
          <w:sz w:val="24"/>
          <w:szCs w:val="24"/>
        </w:rPr>
      </w:pPr>
      <w:r w:rsidRPr="00CC5E1C">
        <w:rPr>
          <w:rFonts w:ascii="Arial" w:eastAsia="Arial" w:hAnsi="Arial" w:cs="Arial"/>
          <w:b/>
          <w:bCs/>
          <w:sz w:val="24"/>
          <w:szCs w:val="24"/>
        </w:rPr>
        <w:t>Reference List</w:t>
      </w:r>
    </w:p>
    <w:p w14:paraId="2FF5EEB8" w14:textId="77777777" w:rsidR="00AA2AE8" w:rsidRPr="00AA2AE8" w:rsidRDefault="00AA2AE8" w:rsidP="00AA2AE8">
      <w:pPr>
        <w:spacing w:line="360" w:lineRule="auto"/>
        <w:jc w:val="both"/>
        <w:rPr>
          <w:rFonts w:ascii="Arial" w:eastAsia="Arial" w:hAnsi="Arial" w:cs="Arial"/>
          <w:sz w:val="24"/>
          <w:szCs w:val="24"/>
        </w:rPr>
      </w:pPr>
      <w:r w:rsidRPr="00AA2AE8">
        <w:rPr>
          <w:rFonts w:ascii="Arial" w:eastAsia="Arial" w:hAnsi="Arial" w:cs="Arial"/>
          <w:sz w:val="24"/>
          <w:szCs w:val="24"/>
        </w:rPr>
        <w:t xml:space="preserve">Bedford, D. and Wilson, E. (2020) </w:t>
      </w:r>
      <w:r w:rsidRPr="00AA2AE8">
        <w:rPr>
          <w:rFonts w:ascii="Arial" w:eastAsia="Arial" w:hAnsi="Arial" w:cs="Arial"/>
          <w:i/>
          <w:iCs/>
          <w:sz w:val="24"/>
          <w:szCs w:val="24"/>
        </w:rPr>
        <w:t>Study Skills for Foundation Degrees.</w:t>
      </w:r>
      <w:r w:rsidRPr="00AA2AE8">
        <w:rPr>
          <w:rFonts w:ascii="Arial" w:eastAsia="Arial" w:hAnsi="Arial" w:cs="Arial"/>
          <w:sz w:val="24"/>
          <w:szCs w:val="24"/>
        </w:rPr>
        <w:t xml:space="preserve"> Abingdon, Oxon: Routledge. Available at: https://search-ebscohost-com.ezproxy.uwtsd.ac.uk/login.aspx?direct=true&amp;db=nlebk&amp;AN=2329350&amp;site=ehost-live (Accessed: 23 September 2023).</w:t>
      </w:r>
    </w:p>
    <w:p w14:paraId="08D3E010" w14:textId="77777777" w:rsidR="00AA2AE8" w:rsidRPr="00AA2AE8" w:rsidRDefault="00AA2AE8" w:rsidP="00AA2AE8">
      <w:pPr>
        <w:spacing w:line="360" w:lineRule="auto"/>
        <w:jc w:val="both"/>
        <w:rPr>
          <w:rFonts w:ascii="Arial" w:eastAsia="Arial" w:hAnsi="Arial" w:cs="Arial"/>
          <w:sz w:val="24"/>
          <w:szCs w:val="24"/>
        </w:rPr>
      </w:pPr>
      <w:r w:rsidRPr="00AA2AE8">
        <w:rPr>
          <w:rFonts w:ascii="Arial" w:eastAsia="Arial" w:hAnsi="Arial" w:cs="Arial"/>
          <w:sz w:val="24"/>
          <w:szCs w:val="24"/>
        </w:rPr>
        <w:t>Browne, M.N. and Keeley, S.M.</w:t>
      </w:r>
      <w:r w:rsidRPr="00AA2AE8">
        <w:rPr>
          <w:rFonts w:ascii="Arial" w:eastAsia="Arial" w:hAnsi="Arial" w:cs="Arial"/>
          <w:i/>
          <w:iCs/>
          <w:sz w:val="24"/>
          <w:szCs w:val="24"/>
        </w:rPr>
        <w:t xml:space="preserve"> </w:t>
      </w:r>
      <w:r w:rsidRPr="00AA2AE8">
        <w:rPr>
          <w:rFonts w:ascii="Arial" w:eastAsia="Arial" w:hAnsi="Arial" w:cs="Arial"/>
          <w:sz w:val="24"/>
          <w:szCs w:val="24"/>
        </w:rPr>
        <w:t xml:space="preserve">(2015) </w:t>
      </w:r>
      <w:r w:rsidRPr="00AA2AE8">
        <w:rPr>
          <w:rFonts w:ascii="Arial" w:eastAsia="Arial" w:hAnsi="Arial" w:cs="Arial"/>
          <w:i/>
          <w:iCs/>
          <w:sz w:val="24"/>
          <w:szCs w:val="24"/>
        </w:rPr>
        <w:t>Asking the right questions: A guide to critical thinking.</w:t>
      </w:r>
      <w:r w:rsidRPr="00AA2AE8">
        <w:rPr>
          <w:rFonts w:ascii="Arial" w:eastAsia="Arial" w:hAnsi="Arial" w:cs="Arial"/>
          <w:sz w:val="24"/>
          <w:szCs w:val="24"/>
        </w:rPr>
        <w:t xml:space="preserve"> 11th</w:t>
      </w:r>
      <w:r w:rsidRPr="00AA2AE8">
        <w:rPr>
          <w:rFonts w:ascii="Arial" w:eastAsia="Arial" w:hAnsi="Arial" w:cs="Arial"/>
          <w:sz w:val="24"/>
          <w:szCs w:val="24"/>
          <w:vertAlign w:val="superscript"/>
        </w:rPr>
        <w:t xml:space="preserve"> </w:t>
      </w:r>
      <w:proofErr w:type="spellStart"/>
      <w:r w:rsidRPr="00AA2AE8">
        <w:rPr>
          <w:rFonts w:ascii="Arial" w:eastAsia="Arial" w:hAnsi="Arial" w:cs="Arial"/>
          <w:sz w:val="24"/>
          <w:szCs w:val="24"/>
        </w:rPr>
        <w:t>edn</w:t>
      </w:r>
      <w:proofErr w:type="spellEnd"/>
      <w:r w:rsidRPr="00AA2AE8">
        <w:rPr>
          <w:rFonts w:ascii="Arial" w:eastAsia="Arial" w:hAnsi="Arial" w:cs="Arial"/>
          <w:sz w:val="24"/>
          <w:szCs w:val="24"/>
        </w:rPr>
        <w:t>. New Jersey: Pearson Education.</w:t>
      </w:r>
    </w:p>
    <w:p w14:paraId="434789C6" w14:textId="77777777" w:rsidR="00AA2AE8" w:rsidRPr="00AA2AE8" w:rsidRDefault="00AA2AE8" w:rsidP="00AA2AE8">
      <w:pPr>
        <w:spacing w:line="360" w:lineRule="auto"/>
        <w:jc w:val="both"/>
        <w:rPr>
          <w:rFonts w:ascii="Arial" w:eastAsia="Arial" w:hAnsi="Arial" w:cs="Arial"/>
          <w:sz w:val="24"/>
          <w:szCs w:val="24"/>
        </w:rPr>
      </w:pPr>
      <w:r w:rsidRPr="00AA2AE8">
        <w:rPr>
          <w:rFonts w:ascii="Arial" w:eastAsia="Arial" w:hAnsi="Arial" w:cs="Arial"/>
          <w:sz w:val="24"/>
          <w:szCs w:val="24"/>
        </w:rPr>
        <w:t xml:space="preserve">Cisero, C.A. (2006) ‘Does reflective journal writing improve course performance?’ </w:t>
      </w:r>
      <w:r w:rsidRPr="00AA2AE8">
        <w:rPr>
          <w:rFonts w:ascii="Arial" w:eastAsia="Arial" w:hAnsi="Arial" w:cs="Arial"/>
          <w:i/>
          <w:iCs/>
          <w:sz w:val="24"/>
          <w:szCs w:val="24"/>
        </w:rPr>
        <w:t>College Teaching</w:t>
      </w:r>
      <w:r w:rsidRPr="00AA2AE8">
        <w:rPr>
          <w:rFonts w:ascii="Arial" w:eastAsia="Arial" w:hAnsi="Arial" w:cs="Arial"/>
          <w:sz w:val="24"/>
          <w:szCs w:val="24"/>
        </w:rPr>
        <w:t xml:space="preserve">, 54(2), pp. 231–236. Available at: </w:t>
      </w:r>
      <w:hyperlink r:id="rId7" w:history="1">
        <w:r w:rsidRPr="00AA2AE8">
          <w:rPr>
            <w:rStyle w:val="Hyperlink"/>
            <w:rFonts w:ascii="Arial" w:eastAsia="Arial" w:hAnsi="Arial" w:cs="Arial"/>
            <w:sz w:val="24"/>
            <w:szCs w:val="24"/>
          </w:rPr>
          <w:t>https://doi.org/10.3200/CTCH.54.2.231-236</w:t>
        </w:r>
      </w:hyperlink>
      <w:r w:rsidRPr="00AA2AE8">
        <w:rPr>
          <w:rFonts w:ascii="Arial" w:eastAsia="Arial" w:hAnsi="Arial" w:cs="Arial"/>
          <w:sz w:val="24"/>
          <w:szCs w:val="24"/>
        </w:rPr>
        <w:t>.</w:t>
      </w:r>
    </w:p>
    <w:p w14:paraId="2A7D411B" w14:textId="77777777" w:rsidR="00AA2AE8" w:rsidRPr="00AA2AE8" w:rsidRDefault="00AA2AE8" w:rsidP="00AA2AE8">
      <w:pPr>
        <w:spacing w:line="360" w:lineRule="auto"/>
        <w:jc w:val="both"/>
        <w:rPr>
          <w:rFonts w:ascii="Arial" w:eastAsia="Arial" w:hAnsi="Arial" w:cs="Arial"/>
          <w:sz w:val="24"/>
          <w:szCs w:val="24"/>
        </w:rPr>
      </w:pPr>
      <w:r w:rsidRPr="00AA2AE8">
        <w:rPr>
          <w:rFonts w:ascii="Arial" w:eastAsia="Arial" w:hAnsi="Arial" w:cs="Arial"/>
          <w:sz w:val="24"/>
          <w:szCs w:val="24"/>
        </w:rPr>
        <w:t xml:space="preserve">Cottrell, S. (2017) </w:t>
      </w:r>
      <w:r w:rsidRPr="00AA2AE8">
        <w:rPr>
          <w:rFonts w:ascii="Arial" w:eastAsia="Arial" w:hAnsi="Arial" w:cs="Arial"/>
          <w:i/>
          <w:iCs/>
          <w:sz w:val="24"/>
          <w:szCs w:val="24"/>
        </w:rPr>
        <w:t>Critical thinking skills.</w:t>
      </w:r>
      <w:r w:rsidRPr="00AA2AE8">
        <w:rPr>
          <w:rFonts w:ascii="Arial" w:eastAsia="Arial" w:hAnsi="Arial" w:cs="Arial"/>
          <w:sz w:val="24"/>
          <w:szCs w:val="24"/>
        </w:rPr>
        <w:t xml:space="preserve"> 3rd </w:t>
      </w:r>
      <w:proofErr w:type="spellStart"/>
      <w:r w:rsidRPr="00AA2AE8">
        <w:rPr>
          <w:rFonts w:ascii="Arial" w:eastAsia="Arial" w:hAnsi="Arial" w:cs="Arial"/>
          <w:sz w:val="24"/>
          <w:szCs w:val="24"/>
        </w:rPr>
        <w:t>edn</w:t>
      </w:r>
      <w:proofErr w:type="spellEnd"/>
      <w:r w:rsidRPr="00AA2AE8">
        <w:rPr>
          <w:rFonts w:ascii="Arial" w:eastAsia="Arial" w:hAnsi="Arial" w:cs="Arial"/>
          <w:sz w:val="24"/>
          <w:szCs w:val="24"/>
        </w:rPr>
        <w:t>. London: Palgrave.</w:t>
      </w:r>
    </w:p>
    <w:p w14:paraId="223769EC" w14:textId="77777777" w:rsidR="00AA2AE8" w:rsidRPr="00AA2AE8" w:rsidRDefault="00AA2AE8" w:rsidP="00AA2AE8">
      <w:pPr>
        <w:spacing w:line="360" w:lineRule="auto"/>
        <w:jc w:val="both"/>
        <w:rPr>
          <w:rFonts w:ascii="Arial" w:eastAsia="Arial" w:hAnsi="Arial" w:cs="Arial"/>
          <w:sz w:val="24"/>
          <w:szCs w:val="24"/>
        </w:rPr>
      </w:pPr>
      <w:r w:rsidRPr="00AA2AE8">
        <w:rPr>
          <w:rFonts w:ascii="Arial" w:eastAsia="Arial" w:hAnsi="Arial" w:cs="Arial"/>
          <w:sz w:val="24"/>
          <w:szCs w:val="24"/>
        </w:rPr>
        <w:t xml:space="preserve">Cottrell, S. (2019) </w:t>
      </w:r>
      <w:r w:rsidRPr="00AA2AE8">
        <w:rPr>
          <w:rFonts w:ascii="Arial" w:eastAsia="Arial" w:hAnsi="Arial" w:cs="Arial"/>
          <w:i/>
          <w:iCs/>
          <w:sz w:val="24"/>
          <w:szCs w:val="24"/>
        </w:rPr>
        <w:t>The study skills handbook.</w:t>
      </w:r>
      <w:r w:rsidRPr="00AA2AE8">
        <w:rPr>
          <w:rFonts w:ascii="Arial" w:eastAsia="Arial" w:hAnsi="Arial" w:cs="Arial"/>
          <w:sz w:val="24"/>
          <w:szCs w:val="24"/>
        </w:rPr>
        <w:t xml:space="preserve"> 5th </w:t>
      </w:r>
      <w:proofErr w:type="spellStart"/>
      <w:r w:rsidRPr="00AA2AE8">
        <w:rPr>
          <w:rFonts w:ascii="Arial" w:eastAsia="Arial" w:hAnsi="Arial" w:cs="Arial"/>
          <w:sz w:val="24"/>
          <w:szCs w:val="24"/>
        </w:rPr>
        <w:t>edn</w:t>
      </w:r>
      <w:proofErr w:type="spellEnd"/>
      <w:r w:rsidRPr="00AA2AE8">
        <w:rPr>
          <w:rFonts w:ascii="Arial" w:eastAsia="Arial" w:hAnsi="Arial" w:cs="Arial"/>
          <w:sz w:val="24"/>
          <w:szCs w:val="24"/>
        </w:rPr>
        <w:t>. London: Red Globe Press.</w:t>
      </w:r>
    </w:p>
    <w:p w14:paraId="42E756A7" w14:textId="77777777" w:rsidR="00AA2AE8" w:rsidRPr="00AA2AE8" w:rsidRDefault="00AA2AE8" w:rsidP="00AA2AE8">
      <w:pPr>
        <w:spacing w:line="360" w:lineRule="auto"/>
        <w:jc w:val="both"/>
        <w:rPr>
          <w:rFonts w:ascii="Arial" w:eastAsia="Arial" w:hAnsi="Arial" w:cs="Arial"/>
          <w:sz w:val="24"/>
          <w:szCs w:val="24"/>
        </w:rPr>
      </w:pPr>
      <w:proofErr w:type="spellStart"/>
      <w:r w:rsidRPr="00AA2AE8">
        <w:rPr>
          <w:rFonts w:ascii="Arial" w:eastAsia="Arial" w:hAnsi="Arial" w:cs="Arial"/>
          <w:sz w:val="24"/>
          <w:szCs w:val="24"/>
        </w:rPr>
        <w:t>Deveci</w:t>
      </w:r>
      <w:proofErr w:type="spellEnd"/>
      <w:r w:rsidRPr="00AA2AE8">
        <w:rPr>
          <w:rFonts w:ascii="Arial" w:eastAsia="Arial" w:hAnsi="Arial" w:cs="Arial"/>
          <w:sz w:val="24"/>
          <w:szCs w:val="24"/>
        </w:rPr>
        <w:t>, T. and Wyatt, M. (2022) ‘Reflective writing and the self-perceived development of intrapersonal communication skills among first-year university students in the UAE’, </w:t>
      </w:r>
      <w:r w:rsidRPr="00AA2AE8">
        <w:rPr>
          <w:rFonts w:ascii="Arial" w:eastAsia="Arial" w:hAnsi="Arial" w:cs="Arial"/>
          <w:i/>
          <w:iCs/>
          <w:sz w:val="24"/>
          <w:szCs w:val="24"/>
        </w:rPr>
        <w:t>Reflective Practice</w:t>
      </w:r>
      <w:r w:rsidRPr="00AA2AE8">
        <w:rPr>
          <w:rFonts w:ascii="Arial" w:eastAsia="Arial" w:hAnsi="Arial" w:cs="Arial"/>
          <w:sz w:val="24"/>
          <w:szCs w:val="24"/>
        </w:rPr>
        <w:t>, 23(1), pp. 68-80. Available at: DOI: </w:t>
      </w:r>
      <w:hyperlink r:id="rId8" w:history="1">
        <w:r w:rsidRPr="00AA2AE8">
          <w:rPr>
            <w:rStyle w:val="Hyperlink"/>
            <w:rFonts w:ascii="Arial" w:eastAsia="Arial" w:hAnsi="Arial" w:cs="Arial"/>
            <w:sz w:val="24"/>
            <w:szCs w:val="24"/>
          </w:rPr>
          <w:t>10.1080/14623943.2021.1978066</w:t>
        </w:r>
      </w:hyperlink>
      <w:r w:rsidRPr="00AA2AE8">
        <w:rPr>
          <w:rFonts w:ascii="Arial" w:eastAsia="Arial" w:hAnsi="Arial" w:cs="Arial"/>
          <w:sz w:val="24"/>
          <w:szCs w:val="24"/>
        </w:rPr>
        <w:t>.</w:t>
      </w:r>
    </w:p>
    <w:p w14:paraId="3FF42F4B" w14:textId="77777777" w:rsidR="00AA2AE8" w:rsidRPr="00AA2AE8" w:rsidRDefault="00AA2AE8" w:rsidP="00AA2AE8">
      <w:pPr>
        <w:spacing w:line="360" w:lineRule="auto"/>
        <w:jc w:val="both"/>
        <w:rPr>
          <w:rFonts w:ascii="Arial" w:eastAsia="Arial" w:hAnsi="Arial" w:cs="Arial"/>
          <w:sz w:val="24"/>
          <w:szCs w:val="24"/>
        </w:rPr>
      </w:pPr>
      <w:r w:rsidRPr="00AA2AE8">
        <w:rPr>
          <w:rFonts w:ascii="Arial" w:eastAsia="Arial" w:hAnsi="Arial" w:cs="Arial"/>
          <w:sz w:val="24"/>
          <w:szCs w:val="24"/>
        </w:rPr>
        <w:t xml:space="preserve">Godfrey, J. (2018) </w:t>
      </w:r>
      <w:r w:rsidRPr="00AA2AE8">
        <w:rPr>
          <w:rFonts w:ascii="Arial" w:eastAsia="Arial" w:hAnsi="Arial" w:cs="Arial"/>
          <w:i/>
          <w:iCs/>
          <w:sz w:val="24"/>
          <w:szCs w:val="24"/>
        </w:rPr>
        <w:t>How to use your reading in your essays.</w:t>
      </w:r>
      <w:r w:rsidRPr="00AA2AE8">
        <w:rPr>
          <w:rFonts w:ascii="Arial" w:eastAsia="Arial" w:hAnsi="Arial" w:cs="Arial"/>
          <w:sz w:val="24"/>
          <w:szCs w:val="24"/>
        </w:rPr>
        <w:t xml:space="preserve"> 3rd </w:t>
      </w:r>
      <w:proofErr w:type="spellStart"/>
      <w:r w:rsidRPr="00AA2AE8">
        <w:rPr>
          <w:rFonts w:ascii="Arial" w:eastAsia="Arial" w:hAnsi="Arial" w:cs="Arial"/>
          <w:sz w:val="24"/>
          <w:szCs w:val="24"/>
        </w:rPr>
        <w:t>edn</w:t>
      </w:r>
      <w:proofErr w:type="spellEnd"/>
      <w:r w:rsidRPr="00AA2AE8">
        <w:rPr>
          <w:rFonts w:ascii="Arial" w:eastAsia="Arial" w:hAnsi="Arial" w:cs="Arial"/>
          <w:sz w:val="24"/>
          <w:szCs w:val="24"/>
        </w:rPr>
        <w:t>. London: Palgrave.</w:t>
      </w:r>
    </w:p>
    <w:p w14:paraId="15C715EF" w14:textId="77777777" w:rsidR="00AA2AE8" w:rsidRPr="00AA2AE8" w:rsidRDefault="00AA2AE8" w:rsidP="00AA2AE8">
      <w:pPr>
        <w:spacing w:line="360" w:lineRule="auto"/>
        <w:jc w:val="both"/>
        <w:rPr>
          <w:rFonts w:ascii="Arial" w:eastAsia="Arial" w:hAnsi="Arial" w:cs="Arial"/>
          <w:sz w:val="24"/>
          <w:szCs w:val="24"/>
        </w:rPr>
      </w:pPr>
      <w:r w:rsidRPr="00AA2AE8">
        <w:rPr>
          <w:rFonts w:ascii="Arial" w:eastAsia="Arial" w:hAnsi="Arial" w:cs="Arial"/>
          <w:sz w:val="24"/>
          <w:szCs w:val="24"/>
        </w:rPr>
        <w:t xml:space="preserve">Kahneman, D. (2012) </w:t>
      </w:r>
      <w:r w:rsidRPr="00AA2AE8">
        <w:rPr>
          <w:rFonts w:ascii="Arial" w:eastAsia="Arial" w:hAnsi="Arial" w:cs="Arial"/>
          <w:i/>
          <w:iCs/>
          <w:sz w:val="24"/>
          <w:szCs w:val="24"/>
        </w:rPr>
        <w:t>Thinking, fast and slow</w:t>
      </w:r>
      <w:r w:rsidRPr="00AA2AE8">
        <w:rPr>
          <w:rFonts w:ascii="Arial" w:eastAsia="Arial" w:hAnsi="Arial" w:cs="Arial"/>
          <w:sz w:val="24"/>
          <w:szCs w:val="24"/>
        </w:rPr>
        <w:t>. London: Penguin.</w:t>
      </w:r>
    </w:p>
    <w:p w14:paraId="11A12275" w14:textId="77777777" w:rsidR="00AA2AE8" w:rsidRPr="00AA2AE8" w:rsidRDefault="00AA2AE8" w:rsidP="00AA2AE8">
      <w:pPr>
        <w:spacing w:line="360" w:lineRule="auto"/>
        <w:jc w:val="both"/>
        <w:rPr>
          <w:rFonts w:ascii="Arial" w:eastAsia="Arial" w:hAnsi="Arial" w:cs="Arial"/>
          <w:sz w:val="24"/>
          <w:szCs w:val="24"/>
        </w:rPr>
      </w:pPr>
      <w:r w:rsidRPr="00AA2AE8">
        <w:rPr>
          <w:rFonts w:ascii="Arial" w:eastAsia="Arial" w:hAnsi="Arial" w:cs="Arial"/>
          <w:sz w:val="24"/>
          <w:szCs w:val="24"/>
        </w:rPr>
        <w:t xml:space="preserve">Moon, J.A. (2004) </w:t>
      </w:r>
      <w:r w:rsidRPr="00AA2AE8">
        <w:rPr>
          <w:rFonts w:ascii="Arial" w:eastAsia="Arial" w:hAnsi="Arial" w:cs="Arial"/>
          <w:i/>
          <w:iCs/>
          <w:sz w:val="24"/>
          <w:szCs w:val="24"/>
        </w:rPr>
        <w:t>A handbook of reflective and experiential learning: theory and practice</w:t>
      </w:r>
      <w:r w:rsidRPr="00AA2AE8">
        <w:rPr>
          <w:rFonts w:ascii="Arial" w:eastAsia="Arial" w:hAnsi="Arial" w:cs="Arial"/>
          <w:sz w:val="24"/>
          <w:szCs w:val="24"/>
        </w:rPr>
        <w:t xml:space="preserve">. London: </w:t>
      </w:r>
      <w:proofErr w:type="spellStart"/>
      <w:r w:rsidRPr="00AA2AE8">
        <w:rPr>
          <w:rFonts w:ascii="Arial" w:eastAsia="Arial" w:hAnsi="Arial" w:cs="Arial"/>
          <w:sz w:val="24"/>
          <w:szCs w:val="24"/>
        </w:rPr>
        <w:t>RoutledgeFalmer</w:t>
      </w:r>
      <w:proofErr w:type="spellEnd"/>
      <w:r w:rsidRPr="00AA2AE8">
        <w:rPr>
          <w:rFonts w:ascii="Arial" w:eastAsia="Arial" w:hAnsi="Arial" w:cs="Arial"/>
          <w:sz w:val="24"/>
          <w:szCs w:val="24"/>
        </w:rPr>
        <w:t>.</w:t>
      </w:r>
    </w:p>
    <w:p w14:paraId="6DB3918E" w14:textId="77777777" w:rsidR="00AA2AE8" w:rsidRPr="00AA2AE8" w:rsidRDefault="00AA2AE8" w:rsidP="00AA2AE8">
      <w:pPr>
        <w:spacing w:line="360" w:lineRule="auto"/>
        <w:jc w:val="both"/>
        <w:rPr>
          <w:rFonts w:ascii="Arial" w:eastAsia="Arial" w:hAnsi="Arial" w:cs="Arial"/>
          <w:sz w:val="24"/>
          <w:szCs w:val="24"/>
        </w:rPr>
      </w:pPr>
      <w:r w:rsidRPr="00AA2AE8">
        <w:rPr>
          <w:rFonts w:ascii="Arial" w:eastAsia="Arial" w:hAnsi="Arial" w:cs="Arial"/>
          <w:sz w:val="24"/>
          <w:szCs w:val="24"/>
        </w:rPr>
        <w:t xml:space="preserve">Moore, S. </w:t>
      </w:r>
      <w:r w:rsidRPr="00AA2AE8">
        <w:rPr>
          <w:rFonts w:ascii="Arial" w:eastAsia="Arial" w:hAnsi="Arial" w:cs="Arial"/>
          <w:i/>
          <w:iCs/>
          <w:sz w:val="24"/>
          <w:szCs w:val="24"/>
        </w:rPr>
        <w:t xml:space="preserve">et al. </w:t>
      </w:r>
      <w:r w:rsidRPr="00AA2AE8">
        <w:rPr>
          <w:rFonts w:ascii="Arial" w:eastAsia="Arial" w:hAnsi="Arial" w:cs="Arial"/>
          <w:sz w:val="24"/>
          <w:szCs w:val="24"/>
        </w:rPr>
        <w:t xml:space="preserve">(2010) </w:t>
      </w:r>
      <w:r w:rsidRPr="00AA2AE8">
        <w:rPr>
          <w:rFonts w:ascii="Arial" w:eastAsia="Arial" w:hAnsi="Arial" w:cs="Arial"/>
          <w:i/>
          <w:iCs/>
          <w:sz w:val="24"/>
          <w:szCs w:val="24"/>
        </w:rPr>
        <w:t>The ultimate study skills handbook.</w:t>
      </w:r>
      <w:r w:rsidRPr="00AA2AE8">
        <w:rPr>
          <w:rFonts w:ascii="Arial" w:eastAsia="Arial" w:hAnsi="Arial" w:cs="Arial"/>
          <w:sz w:val="24"/>
          <w:szCs w:val="24"/>
        </w:rPr>
        <w:t xml:space="preserve"> Berkshire: McGraw-Hill/Open University Press.</w:t>
      </w:r>
    </w:p>
    <w:p w14:paraId="1CE3F77D" w14:textId="77777777" w:rsidR="00AA2AE8" w:rsidRPr="00AA2AE8" w:rsidRDefault="00AA2AE8" w:rsidP="00AA2AE8">
      <w:pPr>
        <w:spacing w:line="360" w:lineRule="auto"/>
        <w:jc w:val="both"/>
        <w:rPr>
          <w:rFonts w:ascii="Arial" w:eastAsia="Arial" w:hAnsi="Arial" w:cs="Arial"/>
          <w:sz w:val="24"/>
          <w:szCs w:val="24"/>
        </w:rPr>
      </w:pPr>
      <w:r w:rsidRPr="00AA2AE8">
        <w:rPr>
          <w:rFonts w:ascii="Arial" w:eastAsia="Arial" w:hAnsi="Arial" w:cs="Arial"/>
          <w:sz w:val="24"/>
          <w:szCs w:val="24"/>
        </w:rPr>
        <w:t>Thurston, A. </w:t>
      </w:r>
      <w:r w:rsidRPr="00AA2AE8">
        <w:rPr>
          <w:rFonts w:ascii="Arial" w:eastAsia="Arial" w:hAnsi="Arial" w:cs="Arial"/>
          <w:i/>
          <w:iCs/>
          <w:sz w:val="24"/>
          <w:szCs w:val="24"/>
        </w:rPr>
        <w:t>et al.</w:t>
      </w:r>
      <w:r w:rsidRPr="00AA2AE8">
        <w:rPr>
          <w:rFonts w:ascii="Arial" w:eastAsia="Arial" w:hAnsi="Arial" w:cs="Arial"/>
          <w:sz w:val="24"/>
          <w:szCs w:val="24"/>
        </w:rPr>
        <w:t> (2020) ‘An efficacy randomized controlled trial of Reciprocal Reading in secondary schools’, </w:t>
      </w:r>
      <w:r w:rsidRPr="00AA2AE8">
        <w:rPr>
          <w:rFonts w:ascii="Arial" w:eastAsia="Arial" w:hAnsi="Arial" w:cs="Arial"/>
          <w:i/>
          <w:iCs/>
          <w:sz w:val="24"/>
          <w:szCs w:val="24"/>
        </w:rPr>
        <w:t>International Journal of Educational Research</w:t>
      </w:r>
      <w:r w:rsidRPr="00AA2AE8">
        <w:rPr>
          <w:rFonts w:ascii="Arial" w:eastAsia="Arial" w:hAnsi="Arial" w:cs="Arial"/>
          <w:sz w:val="24"/>
          <w:szCs w:val="24"/>
        </w:rPr>
        <w:t xml:space="preserve">, 104, p. 101626–. Available at: </w:t>
      </w:r>
      <w:hyperlink r:id="rId9" w:history="1">
        <w:r w:rsidRPr="00AA2AE8">
          <w:rPr>
            <w:rStyle w:val="Hyperlink"/>
            <w:rFonts w:ascii="Arial" w:eastAsia="Arial" w:hAnsi="Arial" w:cs="Arial"/>
            <w:sz w:val="24"/>
            <w:szCs w:val="24"/>
          </w:rPr>
          <w:t>https://doi.org/10.1016/j.ijer.2020.101626</w:t>
        </w:r>
      </w:hyperlink>
      <w:r w:rsidRPr="00AA2AE8">
        <w:rPr>
          <w:rFonts w:ascii="Arial" w:eastAsia="Arial" w:hAnsi="Arial" w:cs="Arial"/>
          <w:sz w:val="24"/>
          <w:szCs w:val="24"/>
        </w:rPr>
        <w:t>.</w:t>
      </w:r>
    </w:p>
    <w:p w14:paraId="709A3679" w14:textId="77777777" w:rsidR="00AA2AE8" w:rsidRPr="00AA2AE8" w:rsidRDefault="00AA2AE8" w:rsidP="00AA2AE8">
      <w:pPr>
        <w:spacing w:line="360" w:lineRule="auto"/>
        <w:jc w:val="both"/>
        <w:rPr>
          <w:rFonts w:ascii="Arial" w:eastAsia="Arial" w:hAnsi="Arial" w:cs="Arial"/>
          <w:sz w:val="24"/>
          <w:szCs w:val="24"/>
        </w:rPr>
      </w:pPr>
      <w:r w:rsidRPr="00AA2AE8">
        <w:rPr>
          <w:rFonts w:ascii="Arial" w:eastAsia="Arial" w:hAnsi="Arial" w:cs="Arial"/>
          <w:sz w:val="24"/>
          <w:szCs w:val="24"/>
        </w:rPr>
        <w:lastRenderedPageBreak/>
        <w:t xml:space="preserve">Wallace, M. and Wray, A. (2021) </w:t>
      </w:r>
      <w:r w:rsidRPr="00AA2AE8">
        <w:rPr>
          <w:rFonts w:ascii="Arial" w:eastAsia="Arial" w:hAnsi="Arial" w:cs="Arial"/>
          <w:i/>
          <w:iCs/>
          <w:sz w:val="24"/>
          <w:szCs w:val="24"/>
        </w:rPr>
        <w:t>Critical reading and Writing for Postgraduates</w:t>
      </w:r>
      <w:r w:rsidRPr="00AA2AE8">
        <w:rPr>
          <w:rFonts w:ascii="Arial" w:eastAsia="Arial" w:hAnsi="Arial" w:cs="Arial"/>
          <w:sz w:val="24"/>
          <w:szCs w:val="24"/>
        </w:rPr>
        <w:t xml:space="preserve">. 4th </w:t>
      </w:r>
      <w:proofErr w:type="spellStart"/>
      <w:r w:rsidRPr="00AA2AE8">
        <w:rPr>
          <w:rFonts w:ascii="Arial" w:eastAsia="Arial" w:hAnsi="Arial" w:cs="Arial"/>
          <w:sz w:val="24"/>
          <w:szCs w:val="24"/>
        </w:rPr>
        <w:t>edn</w:t>
      </w:r>
      <w:proofErr w:type="spellEnd"/>
      <w:r w:rsidRPr="00AA2AE8">
        <w:rPr>
          <w:rFonts w:ascii="Arial" w:eastAsia="Arial" w:hAnsi="Arial" w:cs="Arial"/>
          <w:sz w:val="24"/>
          <w:szCs w:val="24"/>
        </w:rPr>
        <w:t>. London: SAGE Publications Ltd.</w:t>
      </w:r>
    </w:p>
    <w:p w14:paraId="157B2B89" w14:textId="1538BFE9" w:rsidR="00AA2AE8" w:rsidRPr="00AA2AE8" w:rsidRDefault="00AA2AE8" w:rsidP="00BD1490">
      <w:pPr>
        <w:spacing w:line="360" w:lineRule="auto"/>
        <w:jc w:val="both"/>
        <w:rPr>
          <w:rFonts w:ascii="Arial" w:eastAsia="Arial" w:hAnsi="Arial" w:cs="Arial"/>
          <w:b/>
          <w:bCs/>
          <w:sz w:val="24"/>
          <w:szCs w:val="24"/>
          <w:u w:val="single"/>
        </w:rPr>
      </w:pPr>
      <w:r w:rsidRPr="00AA2AE8">
        <w:rPr>
          <w:rFonts w:ascii="Arial" w:eastAsia="Arial" w:hAnsi="Arial" w:cs="Arial"/>
          <w:sz w:val="24"/>
          <w:szCs w:val="24"/>
        </w:rPr>
        <w:t xml:space="preserve">Wilson. C (2020) </w:t>
      </w:r>
      <w:r w:rsidRPr="00AA2AE8">
        <w:rPr>
          <w:rFonts w:ascii="Arial" w:eastAsia="Arial" w:hAnsi="Arial" w:cs="Arial"/>
          <w:i/>
          <w:iCs/>
          <w:sz w:val="24"/>
          <w:szCs w:val="24"/>
        </w:rPr>
        <w:t>Critical Thinking Lecture: an introduction to critical thinking.</w:t>
      </w:r>
      <w:r w:rsidR="00A868D6">
        <w:rPr>
          <w:rFonts w:ascii="Arial" w:eastAsia="Arial" w:hAnsi="Arial" w:cs="Arial"/>
          <w:sz w:val="24"/>
          <w:szCs w:val="24"/>
        </w:rPr>
        <w:t xml:space="preserve"> </w:t>
      </w:r>
      <w:r w:rsidRPr="00AA2AE8">
        <w:rPr>
          <w:rFonts w:ascii="Arial" w:eastAsia="Arial" w:hAnsi="Arial" w:cs="Arial"/>
          <w:sz w:val="24"/>
          <w:szCs w:val="24"/>
        </w:rPr>
        <w:t xml:space="preserve">Available at: </w:t>
      </w:r>
      <w:hyperlink r:id="rId10" w:history="1">
        <w:r w:rsidRPr="00AA2AE8">
          <w:rPr>
            <w:rStyle w:val="Hyperlink"/>
            <w:rFonts w:ascii="Arial" w:eastAsia="Arial" w:hAnsi="Arial" w:cs="Arial"/>
            <w:sz w:val="24"/>
            <w:szCs w:val="24"/>
          </w:rPr>
          <w:t>https://www.youtube.com/watch?v=RyqFD5OAJ40</w:t>
        </w:r>
      </w:hyperlink>
      <w:r w:rsidRPr="00AA2AE8">
        <w:rPr>
          <w:rFonts w:ascii="Arial" w:eastAsia="Arial" w:hAnsi="Arial" w:cs="Arial"/>
          <w:sz w:val="24"/>
          <w:szCs w:val="24"/>
        </w:rPr>
        <w:t xml:space="preserve"> (Accessed: 23 September 2023).</w:t>
      </w:r>
    </w:p>
    <w:sectPr w:rsidR="00AA2AE8" w:rsidRPr="00AA2AE8">
      <w:headerReference w:type="default" r:id="rId11"/>
      <w:footerReference w:type="even"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A0DB68" w14:textId="77777777" w:rsidR="00870228" w:rsidRDefault="00870228">
      <w:pPr>
        <w:spacing w:after="0" w:line="240" w:lineRule="auto"/>
      </w:pPr>
      <w:r>
        <w:separator/>
      </w:r>
    </w:p>
  </w:endnote>
  <w:endnote w:type="continuationSeparator" w:id="0">
    <w:p w14:paraId="70424CBE" w14:textId="77777777" w:rsidR="00870228" w:rsidRDefault="008702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24144552"/>
      <w:docPartObj>
        <w:docPartGallery w:val="Page Numbers (Bottom of Page)"/>
        <w:docPartUnique/>
      </w:docPartObj>
    </w:sdtPr>
    <w:sdtEndPr>
      <w:rPr>
        <w:rStyle w:val="PageNumber"/>
      </w:rPr>
    </w:sdtEndPr>
    <w:sdtContent>
      <w:p w14:paraId="3C6B58C6" w14:textId="2FF80484" w:rsidR="00B302E4" w:rsidRDefault="00B302E4" w:rsidP="004E7C9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50BAFFD" w14:textId="77777777" w:rsidR="00B302E4" w:rsidRDefault="00B302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25150736"/>
      <w:docPartObj>
        <w:docPartGallery w:val="Page Numbers (Bottom of Page)"/>
        <w:docPartUnique/>
      </w:docPartObj>
    </w:sdtPr>
    <w:sdtEndPr>
      <w:rPr>
        <w:rStyle w:val="PageNumber"/>
      </w:rPr>
    </w:sdtEndPr>
    <w:sdtContent>
      <w:p w14:paraId="79B9533A" w14:textId="7670A451" w:rsidR="00B302E4" w:rsidRDefault="00B302E4" w:rsidP="004E7C9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tbl>
    <w:tblPr>
      <w:tblW w:w="0" w:type="auto"/>
      <w:tblLayout w:type="fixed"/>
      <w:tblLook w:val="06A0" w:firstRow="1" w:lastRow="0" w:firstColumn="1" w:lastColumn="0" w:noHBand="1" w:noVBand="1"/>
    </w:tblPr>
    <w:tblGrid>
      <w:gridCol w:w="3120"/>
      <w:gridCol w:w="3120"/>
      <w:gridCol w:w="3120"/>
    </w:tblGrid>
    <w:tr w:rsidR="60A775A8" w14:paraId="17D78134" w14:textId="77777777" w:rsidTr="60A775A8">
      <w:trPr>
        <w:trHeight w:val="300"/>
      </w:trPr>
      <w:tc>
        <w:tcPr>
          <w:tcW w:w="3120" w:type="dxa"/>
        </w:tcPr>
        <w:p w14:paraId="74D27D09" w14:textId="634FEA00" w:rsidR="60A775A8" w:rsidRDefault="60A775A8" w:rsidP="60A775A8">
          <w:pPr>
            <w:pStyle w:val="Header"/>
            <w:ind w:left="-115"/>
          </w:pPr>
        </w:p>
      </w:tc>
      <w:tc>
        <w:tcPr>
          <w:tcW w:w="3120" w:type="dxa"/>
        </w:tcPr>
        <w:p w14:paraId="50C4F31B" w14:textId="719A903E" w:rsidR="60A775A8" w:rsidRDefault="60A775A8" w:rsidP="60A775A8">
          <w:pPr>
            <w:pStyle w:val="Header"/>
            <w:jc w:val="center"/>
          </w:pPr>
        </w:p>
      </w:tc>
      <w:tc>
        <w:tcPr>
          <w:tcW w:w="3120" w:type="dxa"/>
        </w:tcPr>
        <w:p w14:paraId="41AD23EF" w14:textId="20782C4E" w:rsidR="60A775A8" w:rsidRDefault="60A775A8" w:rsidP="60A775A8">
          <w:pPr>
            <w:pStyle w:val="Header"/>
            <w:ind w:right="-115"/>
            <w:jc w:val="right"/>
          </w:pPr>
        </w:p>
      </w:tc>
    </w:tr>
  </w:tbl>
  <w:p w14:paraId="6779DEBE" w14:textId="06C161F1" w:rsidR="60A775A8" w:rsidRDefault="60A775A8" w:rsidP="60A775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5D324F" w14:textId="77777777" w:rsidR="00870228" w:rsidRDefault="00870228">
      <w:pPr>
        <w:spacing w:after="0" w:line="240" w:lineRule="auto"/>
      </w:pPr>
      <w:r>
        <w:separator/>
      </w:r>
    </w:p>
  </w:footnote>
  <w:footnote w:type="continuationSeparator" w:id="0">
    <w:p w14:paraId="50AB16A1" w14:textId="77777777" w:rsidR="00870228" w:rsidRDefault="008702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60A775A8" w14:paraId="3C3CB01B" w14:textId="77777777" w:rsidTr="60A775A8">
      <w:trPr>
        <w:trHeight w:val="300"/>
      </w:trPr>
      <w:tc>
        <w:tcPr>
          <w:tcW w:w="3120" w:type="dxa"/>
        </w:tcPr>
        <w:p w14:paraId="0D570317" w14:textId="4C756E4D" w:rsidR="60A775A8" w:rsidRDefault="60A775A8" w:rsidP="60A775A8">
          <w:pPr>
            <w:pStyle w:val="Header"/>
            <w:ind w:left="-115"/>
          </w:pPr>
          <w:r>
            <w:t>2307239</w:t>
          </w:r>
        </w:p>
      </w:tc>
      <w:tc>
        <w:tcPr>
          <w:tcW w:w="3120" w:type="dxa"/>
        </w:tcPr>
        <w:p w14:paraId="4B58A09E" w14:textId="46586FDD" w:rsidR="60A775A8" w:rsidRDefault="00F542CB" w:rsidP="60A775A8">
          <w:pPr>
            <w:pStyle w:val="Header"/>
            <w:jc w:val="center"/>
          </w:pPr>
          <w:r>
            <w:t>ECEY4008</w:t>
          </w:r>
        </w:p>
      </w:tc>
      <w:tc>
        <w:tcPr>
          <w:tcW w:w="3120" w:type="dxa"/>
        </w:tcPr>
        <w:p w14:paraId="4EA0A332" w14:textId="1D04D066" w:rsidR="60A775A8" w:rsidRDefault="0008172B" w:rsidP="60A775A8">
          <w:pPr>
            <w:pStyle w:val="Header"/>
            <w:ind w:right="-115"/>
            <w:jc w:val="right"/>
          </w:pPr>
          <w:r>
            <w:t>922 Words</w:t>
          </w:r>
        </w:p>
      </w:tc>
    </w:tr>
  </w:tbl>
  <w:p w14:paraId="403141D5" w14:textId="52716EFE" w:rsidR="60A775A8" w:rsidRDefault="60A775A8" w:rsidP="60A775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AF7DF0"/>
    <w:multiLevelType w:val="hybridMultilevel"/>
    <w:tmpl w:val="55C26876"/>
    <w:lvl w:ilvl="0" w:tplc="446A2A0C">
      <w:start w:val="160"/>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81914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837B03"/>
    <w:rsid w:val="00007C3F"/>
    <w:rsid w:val="0001130F"/>
    <w:rsid w:val="0001237C"/>
    <w:rsid w:val="00012E67"/>
    <w:rsid w:val="000334E5"/>
    <w:rsid w:val="000413F2"/>
    <w:rsid w:val="00043919"/>
    <w:rsid w:val="00051636"/>
    <w:rsid w:val="00060005"/>
    <w:rsid w:val="00062BC0"/>
    <w:rsid w:val="0008172B"/>
    <w:rsid w:val="0008569F"/>
    <w:rsid w:val="000925C3"/>
    <w:rsid w:val="000969E2"/>
    <w:rsid w:val="00097133"/>
    <w:rsid w:val="000A5BE7"/>
    <w:rsid w:val="000A7083"/>
    <w:rsid w:val="000B1AA9"/>
    <w:rsid w:val="000B2286"/>
    <w:rsid w:val="000B283A"/>
    <w:rsid w:val="000B3E95"/>
    <w:rsid w:val="000B672A"/>
    <w:rsid w:val="000C0FDF"/>
    <w:rsid w:val="000C30C0"/>
    <w:rsid w:val="000E53EE"/>
    <w:rsid w:val="000F2E73"/>
    <w:rsid w:val="000F3D38"/>
    <w:rsid w:val="000F52F5"/>
    <w:rsid w:val="001009C6"/>
    <w:rsid w:val="00101933"/>
    <w:rsid w:val="00101E43"/>
    <w:rsid w:val="00105B79"/>
    <w:rsid w:val="00107BC7"/>
    <w:rsid w:val="00112716"/>
    <w:rsid w:val="00122129"/>
    <w:rsid w:val="0012316D"/>
    <w:rsid w:val="00125179"/>
    <w:rsid w:val="00130098"/>
    <w:rsid w:val="00133AD7"/>
    <w:rsid w:val="00135358"/>
    <w:rsid w:val="00135478"/>
    <w:rsid w:val="001366C2"/>
    <w:rsid w:val="00142D22"/>
    <w:rsid w:val="00146DD2"/>
    <w:rsid w:val="00147110"/>
    <w:rsid w:val="00167C2F"/>
    <w:rsid w:val="00170249"/>
    <w:rsid w:val="0017769E"/>
    <w:rsid w:val="001822BE"/>
    <w:rsid w:val="00194CEB"/>
    <w:rsid w:val="00196297"/>
    <w:rsid w:val="001A004B"/>
    <w:rsid w:val="001A01D5"/>
    <w:rsid w:val="001A4E29"/>
    <w:rsid w:val="001A5C97"/>
    <w:rsid w:val="001B6756"/>
    <w:rsid w:val="001C084B"/>
    <w:rsid w:val="001C3868"/>
    <w:rsid w:val="001C53E7"/>
    <w:rsid w:val="001D0201"/>
    <w:rsid w:val="001D0E7D"/>
    <w:rsid w:val="001D288A"/>
    <w:rsid w:val="001D3B97"/>
    <w:rsid w:val="001D3FD8"/>
    <w:rsid w:val="001D4B81"/>
    <w:rsid w:val="001D76DD"/>
    <w:rsid w:val="001E246D"/>
    <w:rsid w:val="001E2CE6"/>
    <w:rsid w:val="001F102D"/>
    <w:rsid w:val="001F23A4"/>
    <w:rsid w:val="001F49DB"/>
    <w:rsid w:val="001F4A9D"/>
    <w:rsid w:val="001F4DA2"/>
    <w:rsid w:val="001F631A"/>
    <w:rsid w:val="00200EA4"/>
    <w:rsid w:val="0020359A"/>
    <w:rsid w:val="0021239F"/>
    <w:rsid w:val="002132E4"/>
    <w:rsid w:val="00223124"/>
    <w:rsid w:val="00235438"/>
    <w:rsid w:val="002373FA"/>
    <w:rsid w:val="0024562D"/>
    <w:rsid w:val="00247805"/>
    <w:rsid w:val="00247BA6"/>
    <w:rsid w:val="002506FE"/>
    <w:rsid w:val="00256ECE"/>
    <w:rsid w:val="00263A96"/>
    <w:rsid w:val="00281D52"/>
    <w:rsid w:val="0028500C"/>
    <w:rsid w:val="00285F8A"/>
    <w:rsid w:val="002918D3"/>
    <w:rsid w:val="00294AB0"/>
    <w:rsid w:val="00294DBF"/>
    <w:rsid w:val="00295599"/>
    <w:rsid w:val="00297095"/>
    <w:rsid w:val="002A5689"/>
    <w:rsid w:val="002A67F3"/>
    <w:rsid w:val="002B01D1"/>
    <w:rsid w:val="002B5063"/>
    <w:rsid w:val="002C66AE"/>
    <w:rsid w:val="002D146B"/>
    <w:rsid w:val="002E35D3"/>
    <w:rsid w:val="002E5FCB"/>
    <w:rsid w:val="002E60B2"/>
    <w:rsid w:val="002F1C01"/>
    <w:rsid w:val="002F1EC1"/>
    <w:rsid w:val="002F3202"/>
    <w:rsid w:val="002F7CC3"/>
    <w:rsid w:val="00301CFB"/>
    <w:rsid w:val="003201A5"/>
    <w:rsid w:val="00331C88"/>
    <w:rsid w:val="00341456"/>
    <w:rsid w:val="0034559E"/>
    <w:rsid w:val="003469B7"/>
    <w:rsid w:val="003517FA"/>
    <w:rsid w:val="003553CF"/>
    <w:rsid w:val="0035676B"/>
    <w:rsid w:val="0036569B"/>
    <w:rsid w:val="00370568"/>
    <w:rsid w:val="00372FD6"/>
    <w:rsid w:val="0037504C"/>
    <w:rsid w:val="00376352"/>
    <w:rsid w:val="00376361"/>
    <w:rsid w:val="003763E0"/>
    <w:rsid w:val="00380F33"/>
    <w:rsid w:val="00383131"/>
    <w:rsid w:val="0038529F"/>
    <w:rsid w:val="003877B9"/>
    <w:rsid w:val="003901EF"/>
    <w:rsid w:val="00391D21"/>
    <w:rsid w:val="00391E3C"/>
    <w:rsid w:val="003A1A1A"/>
    <w:rsid w:val="003A64FE"/>
    <w:rsid w:val="003B09C9"/>
    <w:rsid w:val="003C4902"/>
    <w:rsid w:val="003D0A94"/>
    <w:rsid w:val="003D3C3E"/>
    <w:rsid w:val="003E0C81"/>
    <w:rsid w:val="003E0FA9"/>
    <w:rsid w:val="003E32E1"/>
    <w:rsid w:val="003E4EC4"/>
    <w:rsid w:val="003E7C70"/>
    <w:rsid w:val="003F1772"/>
    <w:rsid w:val="003F1A1C"/>
    <w:rsid w:val="003F1B26"/>
    <w:rsid w:val="003F5C53"/>
    <w:rsid w:val="003F5CC9"/>
    <w:rsid w:val="003F7B25"/>
    <w:rsid w:val="003F7F7A"/>
    <w:rsid w:val="00404BAA"/>
    <w:rsid w:val="00405686"/>
    <w:rsid w:val="00405BC9"/>
    <w:rsid w:val="00406D68"/>
    <w:rsid w:val="00442F63"/>
    <w:rsid w:val="00450F92"/>
    <w:rsid w:val="00452B20"/>
    <w:rsid w:val="00455D06"/>
    <w:rsid w:val="00456BC9"/>
    <w:rsid w:val="00457F68"/>
    <w:rsid w:val="00464AB5"/>
    <w:rsid w:val="00470A89"/>
    <w:rsid w:val="004717CC"/>
    <w:rsid w:val="00474934"/>
    <w:rsid w:val="00480E15"/>
    <w:rsid w:val="004902C7"/>
    <w:rsid w:val="00496426"/>
    <w:rsid w:val="004A0EB1"/>
    <w:rsid w:val="004C179F"/>
    <w:rsid w:val="004C2F78"/>
    <w:rsid w:val="004D08AB"/>
    <w:rsid w:val="004D2E79"/>
    <w:rsid w:val="004D3357"/>
    <w:rsid w:val="004D3620"/>
    <w:rsid w:val="004E0757"/>
    <w:rsid w:val="004E0A38"/>
    <w:rsid w:val="004E3E6C"/>
    <w:rsid w:val="004E650C"/>
    <w:rsid w:val="004F17F0"/>
    <w:rsid w:val="004F5804"/>
    <w:rsid w:val="005011C4"/>
    <w:rsid w:val="00511438"/>
    <w:rsid w:val="00522064"/>
    <w:rsid w:val="005235FE"/>
    <w:rsid w:val="00532DD4"/>
    <w:rsid w:val="00536E50"/>
    <w:rsid w:val="00540F70"/>
    <w:rsid w:val="00541883"/>
    <w:rsid w:val="00541D48"/>
    <w:rsid w:val="00542583"/>
    <w:rsid w:val="005432EB"/>
    <w:rsid w:val="0054740D"/>
    <w:rsid w:val="00555F99"/>
    <w:rsid w:val="005573DE"/>
    <w:rsid w:val="005579EF"/>
    <w:rsid w:val="00561FEC"/>
    <w:rsid w:val="00563204"/>
    <w:rsid w:val="00567B98"/>
    <w:rsid w:val="00586FA2"/>
    <w:rsid w:val="00594B64"/>
    <w:rsid w:val="005A60FC"/>
    <w:rsid w:val="005B136C"/>
    <w:rsid w:val="005B2B56"/>
    <w:rsid w:val="005B75F0"/>
    <w:rsid w:val="005C1632"/>
    <w:rsid w:val="005E3CA2"/>
    <w:rsid w:val="005E7CEA"/>
    <w:rsid w:val="005F64C2"/>
    <w:rsid w:val="006030D2"/>
    <w:rsid w:val="00606228"/>
    <w:rsid w:val="00607293"/>
    <w:rsid w:val="0061435E"/>
    <w:rsid w:val="00617F25"/>
    <w:rsid w:val="0062032E"/>
    <w:rsid w:val="00620A06"/>
    <w:rsid w:val="00642E8C"/>
    <w:rsid w:val="00643330"/>
    <w:rsid w:val="006453EC"/>
    <w:rsid w:val="006544DE"/>
    <w:rsid w:val="00665601"/>
    <w:rsid w:val="00670872"/>
    <w:rsid w:val="00674059"/>
    <w:rsid w:val="0067596E"/>
    <w:rsid w:val="00675BB5"/>
    <w:rsid w:val="0068115F"/>
    <w:rsid w:val="00682E70"/>
    <w:rsid w:val="00683046"/>
    <w:rsid w:val="00685561"/>
    <w:rsid w:val="00692685"/>
    <w:rsid w:val="00696182"/>
    <w:rsid w:val="006A10D4"/>
    <w:rsid w:val="006A2672"/>
    <w:rsid w:val="006A4C84"/>
    <w:rsid w:val="006A5A4F"/>
    <w:rsid w:val="006A6AAD"/>
    <w:rsid w:val="006A70DD"/>
    <w:rsid w:val="006B0251"/>
    <w:rsid w:val="006B2EAA"/>
    <w:rsid w:val="006C0FA3"/>
    <w:rsid w:val="006C2174"/>
    <w:rsid w:val="006D589C"/>
    <w:rsid w:val="006D5F06"/>
    <w:rsid w:val="006E0B96"/>
    <w:rsid w:val="006E0D38"/>
    <w:rsid w:val="006E7D04"/>
    <w:rsid w:val="006F4CC3"/>
    <w:rsid w:val="00700B3C"/>
    <w:rsid w:val="00701C80"/>
    <w:rsid w:val="00702B93"/>
    <w:rsid w:val="00703884"/>
    <w:rsid w:val="00707256"/>
    <w:rsid w:val="007110FD"/>
    <w:rsid w:val="0071143B"/>
    <w:rsid w:val="00712CC3"/>
    <w:rsid w:val="007166C2"/>
    <w:rsid w:val="00720A66"/>
    <w:rsid w:val="00720C2C"/>
    <w:rsid w:val="00722B90"/>
    <w:rsid w:val="00725954"/>
    <w:rsid w:val="007267FD"/>
    <w:rsid w:val="0073272B"/>
    <w:rsid w:val="007342E6"/>
    <w:rsid w:val="007412C1"/>
    <w:rsid w:val="0074782B"/>
    <w:rsid w:val="00751AE8"/>
    <w:rsid w:val="00757D2C"/>
    <w:rsid w:val="00763F72"/>
    <w:rsid w:val="00770006"/>
    <w:rsid w:val="0077053D"/>
    <w:rsid w:val="007815AD"/>
    <w:rsid w:val="0078593F"/>
    <w:rsid w:val="00786CCA"/>
    <w:rsid w:val="0079055F"/>
    <w:rsid w:val="0079171B"/>
    <w:rsid w:val="00791954"/>
    <w:rsid w:val="00796C4B"/>
    <w:rsid w:val="007A2E5C"/>
    <w:rsid w:val="007B3CD2"/>
    <w:rsid w:val="007B6AAF"/>
    <w:rsid w:val="007C0F47"/>
    <w:rsid w:val="007D0987"/>
    <w:rsid w:val="007D4454"/>
    <w:rsid w:val="007E2768"/>
    <w:rsid w:val="007E27D6"/>
    <w:rsid w:val="007E6435"/>
    <w:rsid w:val="007F4F5E"/>
    <w:rsid w:val="0081161C"/>
    <w:rsid w:val="00812606"/>
    <w:rsid w:val="008140A8"/>
    <w:rsid w:val="00817761"/>
    <w:rsid w:val="008210A1"/>
    <w:rsid w:val="00825AD2"/>
    <w:rsid w:val="00834346"/>
    <w:rsid w:val="00835809"/>
    <w:rsid w:val="008371C4"/>
    <w:rsid w:val="00840C88"/>
    <w:rsid w:val="008410DF"/>
    <w:rsid w:val="00847AA8"/>
    <w:rsid w:val="00856A8B"/>
    <w:rsid w:val="00866A8A"/>
    <w:rsid w:val="00870228"/>
    <w:rsid w:val="00872DFA"/>
    <w:rsid w:val="00873092"/>
    <w:rsid w:val="0087642F"/>
    <w:rsid w:val="00876C2A"/>
    <w:rsid w:val="008815CB"/>
    <w:rsid w:val="00882FB1"/>
    <w:rsid w:val="00890182"/>
    <w:rsid w:val="008918EF"/>
    <w:rsid w:val="00894BDA"/>
    <w:rsid w:val="008956E1"/>
    <w:rsid w:val="008A1365"/>
    <w:rsid w:val="008A31A3"/>
    <w:rsid w:val="008A3681"/>
    <w:rsid w:val="008A5029"/>
    <w:rsid w:val="008A5CBC"/>
    <w:rsid w:val="008A7F68"/>
    <w:rsid w:val="008C3E63"/>
    <w:rsid w:val="008C696E"/>
    <w:rsid w:val="008D2438"/>
    <w:rsid w:val="008D7EF1"/>
    <w:rsid w:val="008E5044"/>
    <w:rsid w:val="008E7ABC"/>
    <w:rsid w:val="008F12F7"/>
    <w:rsid w:val="008F250D"/>
    <w:rsid w:val="008F5C86"/>
    <w:rsid w:val="008F6462"/>
    <w:rsid w:val="008F7906"/>
    <w:rsid w:val="0090045D"/>
    <w:rsid w:val="00900626"/>
    <w:rsid w:val="00900C04"/>
    <w:rsid w:val="00903604"/>
    <w:rsid w:val="0090399C"/>
    <w:rsid w:val="009040FD"/>
    <w:rsid w:val="00904ECA"/>
    <w:rsid w:val="00906686"/>
    <w:rsid w:val="00906E52"/>
    <w:rsid w:val="00907029"/>
    <w:rsid w:val="0091344F"/>
    <w:rsid w:val="00913EFF"/>
    <w:rsid w:val="00916755"/>
    <w:rsid w:val="0091782A"/>
    <w:rsid w:val="00923D5A"/>
    <w:rsid w:val="00926291"/>
    <w:rsid w:val="0093013A"/>
    <w:rsid w:val="00930DD9"/>
    <w:rsid w:val="00932204"/>
    <w:rsid w:val="00944548"/>
    <w:rsid w:val="00950181"/>
    <w:rsid w:val="00950AB4"/>
    <w:rsid w:val="009515E6"/>
    <w:rsid w:val="0095237F"/>
    <w:rsid w:val="009542A3"/>
    <w:rsid w:val="009561ED"/>
    <w:rsid w:val="00956352"/>
    <w:rsid w:val="00956A9B"/>
    <w:rsid w:val="00961882"/>
    <w:rsid w:val="0096195A"/>
    <w:rsid w:val="0096280B"/>
    <w:rsid w:val="009659EC"/>
    <w:rsid w:val="00965DFA"/>
    <w:rsid w:val="00966483"/>
    <w:rsid w:val="00970303"/>
    <w:rsid w:val="00972C93"/>
    <w:rsid w:val="0097617F"/>
    <w:rsid w:val="009806E0"/>
    <w:rsid w:val="00984BBB"/>
    <w:rsid w:val="00997BB8"/>
    <w:rsid w:val="009A18CB"/>
    <w:rsid w:val="009A4DC9"/>
    <w:rsid w:val="009B2BD9"/>
    <w:rsid w:val="009B42D1"/>
    <w:rsid w:val="009B4D60"/>
    <w:rsid w:val="009B664B"/>
    <w:rsid w:val="009C560A"/>
    <w:rsid w:val="009C6158"/>
    <w:rsid w:val="009C6C0C"/>
    <w:rsid w:val="009D0633"/>
    <w:rsid w:val="009D2264"/>
    <w:rsid w:val="009D3806"/>
    <w:rsid w:val="009D4682"/>
    <w:rsid w:val="009F4706"/>
    <w:rsid w:val="009F625C"/>
    <w:rsid w:val="00A03E39"/>
    <w:rsid w:val="00A03EB3"/>
    <w:rsid w:val="00A03EE5"/>
    <w:rsid w:val="00A12005"/>
    <w:rsid w:val="00A12077"/>
    <w:rsid w:val="00A163EF"/>
    <w:rsid w:val="00A16DDD"/>
    <w:rsid w:val="00A20F92"/>
    <w:rsid w:val="00A213EA"/>
    <w:rsid w:val="00A2341E"/>
    <w:rsid w:val="00A241ED"/>
    <w:rsid w:val="00A2443A"/>
    <w:rsid w:val="00A2477B"/>
    <w:rsid w:val="00A31DEF"/>
    <w:rsid w:val="00A337A1"/>
    <w:rsid w:val="00A35FA6"/>
    <w:rsid w:val="00A412C9"/>
    <w:rsid w:val="00A50E9F"/>
    <w:rsid w:val="00A62A3F"/>
    <w:rsid w:val="00A64F65"/>
    <w:rsid w:val="00A7379A"/>
    <w:rsid w:val="00A73B29"/>
    <w:rsid w:val="00A8286D"/>
    <w:rsid w:val="00A85F00"/>
    <w:rsid w:val="00A868D6"/>
    <w:rsid w:val="00A95802"/>
    <w:rsid w:val="00A958F7"/>
    <w:rsid w:val="00AA2AE8"/>
    <w:rsid w:val="00AA394E"/>
    <w:rsid w:val="00AA40A7"/>
    <w:rsid w:val="00AA7670"/>
    <w:rsid w:val="00AA77E3"/>
    <w:rsid w:val="00AB0E3D"/>
    <w:rsid w:val="00AB4D78"/>
    <w:rsid w:val="00AC5358"/>
    <w:rsid w:val="00AC673F"/>
    <w:rsid w:val="00AC7A8D"/>
    <w:rsid w:val="00AD2C9D"/>
    <w:rsid w:val="00AD3619"/>
    <w:rsid w:val="00AE0967"/>
    <w:rsid w:val="00AE2182"/>
    <w:rsid w:val="00AE6521"/>
    <w:rsid w:val="00AE747A"/>
    <w:rsid w:val="00AF1D9C"/>
    <w:rsid w:val="00AF2DD1"/>
    <w:rsid w:val="00AF5E2E"/>
    <w:rsid w:val="00B07A18"/>
    <w:rsid w:val="00B12CD9"/>
    <w:rsid w:val="00B13249"/>
    <w:rsid w:val="00B20603"/>
    <w:rsid w:val="00B21BD1"/>
    <w:rsid w:val="00B22FED"/>
    <w:rsid w:val="00B25BB1"/>
    <w:rsid w:val="00B26E76"/>
    <w:rsid w:val="00B302E4"/>
    <w:rsid w:val="00B3076B"/>
    <w:rsid w:val="00B30DA0"/>
    <w:rsid w:val="00B33349"/>
    <w:rsid w:val="00B34E91"/>
    <w:rsid w:val="00B4010D"/>
    <w:rsid w:val="00B43C16"/>
    <w:rsid w:val="00B44DEF"/>
    <w:rsid w:val="00B54B91"/>
    <w:rsid w:val="00B64E40"/>
    <w:rsid w:val="00B654BE"/>
    <w:rsid w:val="00B75C11"/>
    <w:rsid w:val="00B821BC"/>
    <w:rsid w:val="00B86003"/>
    <w:rsid w:val="00B91268"/>
    <w:rsid w:val="00B945B1"/>
    <w:rsid w:val="00B9638C"/>
    <w:rsid w:val="00BA14A4"/>
    <w:rsid w:val="00BA5632"/>
    <w:rsid w:val="00BA7464"/>
    <w:rsid w:val="00BB4573"/>
    <w:rsid w:val="00BB6FD4"/>
    <w:rsid w:val="00BC3A4A"/>
    <w:rsid w:val="00BC41A4"/>
    <w:rsid w:val="00BD0168"/>
    <w:rsid w:val="00BD06C6"/>
    <w:rsid w:val="00BD1490"/>
    <w:rsid w:val="00BD19C3"/>
    <w:rsid w:val="00BD293F"/>
    <w:rsid w:val="00BD7759"/>
    <w:rsid w:val="00BE018D"/>
    <w:rsid w:val="00BE30F5"/>
    <w:rsid w:val="00BE4831"/>
    <w:rsid w:val="00BF23DB"/>
    <w:rsid w:val="00BF3FD7"/>
    <w:rsid w:val="00BF5593"/>
    <w:rsid w:val="00C00DF9"/>
    <w:rsid w:val="00C03E39"/>
    <w:rsid w:val="00C0430D"/>
    <w:rsid w:val="00C04E05"/>
    <w:rsid w:val="00C04E0D"/>
    <w:rsid w:val="00C1114B"/>
    <w:rsid w:val="00C12B3F"/>
    <w:rsid w:val="00C22017"/>
    <w:rsid w:val="00C24643"/>
    <w:rsid w:val="00C263D5"/>
    <w:rsid w:val="00C2688B"/>
    <w:rsid w:val="00C270D8"/>
    <w:rsid w:val="00C279F5"/>
    <w:rsid w:val="00C32DB9"/>
    <w:rsid w:val="00C330B7"/>
    <w:rsid w:val="00C43771"/>
    <w:rsid w:val="00C46B7A"/>
    <w:rsid w:val="00C51984"/>
    <w:rsid w:val="00C521C1"/>
    <w:rsid w:val="00C53090"/>
    <w:rsid w:val="00C56094"/>
    <w:rsid w:val="00C5688E"/>
    <w:rsid w:val="00C62646"/>
    <w:rsid w:val="00C63FC1"/>
    <w:rsid w:val="00C71342"/>
    <w:rsid w:val="00C7351B"/>
    <w:rsid w:val="00C7492C"/>
    <w:rsid w:val="00C77486"/>
    <w:rsid w:val="00C834EB"/>
    <w:rsid w:val="00C92CB6"/>
    <w:rsid w:val="00C935A0"/>
    <w:rsid w:val="00CA1B8B"/>
    <w:rsid w:val="00CA1D58"/>
    <w:rsid w:val="00CA22B0"/>
    <w:rsid w:val="00CA6E7D"/>
    <w:rsid w:val="00CB52E1"/>
    <w:rsid w:val="00CC38D5"/>
    <w:rsid w:val="00CC47E1"/>
    <w:rsid w:val="00CC5E1C"/>
    <w:rsid w:val="00CD1C76"/>
    <w:rsid w:val="00CE4E7D"/>
    <w:rsid w:val="00CE4EC9"/>
    <w:rsid w:val="00CE6858"/>
    <w:rsid w:val="00CE7692"/>
    <w:rsid w:val="00CF61AE"/>
    <w:rsid w:val="00CF67DA"/>
    <w:rsid w:val="00D00631"/>
    <w:rsid w:val="00D01829"/>
    <w:rsid w:val="00D15662"/>
    <w:rsid w:val="00D17D4D"/>
    <w:rsid w:val="00D21C31"/>
    <w:rsid w:val="00D248E5"/>
    <w:rsid w:val="00D24C0C"/>
    <w:rsid w:val="00D301C4"/>
    <w:rsid w:val="00D35B37"/>
    <w:rsid w:val="00D36E50"/>
    <w:rsid w:val="00D40A0F"/>
    <w:rsid w:val="00D41414"/>
    <w:rsid w:val="00D45CAF"/>
    <w:rsid w:val="00D47139"/>
    <w:rsid w:val="00D5416E"/>
    <w:rsid w:val="00D54AEE"/>
    <w:rsid w:val="00D56236"/>
    <w:rsid w:val="00D70549"/>
    <w:rsid w:val="00D71D71"/>
    <w:rsid w:val="00D74A11"/>
    <w:rsid w:val="00D86F6B"/>
    <w:rsid w:val="00D87F15"/>
    <w:rsid w:val="00D913D6"/>
    <w:rsid w:val="00D93979"/>
    <w:rsid w:val="00D96691"/>
    <w:rsid w:val="00D973F6"/>
    <w:rsid w:val="00DA4097"/>
    <w:rsid w:val="00DA702C"/>
    <w:rsid w:val="00DA7F7D"/>
    <w:rsid w:val="00DB5AAD"/>
    <w:rsid w:val="00DB78DC"/>
    <w:rsid w:val="00DD196F"/>
    <w:rsid w:val="00DD2EE7"/>
    <w:rsid w:val="00DE479B"/>
    <w:rsid w:val="00DE552F"/>
    <w:rsid w:val="00DF49F7"/>
    <w:rsid w:val="00DF581A"/>
    <w:rsid w:val="00DF740C"/>
    <w:rsid w:val="00E00769"/>
    <w:rsid w:val="00E0688A"/>
    <w:rsid w:val="00E123FC"/>
    <w:rsid w:val="00E12F67"/>
    <w:rsid w:val="00E20980"/>
    <w:rsid w:val="00E3124C"/>
    <w:rsid w:val="00E36367"/>
    <w:rsid w:val="00E4009F"/>
    <w:rsid w:val="00E4506F"/>
    <w:rsid w:val="00E455BC"/>
    <w:rsid w:val="00E479D9"/>
    <w:rsid w:val="00E70A29"/>
    <w:rsid w:val="00E7167C"/>
    <w:rsid w:val="00E73876"/>
    <w:rsid w:val="00E74C2E"/>
    <w:rsid w:val="00E770A8"/>
    <w:rsid w:val="00E77F74"/>
    <w:rsid w:val="00E822DA"/>
    <w:rsid w:val="00E83DAB"/>
    <w:rsid w:val="00E85D3E"/>
    <w:rsid w:val="00E86D86"/>
    <w:rsid w:val="00E878BC"/>
    <w:rsid w:val="00E87BF9"/>
    <w:rsid w:val="00E926E7"/>
    <w:rsid w:val="00E944EA"/>
    <w:rsid w:val="00E94DD4"/>
    <w:rsid w:val="00E95302"/>
    <w:rsid w:val="00E95A4B"/>
    <w:rsid w:val="00EA4ACC"/>
    <w:rsid w:val="00EA6D6A"/>
    <w:rsid w:val="00EA7E9A"/>
    <w:rsid w:val="00EB1858"/>
    <w:rsid w:val="00EB5620"/>
    <w:rsid w:val="00EC7845"/>
    <w:rsid w:val="00ED1F74"/>
    <w:rsid w:val="00ED5785"/>
    <w:rsid w:val="00ED7E09"/>
    <w:rsid w:val="00EE4299"/>
    <w:rsid w:val="00EE48BB"/>
    <w:rsid w:val="00EE7AB7"/>
    <w:rsid w:val="00F05B37"/>
    <w:rsid w:val="00F11858"/>
    <w:rsid w:val="00F123F5"/>
    <w:rsid w:val="00F224F5"/>
    <w:rsid w:val="00F23255"/>
    <w:rsid w:val="00F24EE7"/>
    <w:rsid w:val="00F34807"/>
    <w:rsid w:val="00F376A4"/>
    <w:rsid w:val="00F419E9"/>
    <w:rsid w:val="00F46B67"/>
    <w:rsid w:val="00F542CB"/>
    <w:rsid w:val="00F55109"/>
    <w:rsid w:val="00F55F86"/>
    <w:rsid w:val="00F62E0D"/>
    <w:rsid w:val="00F74AF6"/>
    <w:rsid w:val="00F758AA"/>
    <w:rsid w:val="00F81E5D"/>
    <w:rsid w:val="00F83E32"/>
    <w:rsid w:val="00F84DEF"/>
    <w:rsid w:val="00F85168"/>
    <w:rsid w:val="00F85ACA"/>
    <w:rsid w:val="00F93209"/>
    <w:rsid w:val="00FA03F1"/>
    <w:rsid w:val="00FA0848"/>
    <w:rsid w:val="00FA2E09"/>
    <w:rsid w:val="00FB1444"/>
    <w:rsid w:val="00FB5B1D"/>
    <w:rsid w:val="00FB6FDD"/>
    <w:rsid w:val="00FB7142"/>
    <w:rsid w:val="00FB7E02"/>
    <w:rsid w:val="00FC2D7A"/>
    <w:rsid w:val="00FC35C6"/>
    <w:rsid w:val="00FC4D1D"/>
    <w:rsid w:val="00FC56FF"/>
    <w:rsid w:val="00FC6229"/>
    <w:rsid w:val="00FC7E7E"/>
    <w:rsid w:val="00FD1EB8"/>
    <w:rsid w:val="00FD271C"/>
    <w:rsid w:val="00FD35EB"/>
    <w:rsid w:val="00FD4711"/>
    <w:rsid w:val="00FE4CFB"/>
    <w:rsid w:val="00FE613C"/>
    <w:rsid w:val="00FE736F"/>
    <w:rsid w:val="00FE79A4"/>
    <w:rsid w:val="00FF1F76"/>
    <w:rsid w:val="00FF2B5F"/>
    <w:rsid w:val="00FF6639"/>
    <w:rsid w:val="00FF6F59"/>
    <w:rsid w:val="00FF7017"/>
    <w:rsid w:val="00FF7796"/>
    <w:rsid w:val="42D83440"/>
    <w:rsid w:val="53837B03"/>
    <w:rsid w:val="5B015775"/>
    <w:rsid w:val="5D6FD4E6"/>
    <w:rsid w:val="60A775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37B03"/>
  <w15:chartTrackingRefBased/>
  <w15:docId w15:val="{3AD0A3F0-6B4F-4A84-9706-A2E567470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2D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PageNumber">
    <w:name w:val="page number"/>
    <w:basedOn w:val="DefaultParagraphFont"/>
    <w:uiPriority w:val="99"/>
    <w:semiHidden/>
    <w:unhideWhenUsed/>
    <w:rsid w:val="00B302E4"/>
  </w:style>
  <w:style w:type="paragraph" w:styleId="ListParagraph">
    <w:name w:val="List Paragraph"/>
    <w:basedOn w:val="Normal"/>
    <w:uiPriority w:val="34"/>
    <w:qFormat/>
    <w:rsid w:val="00A03EE5"/>
    <w:pPr>
      <w:ind w:left="720"/>
      <w:contextualSpacing/>
    </w:pPr>
  </w:style>
  <w:style w:type="character" w:styleId="Hyperlink">
    <w:name w:val="Hyperlink"/>
    <w:basedOn w:val="DefaultParagraphFont"/>
    <w:uiPriority w:val="99"/>
    <w:unhideWhenUsed/>
    <w:rsid w:val="00A31DEF"/>
    <w:rPr>
      <w:color w:val="0563C1" w:themeColor="hyperlink"/>
      <w:u w:val="single"/>
    </w:rPr>
  </w:style>
  <w:style w:type="character" w:styleId="UnresolvedMention">
    <w:name w:val="Unresolved Mention"/>
    <w:basedOn w:val="DefaultParagraphFont"/>
    <w:uiPriority w:val="99"/>
    <w:semiHidden/>
    <w:unhideWhenUsed/>
    <w:rsid w:val="00A31DEF"/>
    <w:rPr>
      <w:color w:val="605E5C"/>
      <w:shd w:val="clear" w:color="auto" w:fill="E1DFDD"/>
    </w:rPr>
  </w:style>
  <w:style w:type="character" w:styleId="FollowedHyperlink">
    <w:name w:val="FollowedHyperlink"/>
    <w:basedOn w:val="DefaultParagraphFont"/>
    <w:uiPriority w:val="99"/>
    <w:semiHidden/>
    <w:unhideWhenUsed/>
    <w:rsid w:val="006B2EAA"/>
    <w:rPr>
      <w:color w:val="954F72" w:themeColor="followedHyperlink"/>
      <w:u w:val="single"/>
    </w:rPr>
  </w:style>
  <w:style w:type="character" w:styleId="Strong">
    <w:name w:val="Strong"/>
    <w:basedOn w:val="DefaultParagraphFont"/>
    <w:uiPriority w:val="22"/>
    <w:qFormat/>
    <w:rsid w:val="006C2174"/>
    <w:rPr>
      <w:b/>
      <w:bCs/>
    </w:rPr>
  </w:style>
  <w:style w:type="character" w:customStyle="1" w:styleId="authorname">
    <w:name w:val="authorname"/>
    <w:basedOn w:val="DefaultParagraphFont"/>
    <w:rsid w:val="00A73B29"/>
  </w:style>
  <w:style w:type="character" w:customStyle="1" w:styleId="separator">
    <w:name w:val="separator"/>
    <w:basedOn w:val="DefaultParagraphFont"/>
    <w:rsid w:val="00A73B29"/>
  </w:style>
  <w:style w:type="character" w:customStyle="1" w:styleId="Date1">
    <w:name w:val="Date1"/>
    <w:basedOn w:val="DefaultParagraphFont"/>
    <w:rsid w:val="00A73B29"/>
  </w:style>
  <w:style w:type="character" w:customStyle="1" w:styleId="arttitle">
    <w:name w:val="art_title"/>
    <w:basedOn w:val="DefaultParagraphFont"/>
    <w:rsid w:val="00A73B29"/>
  </w:style>
  <w:style w:type="character" w:customStyle="1" w:styleId="serialtitle">
    <w:name w:val="serial_title"/>
    <w:basedOn w:val="DefaultParagraphFont"/>
    <w:rsid w:val="00A73B29"/>
  </w:style>
  <w:style w:type="character" w:customStyle="1" w:styleId="volumeissue">
    <w:name w:val="volume_issue"/>
    <w:basedOn w:val="DefaultParagraphFont"/>
    <w:rsid w:val="00A73B29"/>
  </w:style>
  <w:style w:type="character" w:customStyle="1" w:styleId="pagerange">
    <w:name w:val="page_range"/>
    <w:basedOn w:val="DefaultParagraphFont"/>
    <w:rsid w:val="00A73B29"/>
  </w:style>
  <w:style w:type="character" w:customStyle="1" w:styleId="doilink">
    <w:name w:val="doi_link"/>
    <w:basedOn w:val="DefaultParagraphFont"/>
    <w:rsid w:val="00A73B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8457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4623943.2021.1978066"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doi.org/10.3200/CTCH.54.2.231-236"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youtube.com/watch?v=RyqFD5OAJ40" TargetMode="External"/><Relationship Id="rId4" Type="http://schemas.openxmlformats.org/officeDocument/2006/relationships/webSettings" Target="webSettings.xml"/><Relationship Id="rId9" Type="http://schemas.openxmlformats.org/officeDocument/2006/relationships/hyperlink" Target="https://doi.org/10.1016/j.ijer.2020.10162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1288</Words>
  <Characters>7346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Nurul Subhan</dc:creator>
  <cp:keywords/>
  <dc:description/>
  <cp:lastModifiedBy>Nurul Subhan (2307239)</cp:lastModifiedBy>
  <cp:revision>2</cp:revision>
  <dcterms:created xsi:type="dcterms:W3CDTF">2023-09-28T21:35:00Z</dcterms:created>
  <dcterms:modified xsi:type="dcterms:W3CDTF">2023-09-28T21:35:00Z</dcterms:modified>
</cp:coreProperties>
</file>