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912D7" w14:textId="77777777" w:rsidR="00A72093" w:rsidRDefault="00A72093" w:rsidP="00A72093">
      <w:pPr>
        <w:jc w:val="center"/>
        <w:rPr>
          <w:rFonts w:ascii="Arial" w:hAnsi="Arial" w:cs="Arial"/>
          <w:b/>
          <w:sz w:val="32"/>
          <w:szCs w:val="32"/>
        </w:rPr>
      </w:pPr>
    </w:p>
    <w:p w14:paraId="72D4B3EB" w14:textId="77777777" w:rsidR="00A72093" w:rsidRPr="00A72093" w:rsidRDefault="00A72093" w:rsidP="00A72093">
      <w:pPr>
        <w:jc w:val="center"/>
        <w:rPr>
          <w:rFonts w:ascii="Arial" w:hAnsi="Arial" w:cs="Arial"/>
          <w:b/>
          <w:sz w:val="32"/>
          <w:szCs w:val="32"/>
        </w:rPr>
      </w:pPr>
      <w:r w:rsidRPr="00A72093">
        <w:rPr>
          <w:rFonts w:ascii="Arial" w:hAnsi="Arial" w:cs="Arial"/>
          <w:b/>
          <w:sz w:val="32"/>
          <w:szCs w:val="32"/>
        </w:rPr>
        <w:t>Module: Health Care System Organisation and Leadership</w:t>
      </w:r>
    </w:p>
    <w:p w14:paraId="6177050B" w14:textId="77777777" w:rsidR="00A72093" w:rsidRPr="00A72093" w:rsidRDefault="00A72093" w:rsidP="00DA79AA">
      <w:pPr>
        <w:jc w:val="center"/>
        <w:rPr>
          <w:rFonts w:ascii="Arial" w:hAnsi="Arial" w:cs="Arial"/>
          <w:b/>
          <w:sz w:val="32"/>
          <w:szCs w:val="32"/>
        </w:rPr>
      </w:pPr>
      <w:r w:rsidRPr="00A72093">
        <w:rPr>
          <w:rFonts w:ascii="Arial" w:hAnsi="Arial" w:cs="Arial"/>
          <w:b/>
          <w:sz w:val="32"/>
          <w:szCs w:val="32"/>
        </w:rPr>
        <w:t>Module code: LCHS7002</w:t>
      </w:r>
    </w:p>
    <w:p w14:paraId="6536C30A" w14:textId="77777777" w:rsidR="00A72093" w:rsidRDefault="00A72093" w:rsidP="00DA79AA">
      <w:pPr>
        <w:jc w:val="center"/>
        <w:rPr>
          <w:rFonts w:ascii="Arial" w:hAnsi="Arial" w:cs="Arial"/>
          <w:b/>
          <w:sz w:val="32"/>
          <w:szCs w:val="32"/>
        </w:rPr>
      </w:pPr>
      <w:r w:rsidRPr="00A72093">
        <w:rPr>
          <w:rFonts w:ascii="Arial" w:hAnsi="Arial" w:cs="Arial"/>
          <w:b/>
          <w:sz w:val="32"/>
          <w:szCs w:val="32"/>
        </w:rPr>
        <w:t>Case Study Analysis Report</w:t>
      </w:r>
    </w:p>
    <w:p w14:paraId="3555CFB6" w14:textId="77777777" w:rsidR="00DA79AA" w:rsidRDefault="00DA79AA" w:rsidP="00DA79AA">
      <w:pPr>
        <w:jc w:val="center"/>
        <w:rPr>
          <w:rFonts w:ascii="Arial" w:hAnsi="Arial" w:cs="Arial"/>
          <w:b/>
          <w:sz w:val="32"/>
          <w:szCs w:val="32"/>
        </w:rPr>
      </w:pPr>
    </w:p>
    <w:p w14:paraId="0199B961" w14:textId="77777777" w:rsidR="00DA79AA" w:rsidRDefault="00DA79AA" w:rsidP="00DA79AA">
      <w:pPr>
        <w:jc w:val="center"/>
        <w:rPr>
          <w:rFonts w:ascii="Arial" w:hAnsi="Arial" w:cs="Arial"/>
          <w:b/>
          <w:bCs/>
          <w:sz w:val="32"/>
          <w:szCs w:val="32"/>
          <w:lang w:val="en"/>
        </w:rPr>
      </w:pPr>
      <w:r w:rsidRPr="00DA79AA">
        <w:rPr>
          <w:rFonts w:ascii="Arial" w:hAnsi="Arial" w:cs="Arial"/>
          <w:b/>
          <w:bCs/>
          <w:sz w:val="32"/>
          <w:szCs w:val="32"/>
          <w:lang w:val="en"/>
        </w:rPr>
        <w:t xml:space="preserve">Student Name: Dhruvisha Prajapati </w:t>
      </w:r>
    </w:p>
    <w:p w14:paraId="39EE63C7" w14:textId="77777777" w:rsidR="00DA79AA" w:rsidRPr="00DA79AA" w:rsidRDefault="00DA79AA" w:rsidP="00DA79AA">
      <w:pPr>
        <w:jc w:val="center"/>
        <w:rPr>
          <w:rFonts w:ascii="Arial" w:hAnsi="Arial" w:cs="Arial"/>
          <w:b/>
          <w:bCs/>
          <w:sz w:val="32"/>
          <w:szCs w:val="32"/>
          <w:lang w:val="en"/>
        </w:rPr>
      </w:pPr>
    </w:p>
    <w:p w14:paraId="4256AC85" w14:textId="77777777" w:rsidR="00DA79AA" w:rsidRDefault="00DA79AA" w:rsidP="00DA79AA">
      <w:pPr>
        <w:jc w:val="center"/>
        <w:rPr>
          <w:rFonts w:ascii="Arial" w:hAnsi="Arial" w:cs="Arial"/>
          <w:b/>
          <w:bCs/>
          <w:sz w:val="32"/>
          <w:szCs w:val="32"/>
          <w:lang w:val="en"/>
        </w:rPr>
      </w:pPr>
      <w:r w:rsidRPr="00DA79AA">
        <w:rPr>
          <w:rFonts w:ascii="Arial" w:hAnsi="Arial" w:cs="Arial"/>
          <w:b/>
          <w:bCs/>
          <w:sz w:val="32"/>
          <w:szCs w:val="32"/>
          <w:lang w:val="en"/>
        </w:rPr>
        <w:t>Student Number:2542085</w:t>
      </w:r>
    </w:p>
    <w:p w14:paraId="271B0400" w14:textId="77777777" w:rsidR="00DA79AA" w:rsidRPr="00DA79AA" w:rsidRDefault="00DA79AA" w:rsidP="00DA79AA">
      <w:pPr>
        <w:jc w:val="center"/>
        <w:rPr>
          <w:rFonts w:ascii="Arial" w:hAnsi="Arial" w:cs="Arial"/>
          <w:b/>
          <w:bCs/>
          <w:sz w:val="32"/>
          <w:szCs w:val="32"/>
          <w:lang w:val="en"/>
        </w:rPr>
      </w:pPr>
    </w:p>
    <w:p w14:paraId="3AB8BD0B" w14:textId="21F33E4E" w:rsidR="00DA79AA" w:rsidRDefault="00DA79AA" w:rsidP="00DA79AA">
      <w:pPr>
        <w:jc w:val="center"/>
        <w:rPr>
          <w:rFonts w:ascii="Arial" w:hAnsi="Arial" w:cs="Arial"/>
          <w:b/>
          <w:bCs/>
          <w:sz w:val="32"/>
          <w:szCs w:val="32"/>
          <w:lang w:val="en"/>
        </w:rPr>
      </w:pPr>
      <w:r w:rsidRPr="00DA79AA">
        <w:rPr>
          <w:rFonts w:ascii="Arial" w:hAnsi="Arial" w:cs="Arial"/>
          <w:b/>
          <w:bCs/>
          <w:sz w:val="32"/>
          <w:szCs w:val="32"/>
          <w:lang w:val="en"/>
        </w:rPr>
        <w:t xml:space="preserve">Lecturer: </w:t>
      </w:r>
      <w:r w:rsidRPr="00DA79AA">
        <w:rPr>
          <w:rFonts w:ascii="Arial" w:hAnsi="Arial" w:cs="Arial"/>
          <w:b/>
          <w:bCs/>
          <w:sz w:val="32"/>
          <w:szCs w:val="32"/>
        </w:rPr>
        <w:t>Dr Pascal Navelle</w:t>
      </w:r>
    </w:p>
    <w:p w14:paraId="761BC699" w14:textId="77777777" w:rsidR="00DA79AA" w:rsidRPr="00DA79AA" w:rsidRDefault="00DA79AA" w:rsidP="00DA79AA">
      <w:pPr>
        <w:jc w:val="center"/>
        <w:rPr>
          <w:rFonts w:ascii="Arial" w:hAnsi="Arial" w:cs="Arial"/>
          <w:b/>
          <w:bCs/>
          <w:sz w:val="32"/>
          <w:szCs w:val="32"/>
          <w:lang w:val="en"/>
        </w:rPr>
      </w:pPr>
    </w:p>
    <w:p w14:paraId="18C38133" w14:textId="3CF946BA" w:rsidR="00DA79AA" w:rsidRDefault="00DA79AA" w:rsidP="00DA79AA">
      <w:pPr>
        <w:jc w:val="center"/>
        <w:rPr>
          <w:rFonts w:ascii="Arial" w:hAnsi="Arial" w:cs="Arial"/>
          <w:b/>
          <w:bCs/>
          <w:sz w:val="32"/>
          <w:szCs w:val="32"/>
          <w:lang w:val="en"/>
        </w:rPr>
      </w:pPr>
      <w:r w:rsidRPr="00DA79AA">
        <w:rPr>
          <w:rFonts w:ascii="Arial" w:hAnsi="Arial" w:cs="Arial"/>
          <w:b/>
          <w:bCs/>
          <w:sz w:val="32"/>
          <w:szCs w:val="32"/>
          <w:lang w:val="en"/>
        </w:rPr>
        <w:t>Submission Date: 1</w:t>
      </w:r>
      <w:r>
        <w:rPr>
          <w:rFonts w:ascii="Arial" w:hAnsi="Arial" w:cs="Arial"/>
          <w:b/>
          <w:bCs/>
          <w:sz w:val="32"/>
          <w:szCs w:val="32"/>
          <w:lang w:val="en"/>
        </w:rPr>
        <w:t>1</w:t>
      </w:r>
      <w:r w:rsidRPr="00DA79AA">
        <w:rPr>
          <w:rFonts w:ascii="Arial" w:hAnsi="Arial" w:cs="Arial"/>
          <w:b/>
          <w:bCs/>
          <w:sz w:val="32"/>
          <w:szCs w:val="32"/>
          <w:lang w:val="en"/>
        </w:rPr>
        <w:t>-0</w:t>
      </w:r>
      <w:r>
        <w:rPr>
          <w:rFonts w:ascii="Arial" w:hAnsi="Arial" w:cs="Arial"/>
          <w:b/>
          <w:bCs/>
          <w:sz w:val="32"/>
          <w:szCs w:val="32"/>
          <w:lang w:val="en"/>
        </w:rPr>
        <w:t>8</w:t>
      </w:r>
      <w:r w:rsidRPr="00DA79AA">
        <w:rPr>
          <w:rFonts w:ascii="Arial" w:hAnsi="Arial" w:cs="Arial"/>
          <w:b/>
          <w:bCs/>
          <w:sz w:val="32"/>
          <w:szCs w:val="32"/>
          <w:lang w:val="en"/>
        </w:rPr>
        <w:t>-2026</w:t>
      </w:r>
    </w:p>
    <w:p w14:paraId="41E9F0A2" w14:textId="77777777" w:rsidR="00DA79AA" w:rsidRPr="00DA79AA" w:rsidRDefault="00DA79AA" w:rsidP="00DA79AA">
      <w:pPr>
        <w:jc w:val="center"/>
        <w:rPr>
          <w:rFonts w:ascii="Arial" w:hAnsi="Arial" w:cs="Arial"/>
          <w:b/>
          <w:bCs/>
          <w:sz w:val="32"/>
          <w:szCs w:val="32"/>
          <w:lang w:val="en"/>
        </w:rPr>
      </w:pPr>
    </w:p>
    <w:p w14:paraId="0020F7CD" w14:textId="392DCA86" w:rsidR="00DA79AA" w:rsidRPr="00DA79AA" w:rsidRDefault="00DA79AA" w:rsidP="00DA79AA">
      <w:pPr>
        <w:jc w:val="center"/>
        <w:rPr>
          <w:rFonts w:ascii="Arial" w:hAnsi="Arial" w:cs="Arial"/>
          <w:b/>
          <w:bCs/>
          <w:sz w:val="32"/>
          <w:szCs w:val="32"/>
          <w:lang w:val="en"/>
        </w:rPr>
      </w:pPr>
      <w:r w:rsidRPr="00DA79AA">
        <w:rPr>
          <w:rFonts w:ascii="Arial" w:hAnsi="Arial" w:cs="Arial"/>
          <w:b/>
          <w:bCs/>
          <w:sz w:val="32"/>
          <w:szCs w:val="32"/>
          <w:lang w:val="en"/>
        </w:rPr>
        <w:t xml:space="preserve">Word Count: </w:t>
      </w:r>
      <w:r>
        <w:rPr>
          <w:rFonts w:ascii="Arial" w:hAnsi="Arial" w:cs="Arial"/>
          <w:b/>
          <w:bCs/>
          <w:sz w:val="32"/>
          <w:szCs w:val="32"/>
          <w:lang w:val="en"/>
        </w:rPr>
        <w:t>5255</w:t>
      </w:r>
    </w:p>
    <w:p w14:paraId="0BCF3590" w14:textId="77777777" w:rsidR="00DA79AA" w:rsidRPr="00DA79AA" w:rsidRDefault="00DA79AA" w:rsidP="00DA79AA">
      <w:pPr>
        <w:jc w:val="center"/>
        <w:rPr>
          <w:rFonts w:ascii="Arial" w:hAnsi="Arial" w:cs="Arial"/>
          <w:b/>
          <w:bCs/>
          <w:sz w:val="32"/>
          <w:szCs w:val="32"/>
          <w:lang w:val="en"/>
        </w:rPr>
      </w:pPr>
      <w:r w:rsidRPr="00DA79AA">
        <w:rPr>
          <w:rFonts w:ascii="Arial" w:hAnsi="Arial" w:cs="Arial"/>
          <w:b/>
          <w:sz w:val="32"/>
          <w:szCs w:val="32"/>
          <w:lang w:val="en"/>
        </w:rPr>
        <w:br w:type="page"/>
      </w:r>
      <w:bookmarkStart w:id="0" w:name="_heading=h.utq32zoe7fi1"/>
      <w:bookmarkEnd w:id="0"/>
    </w:p>
    <w:sdt>
      <w:sdtPr>
        <w:rPr>
          <w:rFonts w:asciiTheme="minorHAnsi" w:eastAsiaTheme="minorHAnsi" w:hAnsiTheme="minorHAnsi" w:cstheme="minorBidi"/>
          <w:color w:val="auto"/>
          <w:sz w:val="22"/>
          <w:szCs w:val="22"/>
          <w:lang w:val="en-GB"/>
        </w:rPr>
        <w:id w:val="1871648444"/>
        <w:docPartObj>
          <w:docPartGallery w:val="Table of Contents"/>
          <w:docPartUnique/>
        </w:docPartObj>
      </w:sdtPr>
      <w:sdtEndPr>
        <w:rPr>
          <w:b/>
          <w:bCs/>
          <w:noProof/>
        </w:rPr>
      </w:sdtEndPr>
      <w:sdtContent>
        <w:p w14:paraId="65C1A311" w14:textId="77777777" w:rsidR="00A72093" w:rsidRPr="00A72093" w:rsidRDefault="00A72093" w:rsidP="00A72093">
          <w:pPr>
            <w:pStyle w:val="TOCHeading"/>
            <w:spacing w:line="360" w:lineRule="auto"/>
            <w:jc w:val="both"/>
            <w:rPr>
              <w:rFonts w:ascii="Arial" w:hAnsi="Arial" w:cs="Arial"/>
              <w:b/>
              <w:color w:val="auto"/>
              <w:sz w:val="24"/>
              <w:szCs w:val="24"/>
            </w:rPr>
          </w:pPr>
          <w:r w:rsidRPr="00A72093">
            <w:rPr>
              <w:rFonts w:ascii="Arial" w:hAnsi="Arial" w:cs="Arial"/>
              <w:b/>
              <w:color w:val="auto"/>
              <w:sz w:val="24"/>
              <w:szCs w:val="24"/>
            </w:rPr>
            <w:t>Table of Contents</w:t>
          </w:r>
        </w:p>
        <w:p w14:paraId="5099B477" w14:textId="0798EC83" w:rsidR="00A72093" w:rsidRPr="00A72093" w:rsidRDefault="00A72093" w:rsidP="00A72093">
          <w:pPr>
            <w:pStyle w:val="TOC1"/>
            <w:tabs>
              <w:tab w:val="right" w:leader="dot" w:pos="9016"/>
            </w:tabs>
            <w:spacing w:line="360" w:lineRule="auto"/>
            <w:jc w:val="both"/>
            <w:rPr>
              <w:rFonts w:ascii="Arial" w:hAnsi="Arial" w:cs="Arial"/>
              <w:noProof/>
              <w:sz w:val="24"/>
              <w:szCs w:val="24"/>
            </w:rPr>
          </w:pPr>
          <w:r w:rsidRPr="00A72093">
            <w:rPr>
              <w:rFonts w:ascii="Arial" w:hAnsi="Arial" w:cs="Arial"/>
              <w:sz w:val="24"/>
              <w:szCs w:val="24"/>
            </w:rPr>
            <w:fldChar w:fldCharType="begin"/>
          </w:r>
          <w:r w:rsidRPr="00A72093">
            <w:rPr>
              <w:rFonts w:ascii="Arial" w:hAnsi="Arial" w:cs="Arial"/>
              <w:sz w:val="24"/>
              <w:szCs w:val="24"/>
            </w:rPr>
            <w:instrText xml:space="preserve"> TOC \o "1-3" \h \z \u </w:instrText>
          </w:r>
          <w:r w:rsidRPr="00A72093">
            <w:rPr>
              <w:rFonts w:ascii="Arial" w:hAnsi="Arial" w:cs="Arial"/>
              <w:sz w:val="24"/>
              <w:szCs w:val="24"/>
            </w:rPr>
            <w:fldChar w:fldCharType="separate"/>
          </w:r>
          <w:hyperlink w:anchor="_Toc237004573" w:history="1">
            <w:r w:rsidRPr="00A72093">
              <w:rPr>
                <w:rStyle w:val="Hyperlink"/>
                <w:rFonts w:ascii="Arial" w:hAnsi="Arial" w:cs="Arial"/>
                <w:noProof/>
                <w:color w:val="auto"/>
                <w:sz w:val="24"/>
                <w:szCs w:val="24"/>
              </w:rPr>
              <w:t>1.0 Introduction</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_Toc237004573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3</w:t>
            </w:r>
            <w:r w:rsidRPr="00A72093">
              <w:rPr>
                <w:rFonts w:ascii="Arial" w:hAnsi="Arial" w:cs="Arial"/>
                <w:noProof/>
                <w:webHidden/>
                <w:sz w:val="24"/>
                <w:szCs w:val="24"/>
              </w:rPr>
              <w:fldChar w:fldCharType="end"/>
            </w:r>
          </w:hyperlink>
        </w:p>
        <w:p w14:paraId="33AD2BA6" w14:textId="7863DCEE"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74" w:history="1">
            <w:r w:rsidRPr="00A72093">
              <w:rPr>
                <w:rStyle w:val="Hyperlink"/>
                <w:rFonts w:ascii="Arial" w:hAnsi="Arial" w:cs="Arial"/>
                <w:noProof/>
                <w:color w:val="auto"/>
                <w:sz w:val="24"/>
                <w:szCs w:val="24"/>
              </w:rPr>
              <w:t>2.0 Main Body and Analysis</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_Toc237004574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5</w:t>
            </w:r>
            <w:r w:rsidRPr="00A72093">
              <w:rPr>
                <w:rFonts w:ascii="Arial" w:hAnsi="Arial" w:cs="Arial"/>
                <w:noProof/>
                <w:webHidden/>
                <w:sz w:val="24"/>
                <w:szCs w:val="24"/>
              </w:rPr>
              <w:fldChar w:fldCharType="end"/>
            </w:r>
          </w:hyperlink>
        </w:p>
        <w:p w14:paraId="157040CC" w14:textId="7AECF894"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5" w:history="1">
            <w:r w:rsidRPr="00A72093">
              <w:rPr>
                <w:rStyle w:val="Hyperlink"/>
                <w:rFonts w:ascii="Arial" w:hAnsi="Arial" w:cs="Arial"/>
                <w:noProof/>
                <w:color w:val="auto"/>
                <w:sz w:val="24"/>
                <w:szCs w:val="24"/>
              </w:rPr>
              <w:t>a. Identifying the Problem and Setting the System Context- Applying Systems Thinking and the Rich Picture</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_Toc237004575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5</w:t>
            </w:r>
            <w:r w:rsidRPr="00A72093">
              <w:rPr>
                <w:rFonts w:ascii="Arial" w:hAnsi="Arial" w:cs="Arial"/>
                <w:noProof/>
                <w:webHidden/>
                <w:sz w:val="24"/>
                <w:szCs w:val="24"/>
              </w:rPr>
              <w:fldChar w:fldCharType="end"/>
            </w:r>
          </w:hyperlink>
        </w:p>
        <w:p w14:paraId="0E727C26" w14:textId="3E279CE9"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6" w:history="1">
            <w:r w:rsidRPr="00A72093">
              <w:rPr>
                <w:rStyle w:val="Hyperlink"/>
                <w:rFonts w:ascii="Arial" w:hAnsi="Arial" w:cs="Arial"/>
                <w:noProof/>
                <w:color w:val="auto"/>
                <w:sz w:val="24"/>
                <w:szCs w:val="24"/>
              </w:rPr>
              <w:t>b. Centralisation or Decentralisation within the Case Study</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_Toc237004576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8</w:t>
            </w:r>
            <w:r w:rsidRPr="00A72093">
              <w:rPr>
                <w:rFonts w:ascii="Arial" w:hAnsi="Arial" w:cs="Arial"/>
                <w:noProof/>
                <w:webHidden/>
                <w:sz w:val="24"/>
                <w:szCs w:val="24"/>
              </w:rPr>
              <w:fldChar w:fldCharType="end"/>
            </w:r>
          </w:hyperlink>
        </w:p>
        <w:p w14:paraId="59116D75" w14:textId="2D47C793"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7" w:history="1">
            <w:r w:rsidRPr="00A72093">
              <w:rPr>
                <w:rStyle w:val="Hyperlink"/>
                <w:rFonts w:ascii="Arial" w:hAnsi="Arial" w:cs="Arial"/>
                <w:noProof/>
                <w:color w:val="auto"/>
                <w:sz w:val="24"/>
                <w:szCs w:val="24"/>
              </w:rPr>
              <w:t>c. Leadership Theories and Application to the Case Study</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_Toc237004577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11</w:t>
            </w:r>
            <w:r w:rsidRPr="00A72093">
              <w:rPr>
                <w:rFonts w:ascii="Arial" w:hAnsi="Arial" w:cs="Arial"/>
                <w:noProof/>
                <w:webHidden/>
                <w:sz w:val="24"/>
                <w:szCs w:val="24"/>
              </w:rPr>
              <w:fldChar w:fldCharType="end"/>
            </w:r>
          </w:hyperlink>
        </w:p>
        <w:p w14:paraId="0CA10F6D" w14:textId="7C052B8E" w:rsidR="00A72093" w:rsidRPr="00A72093" w:rsidRDefault="00A72093" w:rsidP="00A72093">
          <w:pPr>
            <w:pStyle w:val="TOC2"/>
            <w:tabs>
              <w:tab w:val="right" w:leader="dot" w:pos="9016"/>
            </w:tabs>
            <w:spacing w:line="360" w:lineRule="auto"/>
            <w:jc w:val="both"/>
            <w:rPr>
              <w:rFonts w:ascii="Arial" w:hAnsi="Arial" w:cs="Arial"/>
              <w:noProof/>
              <w:sz w:val="24"/>
              <w:szCs w:val="24"/>
            </w:rPr>
          </w:pPr>
          <w:hyperlink w:anchor="_Toc237004578" w:history="1">
            <w:r w:rsidRPr="00A72093">
              <w:rPr>
                <w:rStyle w:val="Hyperlink"/>
                <w:rFonts w:ascii="Arial" w:hAnsi="Arial" w:cs="Arial"/>
                <w:noProof/>
                <w:color w:val="auto"/>
                <w:sz w:val="24"/>
                <w:szCs w:val="24"/>
              </w:rPr>
              <w:t>d. Improvement, and Lessons Learned</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_Toc237004578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14</w:t>
            </w:r>
            <w:r w:rsidRPr="00A72093">
              <w:rPr>
                <w:rFonts w:ascii="Arial" w:hAnsi="Arial" w:cs="Arial"/>
                <w:noProof/>
                <w:webHidden/>
                <w:sz w:val="24"/>
                <w:szCs w:val="24"/>
              </w:rPr>
              <w:fldChar w:fldCharType="end"/>
            </w:r>
          </w:hyperlink>
        </w:p>
        <w:p w14:paraId="19D98DFC" w14:textId="43964871"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79" w:history="1">
            <w:r w:rsidRPr="00A72093">
              <w:rPr>
                <w:rStyle w:val="Hyperlink"/>
                <w:rFonts w:ascii="Arial" w:hAnsi="Arial" w:cs="Arial"/>
                <w:noProof/>
                <w:color w:val="auto"/>
                <w:sz w:val="24"/>
                <w:szCs w:val="24"/>
              </w:rPr>
              <w:t>3.0 Recommendation</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_Toc237004579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18</w:t>
            </w:r>
            <w:r w:rsidRPr="00A72093">
              <w:rPr>
                <w:rFonts w:ascii="Arial" w:hAnsi="Arial" w:cs="Arial"/>
                <w:noProof/>
                <w:webHidden/>
                <w:sz w:val="24"/>
                <w:szCs w:val="24"/>
              </w:rPr>
              <w:fldChar w:fldCharType="end"/>
            </w:r>
          </w:hyperlink>
        </w:p>
        <w:p w14:paraId="4A28B7AA" w14:textId="04B06FA7"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80" w:history="1">
            <w:r w:rsidRPr="00A72093">
              <w:rPr>
                <w:rStyle w:val="Hyperlink"/>
                <w:rFonts w:ascii="Arial" w:hAnsi="Arial" w:cs="Arial"/>
                <w:noProof/>
                <w:color w:val="auto"/>
                <w:sz w:val="24"/>
                <w:szCs w:val="24"/>
              </w:rPr>
              <w:t>4.0 Conclusion</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_Toc237004580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20</w:t>
            </w:r>
            <w:r w:rsidRPr="00A72093">
              <w:rPr>
                <w:rFonts w:ascii="Arial" w:hAnsi="Arial" w:cs="Arial"/>
                <w:noProof/>
                <w:webHidden/>
                <w:sz w:val="24"/>
                <w:szCs w:val="24"/>
              </w:rPr>
              <w:fldChar w:fldCharType="end"/>
            </w:r>
          </w:hyperlink>
        </w:p>
        <w:p w14:paraId="171ADAAA" w14:textId="7A83F242" w:rsidR="00A72093" w:rsidRPr="00A72093" w:rsidRDefault="00A72093" w:rsidP="00A72093">
          <w:pPr>
            <w:pStyle w:val="TOC1"/>
            <w:tabs>
              <w:tab w:val="right" w:leader="dot" w:pos="9016"/>
            </w:tabs>
            <w:spacing w:line="360" w:lineRule="auto"/>
            <w:jc w:val="both"/>
            <w:rPr>
              <w:rFonts w:ascii="Arial" w:hAnsi="Arial" w:cs="Arial"/>
              <w:noProof/>
              <w:sz w:val="24"/>
              <w:szCs w:val="24"/>
            </w:rPr>
          </w:pPr>
          <w:hyperlink w:anchor="_Toc237004581" w:history="1">
            <w:r w:rsidRPr="00A72093">
              <w:rPr>
                <w:rStyle w:val="Hyperlink"/>
                <w:rFonts w:ascii="Arial" w:hAnsi="Arial" w:cs="Arial"/>
                <w:noProof/>
                <w:color w:val="auto"/>
                <w:sz w:val="24"/>
                <w:szCs w:val="24"/>
              </w:rPr>
              <w:t>References</w:t>
            </w:r>
            <w:r w:rsidRPr="00A72093">
              <w:rPr>
                <w:rFonts w:ascii="Arial" w:hAnsi="Arial" w:cs="Arial"/>
                <w:noProof/>
                <w:webHidden/>
                <w:sz w:val="24"/>
                <w:szCs w:val="24"/>
              </w:rPr>
              <w:tab/>
            </w:r>
            <w:r w:rsidRPr="00A72093">
              <w:rPr>
                <w:rFonts w:ascii="Arial" w:hAnsi="Arial" w:cs="Arial"/>
                <w:noProof/>
                <w:webHidden/>
                <w:sz w:val="24"/>
                <w:szCs w:val="24"/>
              </w:rPr>
              <w:fldChar w:fldCharType="begin"/>
            </w:r>
            <w:r w:rsidRPr="00A72093">
              <w:rPr>
                <w:rFonts w:ascii="Arial" w:hAnsi="Arial" w:cs="Arial"/>
                <w:noProof/>
                <w:webHidden/>
                <w:sz w:val="24"/>
                <w:szCs w:val="24"/>
              </w:rPr>
              <w:instrText xml:space="preserve"> PAGEREF _Toc237004581 \h </w:instrText>
            </w:r>
            <w:r w:rsidRPr="00A72093">
              <w:rPr>
                <w:rFonts w:ascii="Arial" w:hAnsi="Arial" w:cs="Arial"/>
                <w:noProof/>
                <w:webHidden/>
                <w:sz w:val="24"/>
                <w:szCs w:val="24"/>
              </w:rPr>
            </w:r>
            <w:r w:rsidRPr="00A72093">
              <w:rPr>
                <w:rFonts w:ascii="Arial" w:hAnsi="Arial" w:cs="Arial"/>
                <w:noProof/>
                <w:webHidden/>
                <w:sz w:val="24"/>
                <w:szCs w:val="24"/>
              </w:rPr>
              <w:fldChar w:fldCharType="separate"/>
            </w:r>
            <w:r w:rsidR="00D86566">
              <w:rPr>
                <w:rFonts w:ascii="Arial" w:hAnsi="Arial" w:cs="Arial"/>
                <w:noProof/>
                <w:webHidden/>
                <w:sz w:val="24"/>
                <w:szCs w:val="24"/>
              </w:rPr>
              <w:t>21</w:t>
            </w:r>
            <w:r w:rsidRPr="00A72093">
              <w:rPr>
                <w:rFonts w:ascii="Arial" w:hAnsi="Arial" w:cs="Arial"/>
                <w:noProof/>
                <w:webHidden/>
                <w:sz w:val="24"/>
                <w:szCs w:val="24"/>
              </w:rPr>
              <w:fldChar w:fldCharType="end"/>
            </w:r>
          </w:hyperlink>
        </w:p>
        <w:p w14:paraId="7C43606E" w14:textId="77777777" w:rsidR="00A72093" w:rsidRDefault="00A72093" w:rsidP="00A72093">
          <w:pPr>
            <w:spacing w:line="360" w:lineRule="auto"/>
            <w:jc w:val="both"/>
          </w:pPr>
          <w:r w:rsidRPr="00A72093">
            <w:rPr>
              <w:rFonts w:ascii="Arial" w:hAnsi="Arial" w:cs="Arial"/>
              <w:b/>
              <w:bCs/>
              <w:noProof/>
              <w:sz w:val="24"/>
              <w:szCs w:val="24"/>
            </w:rPr>
            <w:fldChar w:fldCharType="end"/>
          </w:r>
        </w:p>
      </w:sdtContent>
    </w:sdt>
    <w:p w14:paraId="3FD75066" w14:textId="77777777" w:rsidR="00A72093" w:rsidRDefault="00A72093">
      <w:pPr>
        <w:rPr>
          <w:rFonts w:ascii="Arial" w:eastAsiaTheme="majorEastAsia" w:hAnsi="Arial" w:cs="Arial"/>
          <w:b/>
          <w:sz w:val="24"/>
          <w:szCs w:val="24"/>
        </w:rPr>
      </w:pPr>
      <w:r>
        <w:rPr>
          <w:rFonts w:ascii="Arial" w:hAnsi="Arial" w:cs="Arial"/>
          <w:b/>
          <w:sz w:val="24"/>
          <w:szCs w:val="24"/>
        </w:rPr>
        <w:br w:type="page"/>
      </w:r>
    </w:p>
    <w:p w14:paraId="42343D62" w14:textId="77777777" w:rsidR="00E1716F" w:rsidRPr="00A72093" w:rsidRDefault="0044149F" w:rsidP="007F4539">
      <w:pPr>
        <w:pStyle w:val="Heading1"/>
        <w:spacing w:line="360" w:lineRule="auto"/>
        <w:jc w:val="both"/>
        <w:rPr>
          <w:rFonts w:ascii="Arial" w:hAnsi="Arial" w:cs="Arial"/>
          <w:b/>
          <w:color w:val="auto"/>
          <w:sz w:val="24"/>
          <w:szCs w:val="24"/>
        </w:rPr>
      </w:pPr>
      <w:bookmarkStart w:id="1" w:name="_Toc237004573"/>
      <w:r w:rsidRPr="00A72093">
        <w:rPr>
          <w:rFonts w:ascii="Arial" w:hAnsi="Arial" w:cs="Arial"/>
          <w:b/>
          <w:color w:val="auto"/>
          <w:sz w:val="24"/>
          <w:szCs w:val="24"/>
        </w:rPr>
        <w:lastRenderedPageBreak/>
        <w:t xml:space="preserve">1.0 </w:t>
      </w:r>
      <w:r w:rsidR="00B74D1E" w:rsidRPr="00A72093">
        <w:rPr>
          <w:rFonts w:ascii="Arial" w:hAnsi="Arial" w:cs="Arial"/>
          <w:b/>
          <w:color w:val="auto"/>
          <w:sz w:val="24"/>
          <w:szCs w:val="24"/>
        </w:rPr>
        <w:t>Introduction</w:t>
      </w:r>
      <w:bookmarkEnd w:id="1"/>
      <w:r w:rsidR="00B74D1E" w:rsidRPr="00A72093">
        <w:rPr>
          <w:rFonts w:ascii="Arial" w:hAnsi="Arial" w:cs="Arial"/>
          <w:b/>
          <w:color w:val="auto"/>
          <w:sz w:val="24"/>
          <w:szCs w:val="24"/>
        </w:rPr>
        <w:t xml:space="preserve"> </w:t>
      </w:r>
    </w:p>
    <w:p w14:paraId="6923BAC1"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Background and Purpose of the Case Study</w:t>
      </w:r>
    </w:p>
    <w:p w14:paraId="1AC07C5F" w14:textId="77777777" w:rsidR="00B74D1E" w:rsidRPr="00A72093" w:rsidRDefault="00D748D5" w:rsidP="007F4539">
      <w:pPr>
        <w:spacing w:line="360" w:lineRule="auto"/>
        <w:jc w:val="both"/>
        <w:rPr>
          <w:rFonts w:ascii="Arial" w:eastAsia="Times New Roman" w:hAnsi="Arial" w:cs="Arial"/>
          <w:sz w:val="24"/>
          <w:szCs w:val="24"/>
          <w:lang w:val="en-IN" w:eastAsia="en-IN"/>
        </w:rPr>
      </w:pPr>
      <w:r w:rsidRPr="00A72093">
        <w:rPr>
          <w:rFonts w:ascii="Arial" w:eastAsia="Times New Roman" w:hAnsi="Arial" w:cs="Arial"/>
          <w:sz w:val="24"/>
          <w:szCs w:val="24"/>
          <w:lang w:val="en-IN" w:eastAsia="en-IN"/>
        </w:rPr>
        <w:t>Len's case study examines the incident involving the medication, which had a significant impact on the patient, and identifies key areas for improvement in the delivery of healthcare. This case focuses on the breakdowns that occurred in communication, prescribing and system design and how these affected the incident. It is designed to examine how leadership, governance and system structures work to drive patient safety outcomes. Systemic weaknesses and decision making processes influence care quality and safety in the real world, and in this case, medication-relate</w:t>
      </w:r>
      <w:r w:rsidR="00A72093">
        <w:rPr>
          <w:rFonts w:ascii="Arial" w:eastAsia="Times New Roman" w:hAnsi="Arial" w:cs="Arial"/>
          <w:sz w:val="24"/>
          <w:szCs w:val="24"/>
          <w:lang w:val="en-IN" w:eastAsia="en-IN"/>
        </w:rPr>
        <w:t>d harm accounted for almost 5-</w:t>
      </w:r>
      <w:r w:rsidRPr="00A72093">
        <w:rPr>
          <w:rFonts w:ascii="Arial" w:eastAsia="Times New Roman" w:hAnsi="Arial" w:cs="Arial"/>
          <w:sz w:val="24"/>
          <w:szCs w:val="24"/>
          <w:lang w:val="en-IN" w:eastAsia="en-IN"/>
        </w:rPr>
        <w:t>10% of incidents in hospitals across the globe.</w:t>
      </w:r>
    </w:p>
    <w:p w14:paraId="656FFE75"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Leadership in Health and Social Care</w:t>
      </w:r>
    </w:p>
    <w:p w14:paraId="1481C651"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Leadership in health and social care is the capacity to inspire people and teams to meet their objectives, especially those that involve providing safe, high-quality, patient-centred care. The act of coordinating with other multidisciplinary teams, holding them accountable and assisting in decision making. The impact of robust clinical leadership on patient safety incidents has been proven to be up to 30% reduced.</w:t>
      </w:r>
    </w:p>
    <w:p w14:paraId="51A1D5E9"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Centralisation and Decentralisation</w:t>
      </w:r>
    </w:p>
    <w:p w14:paraId="4898263C"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 xml:space="preserve">Healthcare organisations are either centralised or decentralised. Centralisation means decisions are made at a higher level, consistency and standardisation is maintained, but this can take longer to respond. Decentralisation spreads decision-making power and enables decisions to be made quickly and flexibly at the local level. </w:t>
      </w:r>
      <w:r w:rsidR="00A72093">
        <w:rPr>
          <w:rFonts w:ascii="Arial" w:hAnsi="Arial" w:cs="Arial"/>
        </w:rPr>
        <w:t>It is indicated</w:t>
      </w:r>
      <w:r w:rsidRPr="00A72093">
        <w:rPr>
          <w:rFonts w:ascii="Arial" w:hAnsi="Arial" w:cs="Arial"/>
        </w:rPr>
        <w:t xml:space="preserve"> that decentralised systems can increase the time of response by 15-20%, but only if there is good coordination to ensure consistency and safety.</w:t>
      </w:r>
    </w:p>
    <w:p w14:paraId="7087E108" w14:textId="77777777" w:rsidR="00DA79AA" w:rsidRDefault="00DA79AA" w:rsidP="007F4539">
      <w:pPr>
        <w:spacing w:line="360" w:lineRule="auto"/>
        <w:jc w:val="both"/>
        <w:rPr>
          <w:rFonts w:ascii="Arial" w:hAnsi="Arial" w:cs="Arial"/>
          <w:b/>
          <w:sz w:val="24"/>
          <w:szCs w:val="24"/>
        </w:rPr>
      </w:pPr>
    </w:p>
    <w:p w14:paraId="139B6AE3" w14:textId="77777777" w:rsidR="00DA79AA" w:rsidRDefault="00DA79AA" w:rsidP="007F4539">
      <w:pPr>
        <w:spacing w:line="360" w:lineRule="auto"/>
        <w:jc w:val="both"/>
        <w:rPr>
          <w:rFonts w:ascii="Arial" w:hAnsi="Arial" w:cs="Arial"/>
          <w:b/>
          <w:sz w:val="24"/>
          <w:szCs w:val="24"/>
        </w:rPr>
      </w:pPr>
    </w:p>
    <w:p w14:paraId="0FFF966E" w14:textId="27D0E2D9"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lastRenderedPageBreak/>
        <w:t>Leadership Theories and Styles</w:t>
      </w:r>
    </w:p>
    <w:p w14:paraId="5B3AAA23" w14:textId="2C52784D" w:rsidR="00B74D1E" w:rsidRPr="00A72093" w:rsidRDefault="00B74D1E" w:rsidP="007F4539">
      <w:pPr>
        <w:pStyle w:val="NormalWeb"/>
        <w:spacing w:line="360" w:lineRule="auto"/>
        <w:jc w:val="both"/>
        <w:rPr>
          <w:rFonts w:ascii="Arial" w:hAnsi="Arial" w:cs="Arial"/>
        </w:rPr>
      </w:pPr>
      <w:r w:rsidRPr="00A72093">
        <w:rPr>
          <w:rFonts w:ascii="Arial" w:hAnsi="Arial" w:cs="Arial"/>
        </w:rPr>
        <w:t xml:space="preserve">Some important leadership theories are transformational, transactional and situational leadership. Transformational leadership is related to vision/motivation and </w:t>
      </w:r>
      <w:r w:rsidR="00DA79AA">
        <w:rPr>
          <w:rFonts w:ascii="Arial" w:hAnsi="Arial" w:cs="Arial"/>
        </w:rPr>
        <w:t>is associated with an improvement in safety outcomes</w:t>
      </w:r>
      <w:r w:rsidRPr="00A72093">
        <w:rPr>
          <w:rFonts w:ascii="Arial" w:hAnsi="Arial" w:cs="Arial"/>
        </w:rPr>
        <w:t xml:space="preserve"> by 19%. Transactional leadership focuses on rules and monitoring of performance, assuring adherence. The idea of situational leadership </w:t>
      </w:r>
      <w:r w:rsidR="00DA79AA">
        <w:rPr>
          <w:rFonts w:ascii="Arial" w:hAnsi="Arial" w:cs="Arial"/>
        </w:rPr>
        <w:t>emphasises</w:t>
      </w:r>
      <w:r w:rsidRPr="00A72093">
        <w:rPr>
          <w:rFonts w:ascii="Arial" w:hAnsi="Arial" w:cs="Arial"/>
        </w:rPr>
        <w:t xml:space="preserve"> the importance of flexibility in leadership, especially in environments with high risks or complexity, like healthcare.</w:t>
      </w:r>
    </w:p>
    <w:p w14:paraId="749DF90C"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Importance of Leadership in Crisis and Change</w:t>
      </w:r>
    </w:p>
    <w:p w14:paraId="6B68369F"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 xml:space="preserve">It is important to select the right leadership style when times are tough and when change is taking place in the organisation. Leadership has a major impact on communication and risk: poor leadership can cause communication failure and increased risk; good leadership can promote teamwork and decision making. </w:t>
      </w:r>
      <w:r w:rsidR="00A72093">
        <w:rPr>
          <w:rFonts w:ascii="Arial" w:hAnsi="Arial" w:cs="Arial"/>
        </w:rPr>
        <w:t>It is seen that</w:t>
      </w:r>
      <w:r w:rsidRPr="00A72093">
        <w:rPr>
          <w:rFonts w:ascii="Arial" w:hAnsi="Arial" w:cs="Arial"/>
        </w:rPr>
        <w:t xml:space="preserve"> adaptive leadership can result in 15–20% faster recovery in clinical incidents, emphasising its importance in patient safety.</w:t>
      </w:r>
    </w:p>
    <w:p w14:paraId="180455F2"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Structure of the Report</w:t>
      </w:r>
    </w:p>
    <w:p w14:paraId="7961D2D8" w14:textId="77777777" w:rsidR="00B74D1E" w:rsidRPr="00A72093" w:rsidRDefault="00B74D1E" w:rsidP="007F4539">
      <w:pPr>
        <w:pStyle w:val="NormalWeb"/>
        <w:spacing w:line="360" w:lineRule="auto"/>
        <w:jc w:val="both"/>
        <w:rPr>
          <w:rFonts w:ascii="Arial" w:hAnsi="Arial" w:cs="Arial"/>
        </w:rPr>
      </w:pPr>
      <w:r w:rsidRPr="00A72093">
        <w:rPr>
          <w:rFonts w:ascii="Arial" w:hAnsi="Arial" w:cs="Arial"/>
        </w:rPr>
        <w:t>This report will address the case with a systems thinking approach, discuss the pros and cons of centralisation vs decentralisation, considerations of leadership theories, and recommendations for improvements and solutions to improve and further patient safety and organisational performance.</w:t>
      </w:r>
    </w:p>
    <w:p w14:paraId="38E28F92" w14:textId="77777777" w:rsidR="00B74D1E" w:rsidRPr="00A72093" w:rsidRDefault="00B74D1E" w:rsidP="007F4539">
      <w:pPr>
        <w:spacing w:line="360" w:lineRule="auto"/>
        <w:jc w:val="both"/>
        <w:rPr>
          <w:rFonts w:ascii="Arial" w:hAnsi="Arial" w:cs="Arial"/>
          <w:b/>
          <w:sz w:val="24"/>
          <w:szCs w:val="24"/>
        </w:rPr>
      </w:pPr>
    </w:p>
    <w:p w14:paraId="66AAAB7A" w14:textId="77777777" w:rsidR="00B74D1E" w:rsidRPr="00A72093" w:rsidRDefault="00B74D1E" w:rsidP="007F4539">
      <w:pPr>
        <w:spacing w:line="360" w:lineRule="auto"/>
        <w:jc w:val="both"/>
        <w:rPr>
          <w:rFonts w:ascii="Arial" w:eastAsiaTheme="majorEastAsia" w:hAnsi="Arial" w:cs="Arial"/>
          <w:b/>
          <w:sz w:val="24"/>
          <w:szCs w:val="24"/>
        </w:rPr>
      </w:pPr>
      <w:r w:rsidRPr="00A72093">
        <w:rPr>
          <w:rFonts w:ascii="Arial" w:hAnsi="Arial" w:cs="Arial"/>
          <w:b/>
          <w:sz w:val="24"/>
          <w:szCs w:val="24"/>
        </w:rPr>
        <w:br w:type="page"/>
      </w:r>
    </w:p>
    <w:p w14:paraId="3C81668D" w14:textId="77777777" w:rsidR="00B74D1E" w:rsidRPr="00A72093" w:rsidRDefault="0044149F" w:rsidP="007F4539">
      <w:pPr>
        <w:pStyle w:val="Heading1"/>
        <w:spacing w:line="360" w:lineRule="auto"/>
        <w:jc w:val="both"/>
        <w:rPr>
          <w:rFonts w:ascii="Arial" w:hAnsi="Arial" w:cs="Arial"/>
          <w:b/>
          <w:color w:val="auto"/>
          <w:sz w:val="24"/>
          <w:szCs w:val="24"/>
        </w:rPr>
      </w:pPr>
      <w:bookmarkStart w:id="2" w:name="_Toc237004574"/>
      <w:r w:rsidRPr="00A72093">
        <w:rPr>
          <w:rFonts w:ascii="Arial" w:hAnsi="Arial" w:cs="Arial"/>
          <w:b/>
          <w:color w:val="auto"/>
          <w:sz w:val="24"/>
          <w:szCs w:val="24"/>
        </w:rPr>
        <w:lastRenderedPageBreak/>
        <w:t>2.0 Main Body and Analysis</w:t>
      </w:r>
      <w:bookmarkEnd w:id="2"/>
      <w:r w:rsidRPr="00A72093">
        <w:rPr>
          <w:rFonts w:ascii="Arial" w:hAnsi="Arial" w:cs="Arial"/>
          <w:b/>
          <w:color w:val="auto"/>
          <w:sz w:val="24"/>
          <w:szCs w:val="24"/>
        </w:rPr>
        <w:t xml:space="preserve"> </w:t>
      </w:r>
    </w:p>
    <w:p w14:paraId="4B47F308" w14:textId="77777777" w:rsidR="00B74D1E" w:rsidRPr="00A72093" w:rsidRDefault="00B74D1E" w:rsidP="007F4539">
      <w:pPr>
        <w:pStyle w:val="Heading2"/>
        <w:spacing w:line="360" w:lineRule="auto"/>
        <w:jc w:val="both"/>
        <w:rPr>
          <w:rFonts w:ascii="Arial" w:hAnsi="Arial" w:cs="Arial"/>
          <w:b/>
          <w:color w:val="auto"/>
          <w:sz w:val="24"/>
          <w:szCs w:val="24"/>
        </w:rPr>
      </w:pPr>
      <w:bookmarkStart w:id="3" w:name="_Toc237004575"/>
      <w:r w:rsidRPr="00A72093">
        <w:rPr>
          <w:rFonts w:ascii="Arial" w:hAnsi="Arial" w:cs="Arial"/>
          <w:b/>
          <w:color w:val="auto"/>
          <w:sz w:val="24"/>
          <w:szCs w:val="24"/>
        </w:rPr>
        <w:t>a. Identifying the Problem and Setting the System Context- Applying Systems Thinking and the Rich Picture</w:t>
      </w:r>
      <w:bookmarkEnd w:id="3"/>
      <w:r w:rsidRPr="00A72093">
        <w:rPr>
          <w:rFonts w:ascii="Arial" w:hAnsi="Arial" w:cs="Arial"/>
          <w:b/>
          <w:color w:val="auto"/>
          <w:sz w:val="24"/>
          <w:szCs w:val="24"/>
        </w:rPr>
        <w:t xml:space="preserve"> </w:t>
      </w:r>
    </w:p>
    <w:p w14:paraId="22436282"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Global statistical information reveal about the problem</w:t>
      </w:r>
    </w:p>
    <w:p w14:paraId="0E26DE96"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In the world, medication error is a major patient safety and quality of care problem. One in ten patients is harmed during health care, and medication errors are one of the top ten causes of preventable harm, estimates the World Health Organization (WHO). Besides, these errors not only have an annual cost of $42 billion in the world, nearly 1% of the total health expenditure in the world, but are also related to various issues. This underscores the significant economic and clinical impact of unsafe medication practices</w:t>
      </w:r>
      <w:r w:rsidR="0044149F" w:rsidRPr="00A72093">
        <w:rPr>
          <w:rFonts w:ascii="Arial" w:hAnsi="Arial" w:cs="Arial"/>
          <w:sz w:val="24"/>
          <w:szCs w:val="24"/>
        </w:rPr>
        <w:t xml:space="preserve"> (World Health Organization, 2025a)</w:t>
      </w:r>
      <w:r w:rsidRPr="00A72093">
        <w:rPr>
          <w:rFonts w:ascii="Arial" w:hAnsi="Arial" w:cs="Arial"/>
          <w:sz w:val="24"/>
          <w:szCs w:val="24"/>
        </w:rPr>
        <w:t>.</w:t>
      </w:r>
    </w:p>
    <w:p w14:paraId="0435CD4E"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 xml:space="preserve">Furthermore, </w:t>
      </w:r>
      <w:r w:rsidR="0044149F" w:rsidRPr="00A72093">
        <w:rPr>
          <w:rFonts w:ascii="Arial" w:hAnsi="Arial" w:cs="Arial"/>
          <w:sz w:val="24"/>
          <w:szCs w:val="24"/>
        </w:rPr>
        <w:t xml:space="preserve">it is seen </w:t>
      </w:r>
      <w:r w:rsidRPr="00A72093">
        <w:rPr>
          <w:rFonts w:ascii="Arial" w:hAnsi="Arial" w:cs="Arial"/>
          <w:sz w:val="24"/>
          <w:szCs w:val="24"/>
        </w:rPr>
        <w:t>that medication errors happen at different levels: prescriptions, dispensing, and administration, which were not the fault of single individuals but rather a reflection of systemic problems</w:t>
      </w:r>
      <w:r w:rsidR="0044149F" w:rsidRPr="00A72093">
        <w:rPr>
          <w:rFonts w:ascii="Arial" w:hAnsi="Arial" w:cs="Arial"/>
          <w:sz w:val="24"/>
          <w:szCs w:val="24"/>
        </w:rPr>
        <w:t xml:space="preserve"> (Bayati et al., 2025)</w:t>
      </w:r>
      <w:r w:rsidRPr="00A72093">
        <w:rPr>
          <w:rFonts w:ascii="Arial" w:hAnsi="Arial" w:cs="Arial"/>
          <w:sz w:val="24"/>
          <w:szCs w:val="24"/>
        </w:rPr>
        <w:t>. Medical errors are also considered as one of the three primary causes of death globally, as stated by the Institute for Healthcare Improvement (IHI). The statistics below illustrate that the incident in this case study is not isolated, but rather a pattern of incidents that is plaguing the healthcare industry on a worldwide scale and highlighting the need to further develop systems, governance, and leadership in health care</w:t>
      </w:r>
      <w:r w:rsidR="0044149F" w:rsidRPr="00A72093">
        <w:rPr>
          <w:rFonts w:ascii="Arial" w:hAnsi="Arial" w:cs="Arial"/>
          <w:sz w:val="24"/>
          <w:szCs w:val="24"/>
        </w:rPr>
        <w:t xml:space="preserve"> (World Health Organization, 2025b)</w:t>
      </w:r>
      <w:r w:rsidRPr="00A72093">
        <w:rPr>
          <w:rFonts w:ascii="Arial" w:hAnsi="Arial" w:cs="Arial"/>
          <w:sz w:val="24"/>
          <w:szCs w:val="24"/>
        </w:rPr>
        <w:t>.</w:t>
      </w:r>
    </w:p>
    <w:p w14:paraId="1F11CE47"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National statistical information reveal on the problem</w:t>
      </w:r>
    </w:p>
    <w:p w14:paraId="09234254"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The national picture for medication errors in the UK healthcare system is also an important patient safety concern. The National Health Service (NHS) estimates that every year, there are around 237 million medication errors in England, of which around 66 million are potentially clinically significant, meaning they could cause harm</w:t>
      </w:r>
      <w:r w:rsidR="0044149F" w:rsidRPr="00A72093">
        <w:rPr>
          <w:rFonts w:ascii="Arial" w:hAnsi="Arial" w:cs="Arial"/>
          <w:sz w:val="24"/>
          <w:szCs w:val="24"/>
        </w:rPr>
        <w:t xml:space="preserve"> (NHS England, 2025a)</w:t>
      </w:r>
      <w:r w:rsidRPr="00A72093">
        <w:rPr>
          <w:rFonts w:ascii="Arial" w:hAnsi="Arial" w:cs="Arial"/>
          <w:sz w:val="24"/>
          <w:szCs w:val="24"/>
        </w:rPr>
        <w:t>. The errors are not random; they happen during several steps of the medication process, such as the prescription, dispensing, and administration of the medication, making them evidence of systemic problems rather than isolated incidents.</w:t>
      </w:r>
    </w:p>
    <w:p w14:paraId="28B43D6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lastRenderedPageBreak/>
        <w:t>What figures from national organisations reveal on the problem in connection to worldwide presentation</w:t>
      </w:r>
    </w:p>
    <w:p w14:paraId="25A44454"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Further detailed evidence from international and national organisations identifies the extent and commonality of medication-related harm in health care systems. About 13% of total health expenditure in OECD countries is related to patient harm, including many preventable harms and harms from system failures, including errors in medication use</w:t>
      </w:r>
      <w:r w:rsidR="0044149F" w:rsidRPr="00A72093">
        <w:rPr>
          <w:rFonts w:ascii="Arial" w:hAnsi="Arial" w:cs="Arial"/>
          <w:sz w:val="24"/>
          <w:szCs w:val="24"/>
        </w:rPr>
        <w:t xml:space="preserve"> (OECD, 2025a)</w:t>
      </w:r>
      <w:r w:rsidRPr="00A72093">
        <w:rPr>
          <w:rFonts w:ascii="Arial" w:hAnsi="Arial" w:cs="Arial"/>
          <w:sz w:val="24"/>
          <w:szCs w:val="24"/>
        </w:rPr>
        <w:t>. Medication related harm (MRH) also leads to more than 6 million hospital admissions worldwide annually, creating a strain on health systems and resources</w:t>
      </w:r>
      <w:r w:rsidR="0044149F" w:rsidRPr="00A72093">
        <w:rPr>
          <w:rFonts w:ascii="Arial" w:hAnsi="Arial" w:cs="Arial"/>
          <w:sz w:val="24"/>
          <w:szCs w:val="24"/>
        </w:rPr>
        <w:t xml:space="preserve"> (World Health Organization, 2025c)</w:t>
      </w:r>
      <w:r w:rsidRPr="00A72093">
        <w:rPr>
          <w:rFonts w:ascii="Arial" w:hAnsi="Arial" w:cs="Arial"/>
          <w:sz w:val="24"/>
          <w:szCs w:val="24"/>
        </w:rPr>
        <w:t>.</w:t>
      </w:r>
    </w:p>
    <w:p w14:paraId="29DE0EED"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Meanwhile, in the world, WHO data indicates that 1 in 20 patients (5%) suffer preventable medication related harms, with nearly 25% of these preventable harms being more severe or life-threatening. When these are contrasted against national information, like that of the UK where there are high numbers of medication errors, similarities in patterns of risk, cost and harm are revealed across national and international systems</w:t>
      </w:r>
      <w:r w:rsidR="0044149F" w:rsidRPr="00A72093">
        <w:rPr>
          <w:rFonts w:ascii="Arial" w:hAnsi="Arial" w:cs="Arial"/>
          <w:sz w:val="24"/>
          <w:szCs w:val="24"/>
        </w:rPr>
        <w:t xml:space="preserve"> (Svensson and von Knorring, 2025)</w:t>
      </w:r>
      <w:r w:rsidRPr="00A72093">
        <w:rPr>
          <w:rFonts w:ascii="Arial" w:hAnsi="Arial" w:cs="Arial"/>
          <w:sz w:val="24"/>
          <w:szCs w:val="24"/>
        </w:rPr>
        <w:t>.</w:t>
      </w:r>
    </w:p>
    <w:p w14:paraId="46EF6DB8"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how this problem reflects systemic weaknesses</w:t>
      </w:r>
    </w:p>
    <w:p w14:paraId="6A50FA97"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This medication error is not a simple one that is just blamed on a single person, but is indicative of systemic weakness in the health care system. Across the world, over half the cases of medication-related harm are estimated to be preventable, which highlights that many errors are not individual incidents, but are a result of poor system design. In this instance, the mix-up between strength and dosage of a medication reflects problems in communication, labelling and prescription practices</w:t>
      </w:r>
      <w:r w:rsidR="0044149F" w:rsidRPr="00A72093">
        <w:rPr>
          <w:rFonts w:ascii="Arial" w:hAnsi="Arial" w:cs="Arial"/>
          <w:sz w:val="24"/>
          <w:szCs w:val="24"/>
        </w:rPr>
        <w:t xml:space="preserve"> (NHS England, 2025b)</w:t>
      </w:r>
      <w:r w:rsidRPr="00A72093">
        <w:rPr>
          <w:rFonts w:ascii="Arial" w:hAnsi="Arial" w:cs="Arial"/>
          <w:sz w:val="24"/>
          <w:szCs w:val="24"/>
        </w:rPr>
        <w:t>.</w:t>
      </w:r>
    </w:p>
    <w:p w14:paraId="3FAA6F63"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In addition, medication errors account for approximately 30% of errors that occur during transitions in care, between the prescribing, dispensing, and administration of medication, which reflect failures in information flowing and coordination</w:t>
      </w:r>
      <w:r w:rsidR="0044149F" w:rsidRPr="00A72093">
        <w:rPr>
          <w:rFonts w:ascii="Arial" w:hAnsi="Arial" w:cs="Arial"/>
          <w:sz w:val="24"/>
          <w:szCs w:val="24"/>
        </w:rPr>
        <w:t xml:space="preserve"> (World Health Organization, 2025d)</w:t>
      </w:r>
      <w:r w:rsidRPr="00A72093">
        <w:rPr>
          <w:rFonts w:ascii="Arial" w:hAnsi="Arial" w:cs="Arial"/>
          <w:sz w:val="24"/>
          <w:szCs w:val="24"/>
        </w:rPr>
        <w:t>. Workforce pressures also play an important role, as a lack of staff in healthcare environments is linked with 20-25% higher patient safety incident rates, which means that there is a greater risk of incidents occurring.</w:t>
      </w:r>
    </w:p>
    <w:p w14:paraId="087FFE7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lastRenderedPageBreak/>
        <w:t>Identify the level of governance (local, regional, or national) that influenced the problem.</w:t>
      </w:r>
    </w:p>
    <w:p w14:paraId="3151B203"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The incident took place in a particular healthcare context, which has a strong local governance component, as decisions made by healthcare staff on the frontline, administration of medications and communication processes are all under local governance. When dosage interpretation or dosage coordination or lack of safety precautions are problems, it is an indicator of low levels of local leadership, supervision and safety. National governance also has a role in this as policies, prescribing guidelines, patient safety frameworks all impact on practice. Moreover, regional governance affects resource allocation, labour management</w:t>
      </w:r>
      <w:r w:rsidR="0044149F" w:rsidRPr="00A72093">
        <w:rPr>
          <w:rFonts w:ascii="Arial" w:hAnsi="Arial" w:cs="Arial"/>
          <w:sz w:val="24"/>
          <w:szCs w:val="24"/>
        </w:rPr>
        <w:t xml:space="preserve"> (</w:t>
      </w:r>
      <w:proofErr w:type="spellStart"/>
      <w:r w:rsidR="0044149F" w:rsidRPr="00A72093">
        <w:rPr>
          <w:rFonts w:ascii="Arial" w:hAnsi="Arial" w:cs="Arial"/>
          <w:sz w:val="24"/>
          <w:szCs w:val="24"/>
        </w:rPr>
        <w:t>Rafi’i</w:t>
      </w:r>
      <w:proofErr w:type="spellEnd"/>
      <w:r w:rsidR="0044149F" w:rsidRPr="00A72093">
        <w:rPr>
          <w:rFonts w:ascii="Arial" w:hAnsi="Arial" w:cs="Arial"/>
          <w:sz w:val="24"/>
          <w:szCs w:val="24"/>
        </w:rPr>
        <w:t xml:space="preserve"> et al., 2025)</w:t>
      </w:r>
      <w:r w:rsidRPr="00A72093">
        <w:rPr>
          <w:rFonts w:ascii="Arial" w:hAnsi="Arial" w:cs="Arial"/>
          <w:sz w:val="24"/>
          <w:szCs w:val="24"/>
        </w:rPr>
        <w:t>. This means while the failure at the local level is a failure, this is also being backed up by the broader governance arrangements that have an impact on system performance and safety outcomes.</w:t>
      </w:r>
    </w:p>
    <w:p w14:paraId="2626D8F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Provide data on underlying challenges (e.g., staff shortages, patient safety outcomes, or budget constraints) to illustrate underlying challenges</w:t>
      </w:r>
    </w:p>
    <w:p w14:paraId="3B5E0DDD" w14:textId="77777777" w:rsidR="00666EFB" w:rsidRPr="00A72093" w:rsidRDefault="00666EFB" w:rsidP="007F4539">
      <w:pPr>
        <w:spacing w:line="360" w:lineRule="auto"/>
        <w:jc w:val="both"/>
        <w:rPr>
          <w:rFonts w:ascii="Arial" w:hAnsi="Arial" w:cs="Arial"/>
          <w:sz w:val="24"/>
          <w:szCs w:val="24"/>
        </w:rPr>
      </w:pPr>
      <w:r w:rsidRPr="00A72093">
        <w:rPr>
          <w:rFonts w:ascii="Arial" w:hAnsi="Arial" w:cs="Arial"/>
          <w:sz w:val="24"/>
          <w:szCs w:val="24"/>
        </w:rPr>
        <w:t>There are a number of factors underlying the issue. There are also workforce shortages which have reached critical levels with the NHS stating that they have more than 120,000 vacancies, which puts pressure on the workforce to manage increased workloads and risk of errors</w:t>
      </w:r>
      <w:r w:rsidR="0044149F" w:rsidRPr="00A72093">
        <w:rPr>
          <w:rFonts w:ascii="Arial" w:hAnsi="Arial" w:cs="Arial"/>
          <w:sz w:val="24"/>
          <w:szCs w:val="24"/>
        </w:rPr>
        <w:t xml:space="preserve"> (NHS England, 2025c)</w:t>
      </w:r>
      <w:r w:rsidRPr="00A72093">
        <w:rPr>
          <w:rFonts w:ascii="Arial" w:hAnsi="Arial" w:cs="Arial"/>
          <w:sz w:val="24"/>
          <w:szCs w:val="24"/>
        </w:rPr>
        <w:t>. Patient safety outcomes are also impacted; about 10% of patients suffer harm while receiving healthcare services and medication errors are a significant cause of harm. This is compounded by financial constraints, as the NHS is short of funding with more than £7 billion needed to be invested in training, digital systems and safety measures. These pressures can come together to make it easier for communication to break down and medications to be mis</w:t>
      </w:r>
      <w:r w:rsidR="0044149F" w:rsidRPr="00A72093">
        <w:rPr>
          <w:rFonts w:ascii="Arial" w:hAnsi="Arial" w:cs="Arial"/>
          <w:sz w:val="24"/>
          <w:szCs w:val="24"/>
        </w:rPr>
        <w:t>-</w:t>
      </w:r>
      <w:r w:rsidRPr="00A72093">
        <w:rPr>
          <w:rFonts w:ascii="Arial" w:hAnsi="Arial" w:cs="Arial"/>
          <w:sz w:val="24"/>
          <w:szCs w:val="24"/>
        </w:rPr>
        <w:t>prescribed</w:t>
      </w:r>
      <w:r w:rsidR="0044149F" w:rsidRPr="00A72093">
        <w:rPr>
          <w:rFonts w:ascii="Arial" w:hAnsi="Arial" w:cs="Arial"/>
          <w:sz w:val="24"/>
          <w:szCs w:val="24"/>
        </w:rPr>
        <w:t xml:space="preserve"> (Gathmyr et al., 2025)</w:t>
      </w:r>
      <w:r w:rsidRPr="00A72093">
        <w:rPr>
          <w:rFonts w:ascii="Arial" w:hAnsi="Arial" w:cs="Arial"/>
          <w:sz w:val="24"/>
          <w:szCs w:val="24"/>
        </w:rPr>
        <w:t>.</w:t>
      </w:r>
    </w:p>
    <w:p w14:paraId="2155D936" w14:textId="77777777" w:rsidR="00DA79AA" w:rsidRDefault="00DA79AA" w:rsidP="007F4539">
      <w:pPr>
        <w:spacing w:line="360" w:lineRule="auto"/>
        <w:jc w:val="both"/>
        <w:rPr>
          <w:rFonts w:ascii="Arial" w:hAnsi="Arial" w:cs="Arial"/>
          <w:b/>
          <w:sz w:val="24"/>
          <w:szCs w:val="24"/>
        </w:rPr>
      </w:pPr>
    </w:p>
    <w:p w14:paraId="7C036E65" w14:textId="77777777" w:rsidR="00DA79AA" w:rsidRDefault="00DA79AA" w:rsidP="007F4539">
      <w:pPr>
        <w:spacing w:line="360" w:lineRule="auto"/>
        <w:jc w:val="both"/>
        <w:rPr>
          <w:rFonts w:ascii="Arial" w:hAnsi="Arial" w:cs="Arial"/>
          <w:b/>
          <w:sz w:val="24"/>
          <w:szCs w:val="24"/>
        </w:rPr>
      </w:pPr>
    </w:p>
    <w:p w14:paraId="1C3245BB" w14:textId="77777777" w:rsidR="00DA79AA" w:rsidRDefault="00DA79AA" w:rsidP="007F4539">
      <w:pPr>
        <w:spacing w:line="360" w:lineRule="auto"/>
        <w:jc w:val="both"/>
        <w:rPr>
          <w:rFonts w:ascii="Arial" w:hAnsi="Arial" w:cs="Arial"/>
          <w:b/>
          <w:sz w:val="24"/>
          <w:szCs w:val="24"/>
        </w:rPr>
      </w:pPr>
    </w:p>
    <w:p w14:paraId="42F46B38" w14:textId="77777777" w:rsidR="00DA79AA" w:rsidRDefault="00DA79AA" w:rsidP="007F4539">
      <w:pPr>
        <w:spacing w:line="360" w:lineRule="auto"/>
        <w:jc w:val="both"/>
        <w:rPr>
          <w:rFonts w:ascii="Arial" w:hAnsi="Arial" w:cs="Arial"/>
          <w:b/>
          <w:sz w:val="24"/>
          <w:szCs w:val="24"/>
        </w:rPr>
      </w:pPr>
    </w:p>
    <w:p w14:paraId="2246AF7A" w14:textId="4FA9DF9D"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lastRenderedPageBreak/>
        <w:t>Rich Picture</w:t>
      </w:r>
    </w:p>
    <w:p w14:paraId="0CC6AD25" w14:textId="77777777" w:rsidR="00666EFB" w:rsidRPr="00A72093" w:rsidRDefault="00666EFB" w:rsidP="007F4539">
      <w:pPr>
        <w:spacing w:line="360" w:lineRule="auto"/>
        <w:jc w:val="both"/>
        <w:rPr>
          <w:rFonts w:ascii="Arial" w:hAnsi="Arial" w:cs="Arial"/>
          <w:b/>
          <w:sz w:val="24"/>
          <w:szCs w:val="24"/>
        </w:rPr>
      </w:pPr>
      <w:r w:rsidRPr="00A72093">
        <w:rPr>
          <w:rFonts w:ascii="Arial" w:hAnsi="Arial" w:cs="Arial"/>
          <w:b/>
          <w:noProof/>
          <w:sz w:val="24"/>
          <w:szCs w:val="24"/>
          <w:lang w:val="en-US" w:bidi="gu-IN"/>
        </w:rPr>
        <w:drawing>
          <wp:inline distT="0" distB="0" distL="0" distR="0" wp14:anchorId="517F1834" wp14:editId="13D076A8">
            <wp:extent cx="5731510" cy="3837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37305"/>
                    </a:xfrm>
                    <a:prstGeom prst="rect">
                      <a:avLst/>
                    </a:prstGeom>
                  </pic:spPr>
                </pic:pic>
              </a:graphicData>
            </a:graphic>
          </wp:inline>
        </w:drawing>
      </w:r>
    </w:p>
    <w:p w14:paraId="3CED2568" w14:textId="77777777" w:rsidR="00B74D1E" w:rsidRPr="00A72093" w:rsidRDefault="00B74D1E" w:rsidP="007F4539">
      <w:pPr>
        <w:pStyle w:val="Heading2"/>
        <w:spacing w:line="360" w:lineRule="auto"/>
        <w:jc w:val="both"/>
        <w:rPr>
          <w:rFonts w:ascii="Arial" w:hAnsi="Arial" w:cs="Arial"/>
          <w:b/>
          <w:color w:val="auto"/>
          <w:sz w:val="24"/>
          <w:szCs w:val="24"/>
        </w:rPr>
      </w:pPr>
      <w:bookmarkStart w:id="4" w:name="_Toc237004576"/>
      <w:r w:rsidRPr="00A72093">
        <w:rPr>
          <w:rFonts w:ascii="Arial" w:hAnsi="Arial" w:cs="Arial"/>
          <w:b/>
          <w:color w:val="auto"/>
          <w:sz w:val="24"/>
          <w:szCs w:val="24"/>
        </w:rPr>
        <w:t>b. Centralisation or Decentra</w:t>
      </w:r>
      <w:r w:rsidR="00D748D5" w:rsidRPr="00A72093">
        <w:rPr>
          <w:rFonts w:ascii="Arial" w:hAnsi="Arial" w:cs="Arial"/>
          <w:b/>
          <w:color w:val="auto"/>
          <w:sz w:val="24"/>
          <w:szCs w:val="24"/>
        </w:rPr>
        <w:t>lisation within the Case Study</w:t>
      </w:r>
      <w:bookmarkEnd w:id="4"/>
      <w:r w:rsidR="00D748D5" w:rsidRPr="00A72093">
        <w:rPr>
          <w:rFonts w:ascii="Arial" w:hAnsi="Arial" w:cs="Arial"/>
          <w:b/>
          <w:color w:val="auto"/>
          <w:sz w:val="24"/>
          <w:szCs w:val="24"/>
        </w:rPr>
        <w:t xml:space="preserve"> </w:t>
      </w:r>
    </w:p>
    <w:p w14:paraId="70C0CCC3"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Centralised systems:</w:t>
      </w:r>
    </w:p>
    <w:p w14:paraId="2F7C47B5"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how decision-making is concen</w:t>
      </w:r>
      <w:r w:rsidR="00D748D5" w:rsidRPr="00A72093">
        <w:rPr>
          <w:rFonts w:ascii="Arial" w:hAnsi="Arial" w:cs="Arial"/>
          <w:b/>
          <w:sz w:val="24"/>
          <w:szCs w:val="24"/>
        </w:rPr>
        <w:t>trated and give a clear example</w:t>
      </w:r>
    </w:p>
    <w:p w14:paraId="4DD7AFC3" w14:textId="77777777" w:rsidR="00D748D5" w:rsidRPr="00A72093" w:rsidRDefault="00D748D5" w:rsidP="007F4539">
      <w:pPr>
        <w:spacing w:line="360" w:lineRule="auto"/>
        <w:jc w:val="both"/>
        <w:rPr>
          <w:rFonts w:ascii="Arial" w:hAnsi="Arial" w:cs="Arial"/>
          <w:sz w:val="24"/>
          <w:szCs w:val="24"/>
        </w:rPr>
      </w:pPr>
      <w:r w:rsidRPr="00A72093">
        <w:rPr>
          <w:rFonts w:ascii="Arial" w:hAnsi="Arial" w:cs="Arial"/>
          <w:sz w:val="24"/>
          <w:szCs w:val="24"/>
        </w:rPr>
        <w:t>For Len, decision making is very centralized – decisions about approving certain medicines, about how much to give and when are made by national organizations such as NICE and NHS England rather than by frontline staff</w:t>
      </w:r>
      <w:r w:rsidR="0044149F" w:rsidRPr="00A72093">
        <w:rPr>
          <w:rFonts w:ascii="Arial" w:hAnsi="Arial" w:cs="Arial"/>
          <w:sz w:val="24"/>
          <w:szCs w:val="24"/>
        </w:rPr>
        <w:t xml:space="preserve"> (Cappelli et al., 2025)</w:t>
      </w:r>
      <w:r w:rsidRPr="00A72093">
        <w:rPr>
          <w:rFonts w:ascii="Arial" w:hAnsi="Arial" w:cs="Arial"/>
          <w:sz w:val="24"/>
          <w:szCs w:val="24"/>
        </w:rPr>
        <w:t>. This is because the clinician is expected to adhere to a predetermined protocol rather than making decisions on an individual basis. For instance, the use of morphine is in line with national guidance and more than 90% of NICE appraisals lead to nationally agreed guidance for use of the drug throughout the NHS</w:t>
      </w:r>
      <w:r w:rsidR="0044149F" w:rsidRPr="00A72093">
        <w:rPr>
          <w:rFonts w:ascii="Arial" w:hAnsi="Arial" w:cs="Arial"/>
          <w:sz w:val="24"/>
          <w:szCs w:val="24"/>
        </w:rPr>
        <w:t xml:space="preserve"> (NHS England, 2025d)</w:t>
      </w:r>
      <w:r w:rsidRPr="00A72093">
        <w:rPr>
          <w:rFonts w:ascii="Arial" w:hAnsi="Arial" w:cs="Arial"/>
          <w:sz w:val="24"/>
          <w:szCs w:val="24"/>
        </w:rPr>
        <w:t xml:space="preserve">. Len's prescription was given on the basis of such standardised instructions, but the instructions were not flexible or clear enough and this was a factor in his misunderstanding of the dosage. </w:t>
      </w:r>
    </w:p>
    <w:p w14:paraId="667EB0D7"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the advantages and disadvantages i</w:t>
      </w:r>
      <w:r w:rsidR="00D748D5" w:rsidRPr="00A72093">
        <w:rPr>
          <w:rFonts w:ascii="Arial" w:hAnsi="Arial" w:cs="Arial"/>
          <w:b/>
          <w:sz w:val="24"/>
          <w:szCs w:val="24"/>
        </w:rPr>
        <w:t>n connection to your case study</w:t>
      </w:r>
    </w:p>
    <w:p w14:paraId="2553229D"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lastRenderedPageBreak/>
        <w:t xml:space="preserve">Advantages of Centralised System </w:t>
      </w:r>
    </w:p>
    <w:p w14:paraId="0163BA34" w14:textId="77777777" w:rsidR="00D748D5" w:rsidRPr="00A72093" w:rsidRDefault="00D748D5" w:rsidP="0044149F">
      <w:pPr>
        <w:spacing w:line="360" w:lineRule="auto"/>
        <w:jc w:val="both"/>
        <w:rPr>
          <w:rFonts w:ascii="Arial" w:hAnsi="Arial" w:cs="Arial"/>
          <w:sz w:val="24"/>
          <w:szCs w:val="24"/>
        </w:rPr>
      </w:pPr>
      <w:r w:rsidRPr="00A72093">
        <w:rPr>
          <w:rStyle w:val="cursor-pointer"/>
          <w:rFonts w:ascii="Arial" w:hAnsi="Arial" w:cs="Arial"/>
          <w:sz w:val="24"/>
          <w:szCs w:val="24"/>
        </w:rPr>
        <w:t>The advantages of a centralised system are that it promotes the standardisation, consistency and regulatory control that are crucial for patient safety.</w:t>
      </w:r>
      <w:r w:rsidRPr="00A72093">
        <w:rPr>
          <w:rFonts w:ascii="Arial" w:hAnsi="Arial" w:cs="Arial"/>
          <w:sz w:val="24"/>
          <w:szCs w:val="24"/>
        </w:rPr>
        <w:t xml:space="preserve"> </w:t>
      </w:r>
      <w:r w:rsidRPr="00A72093">
        <w:rPr>
          <w:rStyle w:val="cursor-pointer"/>
          <w:rFonts w:ascii="Arial" w:hAnsi="Arial" w:cs="Arial"/>
          <w:sz w:val="24"/>
          <w:szCs w:val="24"/>
        </w:rPr>
        <w:t>In Len's case, the prescription of morphine was following national guidelines and the drug and the clinical situation were both evidence-based and approved</w:t>
      </w:r>
      <w:r w:rsidR="0044149F" w:rsidRPr="00A72093">
        <w:rPr>
          <w:rStyle w:val="cursor-pointer"/>
          <w:rFonts w:ascii="Arial" w:hAnsi="Arial" w:cs="Arial"/>
          <w:sz w:val="24"/>
          <w:szCs w:val="24"/>
        </w:rPr>
        <w:t xml:space="preserve"> </w:t>
      </w:r>
      <w:r w:rsidR="0044149F" w:rsidRPr="00A72093">
        <w:rPr>
          <w:rFonts w:ascii="Arial" w:hAnsi="Arial" w:cs="Arial"/>
          <w:sz w:val="24"/>
          <w:szCs w:val="24"/>
        </w:rPr>
        <w:t xml:space="preserve">(Fadhel and </w:t>
      </w:r>
      <w:proofErr w:type="spellStart"/>
      <w:r w:rsidR="0044149F" w:rsidRPr="00A72093">
        <w:rPr>
          <w:rFonts w:ascii="Arial" w:hAnsi="Arial" w:cs="Arial"/>
          <w:sz w:val="24"/>
          <w:szCs w:val="24"/>
        </w:rPr>
        <w:t>Alqurs</w:t>
      </w:r>
      <w:proofErr w:type="spellEnd"/>
      <w:r w:rsidR="0044149F" w:rsidRPr="00A72093">
        <w:rPr>
          <w:rFonts w:ascii="Arial" w:hAnsi="Arial" w:cs="Arial"/>
          <w:sz w:val="24"/>
          <w:szCs w:val="24"/>
        </w:rPr>
        <w:t>, 2025)</w:t>
      </w:r>
      <w:r w:rsidRPr="00A72093">
        <w:rPr>
          <w:rStyle w:val="cursor-pointer"/>
          <w:rFonts w:ascii="Arial" w:hAnsi="Arial" w:cs="Arial"/>
          <w:sz w:val="24"/>
          <w:szCs w:val="24"/>
        </w:rPr>
        <w:t>.</w:t>
      </w:r>
      <w:r w:rsidRPr="00A72093">
        <w:rPr>
          <w:rFonts w:ascii="Arial" w:hAnsi="Arial" w:cs="Arial"/>
          <w:sz w:val="24"/>
          <w:szCs w:val="24"/>
        </w:rPr>
        <w:t xml:space="preserve"> </w:t>
      </w:r>
      <w:r w:rsidRPr="00A72093">
        <w:rPr>
          <w:rStyle w:val="cursor-pointer"/>
          <w:rFonts w:ascii="Arial" w:hAnsi="Arial" w:cs="Arial"/>
          <w:sz w:val="24"/>
          <w:szCs w:val="24"/>
        </w:rPr>
        <w:t>This decreases the variation in treatment decisions, and helps to maintain the uniformity in treatment quality across healthcare settings.</w:t>
      </w:r>
      <w:r w:rsidRPr="00A72093">
        <w:rPr>
          <w:rFonts w:ascii="Arial" w:hAnsi="Arial" w:cs="Arial"/>
          <w:sz w:val="24"/>
          <w:szCs w:val="24"/>
        </w:rPr>
        <w:t xml:space="preserve"> </w:t>
      </w:r>
      <w:r w:rsidRPr="00A72093">
        <w:rPr>
          <w:rStyle w:val="cursor-pointer"/>
          <w:rFonts w:ascii="Arial" w:hAnsi="Arial" w:cs="Arial"/>
          <w:sz w:val="24"/>
          <w:szCs w:val="24"/>
        </w:rPr>
        <w:t>Centralised governance also allows for monitoring of safety incidents on a much larger scale, which can help organisations identify patterns and make improvements to the system</w:t>
      </w:r>
      <w:r w:rsidR="0044149F" w:rsidRPr="00A72093">
        <w:rPr>
          <w:rStyle w:val="cursor-pointer"/>
          <w:rFonts w:ascii="Arial" w:eastAsiaTheme="majorEastAsia" w:hAnsi="Arial" w:cs="Arial"/>
        </w:rPr>
        <w:t xml:space="preserve"> </w:t>
      </w:r>
      <w:r w:rsidR="0044149F" w:rsidRPr="00A72093">
        <w:rPr>
          <w:rFonts w:ascii="Arial" w:hAnsi="Arial" w:cs="Arial"/>
          <w:sz w:val="24"/>
          <w:szCs w:val="24"/>
        </w:rPr>
        <w:t>(World Health Organization, 2025e)</w:t>
      </w:r>
      <w:r w:rsidRPr="00A72093">
        <w:rPr>
          <w:rStyle w:val="cursor-pointer"/>
          <w:rFonts w:ascii="Arial" w:hAnsi="Arial" w:cs="Arial"/>
          <w:sz w:val="24"/>
          <w:szCs w:val="24"/>
        </w:rPr>
        <w:t>.</w:t>
      </w:r>
      <w:r w:rsidRPr="00A72093">
        <w:rPr>
          <w:rFonts w:ascii="Arial" w:hAnsi="Arial" w:cs="Arial"/>
          <w:sz w:val="24"/>
          <w:szCs w:val="24"/>
        </w:rPr>
        <w:t xml:space="preserve"> </w:t>
      </w:r>
      <w:r w:rsidRPr="00A72093">
        <w:rPr>
          <w:rStyle w:val="cursor-pointer"/>
          <w:rFonts w:ascii="Arial" w:hAnsi="Arial" w:cs="Arial"/>
          <w:sz w:val="24"/>
          <w:szCs w:val="24"/>
        </w:rPr>
        <w:t>For example, using standardised prescribing and safety reporting frameworks will help to improve the reliability of clinical practice by about 25 – 30% by decreasing variation.</w:t>
      </w:r>
      <w:r w:rsidRPr="00A72093">
        <w:rPr>
          <w:rFonts w:ascii="Arial" w:hAnsi="Arial" w:cs="Arial"/>
          <w:sz w:val="24"/>
          <w:szCs w:val="24"/>
        </w:rPr>
        <w:t xml:space="preserve"> </w:t>
      </w:r>
      <w:r w:rsidRPr="00A72093">
        <w:rPr>
          <w:rStyle w:val="cursor-pointer"/>
          <w:rFonts w:ascii="Arial" w:hAnsi="Arial" w:cs="Arial"/>
          <w:sz w:val="24"/>
          <w:szCs w:val="24"/>
        </w:rPr>
        <w:t>Also, centralisation creates greater policy level accountability because there are clearly established protocols for action and practice.</w:t>
      </w:r>
      <w:r w:rsidRPr="00A72093">
        <w:rPr>
          <w:rFonts w:ascii="Arial" w:hAnsi="Arial" w:cs="Arial"/>
          <w:sz w:val="24"/>
          <w:szCs w:val="24"/>
        </w:rPr>
        <w:t xml:space="preserve"> </w:t>
      </w:r>
      <w:r w:rsidRPr="00A72093">
        <w:rPr>
          <w:rStyle w:val="cursor-pointer"/>
          <w:rFonts w:ascii="Arial" w:hAnsi="Arial" w:cs="Arial"/>
          <w:sz w:val="24"/>
          <w:szCs w:val="24"/>
        </w:rPr>
        <w:t>This step-by-step process can reduce random errors, especially in sensitive areas like medication management, and keep healthcare workers safe and within limits.</w:t>
      </w:r>
    </w:p>
    <w:p w14:paraId="69EB1635"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Disadvantages of Centralised System </w:t>
      </w:r>
    </w:p>
    <w:p w14:paraId="7ABFEDBB" w14:textId="77777777" w:rsidR="0044149F" w:rsidRPr="00A72093" w:rsidRDefault="00D748D5" w:rsidP="0044149F">
      <w:pPr>
        <w:spacing w:line="360" w:lineRule="auto"/>
        <w:jc w:val="both"/>
        <w:rPr>
          <w:rFonts w:ascii="Arial" w:hAnsi="Arial" w:cs="Arial"/>
          <w:sz w:val="24"/>
          <w:szCs w:val="24"/>
        </w:rPr>
      </w:pPr>
      <w:r w:rsidRPr="00A72093">
        <w:rPr>
          <w:rStyle w:val="cursor-pointer"/>
          <w:rFonts w:ascii="Arial" w:hAnsi="Arial" w:cs="Arial"/>
          <w:sz w:val="24"/>
          <w:szCs w:val="24"/>
        </w:rPr>
        <w:t>However, the disadvantages of centralisation were that it reduced flexibility, responsiveness and clarity to the front line, and this was a factor in the incident with Len.</w:t>
      </w:r>
      <w:r w:rsidRPr="00A72093">
        <w:rPr>
          <w:rFonts w:ascii="Arial" w:hAnsi="Arial" w:cs="Arial"/>
          <w:sz w:val="24"/>
          <w:szCs w:val="24"/>
        </w:rPr>
        <w:t xml:space="preserve"> </w:t>
      </w:r>
      <w:r w:rsidRPr="00A72093">
        <w:rPr>
          <w:rStyle w:val="cursor-pointer"/>
          <w:rFonts w:ascii="Arial" w:hAnsi="Arial" w:cs="Arial"/>
          <w:sz w:val="24"/>
          <w:szCs w:val="24"/>
        </w:rPr>
        <w:t>The use of standardised prescribing formats resulted in dosage instructions not being sufficiently adapted to the patient's understanding, which might lead to misinterpretation.</w:t>
      </w:r>
      <w:r w:rsidRPr="00A72093">
        <w:rPr>
          <w:rFonts w:ascii="Arial" w:hAnsi="Arial" w:cs="Arial"/>
          <w:sz w:val="24"/>
          <w:szCs w:val="24"/>
        </w:rPr>
        <w:t xml:space="preserve"> </w:t>
      </w:r>
      <w:r w:rsidRPr="00A72093">
        <w:rPr>
          <w:rStyle w:val="cursor-pointer"/>
          <w:rFonts w:ascii="Arial" w:hAnsi="Arial" w:cs="Arial"/>
          <w:sz w:val="24"/>
          <w:szCs w:val="24"/>
        </w:rPr>
        <w:t>In this instance, the system focused on adherence to guidelines rather than personalised communication, resulting in failure to practice safe medication use.</w:t>
      </w:r>
      <w:r w:rsidRPr="00A72093">
        <w:rPr>
          <w:rFonts w:ascii="Arial" w:hAnsi="Arial" w:cs="Arial"/>
          <w:sz w:val="24"/>
          <w:szCs w:val="24"/>
        </w:rPr>
        <w:t xml:space="preserve"> </w:t>
      </w:r>
      <w:r w:rsidRPr="00A72093">
        <w:rPr>
          <w:rStyle w:val="cursor-pointer"/>
          <w:rFonts w:ascii="Arial" w:hAnsi="Arial" w:cs="Arial"/>
          <w:sz w:val="24"/>
          <w:szCs w:val="24"/>
        </w:rPr>
        <w:t>Additionally, centralised systems will typically result in a hierarchy of communication, which may make it difficult for important information to flow among health care professionals and patients</w:t>
      </w:r>
      <w:r w:rsidR="0044149F" w:rsidRPr="00A72093">
        <w:rPr>
          <w:rStyle w:val="cursor-pointer"/>
          <w:rFonts w:ascii="Arial" w:eastAsiaTheme="majorEastAsia" w:hAnsi="Arial" w:cs="Arial"/>
        </w:rPr>
        <w:t xml:space="preserve"> </w:t>
      </w:r>
      <w:r w:rsidR="0044149F" w:rsidRPr="00A72093">
        <w:rPr>
          <w:rFonts w:ascii="Arial" w:hAnsi="Arial" w:cs="Arial"/>
          <w:sz w:val="24"/>
          <w:szCs w:val="24"/>
        </w:rPr>
        <w:t>(World Health Organization, 2025f)</w:t>
      </w:r>
      <w:r w:rsidRPr="00A72093">
        <w:rPr>
          <w:rStyle w:val="cursor-pointer"/>
          <w:rFonts w:ascii="Arial" w:hAnsi="Arial" w:cs="Arial"/>
          <w:sz w:val="24"/>
          <w:szCs w:val="24"/>
        </w:rPr>
        <w:t>.</w:t>
      </w:r>
      <w:r w:rsidRPr="00A72093">
        <w:rPr>
          <w:rFonts w:ascii="Arial" w:hAnsi="Arial" w:cs="Arial"/>
          <w:sz w:val="24"/>
          <w:szCs w:val="24"/>
        </w:rPr>
        <w:t xml:space="preserve"> </w:t>
      </w:r>
      <w:r w:rsidRPr="00A72093">
        <w:rPr>
          <w:rStyle w:val="cursor-pointer"/>
          <w:rFonts w:ascii="Arial" w:eastAsiaTheme="majorEastAsia" w:hAnsi="Arial" w:cs="Arial"/>
          <w:sz w:val="24"/>
          <w:szCs w:val="24"/>
        </w:rPr>
        <w:t>It is</w:t>
      </w:r>
      <w:r w:rsidRPr="00A72093">
        <w:rPr>
          <w:rStyle w:val="cursor-pointer"/>
          <w:rFonts w:ascii="Arial" w:hAnsi="Arial" w:cs="Arial"/>
          <w:sz w:val="24"/>
          <w:szCs w:val="24"/>
        </w:rPr>
        <w:t xml:space="preserve"> revealed that there is a big lack of communication that is a primary cause of medication errors, accounting for almost 60% to 70%.</w:t>
      </w:r>
      <w:r w:rsidRPr="00A72093">
        <w:rPr>
          <w:rFonts w:ascii="Arial" w:hAnsi="Arial" w:cs="Arial"/>
          <w:sz w:val="24"/>
          <w:szCs w:val="24"/>
        </w:rPr>
        <w:t xml:space="preserve"> </w:t>
      </w:r>
      <w:r w:rsidRPr="00A72093">
        <w:rPr>
          <w:rStyle w:val="cursor-pointer"/>
          <w:rFonts w:ascii="Arial" w:hAnsi="Arial" w:cs="Arial"/>
          <w:sz w:val="24"/>
          <w:szCs w:val="24"/>
        </w:rPr>
        <w:t xml:space="preserve">There are also indications that the lack of agility can mean that it could take a longer time to intervene, while the time it takes to recognize a medication error could increase adverse outcomes by </w:t>
      </w:r>
      <w:r w:rsidRPr="00A72093">
        <w:rPr>
          <w:rStyle w:val="cursor-pointer"/>
          <w:rFonts w:ascii="Arial" w:hAnsi="Arial" w:cs="Arial"/>
          <w:sz w:val="24"/>
          <w:szCs w:val="24"/>
        </w:rPr>
        <w:lastRenderedPageBreak/>
        <w:t>about 25%, clearly illustrating how centralisation can impact prompt decision-making in complex care scenarios</w:t>
      </w:r>
      <w:r w:rsidR="0044149F" w:rsidRPr="00A72093">
        <w:rPr>
          <w:rStyle w:val="cursor-pointer"/>
          <w:rFonts w:ascii="Arial" w:hAnsi="Arial" w:cs="Arial"/>
          <w:sz w:val="24"/>
          <w:szCs w:val="24"/>
        </w:rPr>
        <w:t xml:space="preserve"> </w:t>
      </w:r>
      <w:r w:rsidR="0044149F" w:rsidRPr="00A72093">
        <w:rPr>
          <w:rFonts w:ascii="Arial" w:hAnsi="Arial" w:cs="Arial"/>
          <w:sz w:val="24"/>
          <w:szCs w:val="24"/>
        </w:rPr>
        <w:t>(</w:t>
      </w:r>
      <w:proofErr w:type="spellStart"/>
      <w:r w:rsidR="0044149F" w:rsidRPr="00A72093">
        <w:rPr>
          <w:rFonts w:ascii="Arial" w:hAnsi="Arial" w:cs="Arial"/>
          <w:sz w:val="24"/>
          <w:szCs w:val="24"/>
        </w:rPr>
        <w:t>Elkhweildi</w:t>
      </w:r>
      <w:proofErr w:type="spellEnd"/>
      <w:r w:rsidR="0044149F" w:rsidRPr="00A72093">
        <w:rPr>
          <w:rFonts w:ascii="Arial" w:hAnsi="Arial" w:cs="Arial"/>
          <w:sz w:val="24"/>
          <w:szCs w:val="24"/>
        </w:rPr>
        <w:t xml:space="preserve"> et al., 2025). </w:t>
      </w:r>
    </w:p>
    <w:p w14:paraId="30101B9E"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Decentralised systems:</w:t>
      </w:r>
    </w:p>
    <w:p w14:paraId="75003976"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how authority is distr</w:t>
      </w:r>
      <w:r w:rsidR="00D748D5" w:rsidRPr="00A72093">
        <w:rPr>
          <w:rFonts w:ascii="Arial" w:hAnsi="Arial" w:cs="Arial"/>
          <w:b/>
          <w:sz w:val="24"/>
          <w:szCs w:val="24"/>
        </w:rPr>
        <w:t>ibuted and give a clear example</w:t>
      </w:r>
    </w:p>
    <w:p w14:paraId="24A9657F" w14:textId="72180D78" w:rsidR="00D748D5" w:rsidRPr="00A72093" w:rsidRDefault="00D748D5" w:rsidP="007F4539">
      <w:pPr>
        <w:spacing w:line="360" w:lineRule="auto"/>
        <w:jc w:val="both"/>
        <w:rPr>
          <w:rFonts w:ascii="Arial" w:hAnsi="Arial" w:cs="Arial"/>
          <w:sz w:val="24"/>
          <w:szCs w:val="24"/>
        </w:rPr>
      </w:pPr>
      <w:r w:rsidRPr="00A72093">
        <w:rPr>
          <w:rFonts w:ascii="Arial" w:hAnsi="Arial" w:cs="Arial"/>
          <w:sz w:val="24"/>
          <w:szCs w:val="24"/>
        </w:rPr>
        <w:t xml:space="preserve">Decentralised systems </w:t>
      </w:r>
      <w:r w:rsidR="00DA79AA">
        <w:rPr>
          <w:rFonts w:ascii="Arial" w:hAnsi="Arial" w:cs="Arial"/>
          <w:sz w:val="24"/>
          <w:szCs w:val="24"/>
        </w:rPr>
        <w:t>share</w:t>
      </w:r>
      <w:r w:rsidRPr="00A72093">
        <w:rPr>
          <w:rFonts w:ascii="Arial" w:hAnsi="Arial" w:cs="Arial"/>
          <w:sz w:val="24"/>
          <w:szCs w:val="24"/>
        </w:rPr>
        <w:t xml:space="preserve"> authority at </w:t>
      </w:r>
      <w:proofErr w:type="gramStart"/>
      <w:r w:rsidRPr="00A72093">
        <w:rPr>
          <w:rFonts w:ascii="Arial" w:hAnsi="Arial" w:cs="Arial"/>
          <w:sz w:val="24"/>
          <w:szCs w:val="24"/>
        </w:rPr>
        <w:t>a number of</w:t>
      </w:r>
      <w:proofErr w:type="gramEnd"/>
      <w:r w:rsidRPr="00A72093">
        <w:rPr>
          <w:rFonts w:ascii="Arial" w:hAnsi="Arial" w:cs="Arial"/>
          <w:sz w:val="24"/>
          <w:szCs w:val="24"/>
        </w:rPr>
        <w:t xml:space="preserve"> levels in the healthcare system, with the frontline staff making decisions according to the needs of patients in real time without needing to </w:t>
      </w:r>
      <w:proofErr w:type="gramStart"/>
      <w:r w:rsidRPr="00A72093">
        <w:rPr>
          <w:rFonts w:ascii="Arial" w:hAnsi="Arial" w:cs="Arial"/>
          <w:sz w:val="24"/>
          <w:szCs w:val="24"/>
        </w:rPr>
        <w:t>refer back</w:t>
      </w:r>
      <w:proofErr w:type="gramEnd"/>
      <w:r w:rsidRPr="00A72093">
        <w:rPr>
          <w:rFonts w:ascii="Arial" w:hAnsi="Arial" w:cs="Arial"/>
          <w:sz w:val="24"/>
          <w:szCs w:val="24"/>
        </w:rPr>
        <w:t xml:space="preserve"> to top-level decisions. Len's situation is unusual in that the guidelines for the use of the medicine are located in the central prescribing system but interpretation, dispensing, and administration of the medicine is distributed among the prescriber, the pharmacist, and the patient</w:t>
      </w:r>
      <w:r w:rsidR="0044149F" w:rsidRPr="00A72093">
        <w:rPr>
          <w:rFonts w:ascii="Arial" w:hAnsi="Arial" w:cs="Arial"/>
          <w:sz w:val="24"/>
          <w:szCs w:val="24"/>
        </w:rPr>
        <w:t xml:space="preserve"> (NHS England, 2025e)</w:t>
      </w:r>
      <w:r w:rsidRPr="00A72093">
        <w:rPr>
          <w:rFonts w:ascii="Arial" w:hAnsi="Arial" w:cs="Arial"/>
          <w:sz w:val="24"/>
          <w:szCs w:val="24"/>
        </w:rPr>
        <w:t xml:space="preserve">. For instance, the pharmacist could confirm the prescription, and give Len clear instructions on how to take it at home. This is a sign of decentralisation – decision making is not at one central place but distributed through the pathway of care. The evidence depicts that decentralised clinical decision making can lead to </w:t>
      </w:r>
      <w:r w:rsidR="00A72093">
        <w:rPr>
          <w:rFonts w:ascii="Arial" w:hAnsi="Arial" w:cs="Arial"/>
          <w:sz w:val="24"/>
          <w:szCs w:val="24"/>
        </w:rPr>
        <w:t>17</w:t>
      </w:r>
      <w:r w:rsidRPr="00A72093">
        <w:rPr>
          <w:rFonts w:ascii="Arial" w:hAnsi="Arial" w:cs="Arial"/>
          <w:sz w:val="24"/>
          <w:szCs w:val="24"/>
        </w:rPr>
        <w:t>% more effective response, which can involve timely and context-specific actions</w:t>
      </w:r>
      <w:r w:rsidR="0044149F" w:rsidRPr="00A72093">
        <w:rPr>
          <w:rFonts w:ascii="Arial" w:hAnsi="Arial" w:cs="Arial"/>
          <w:sz w:val="24"/>
          <w:szCs w:val="24"/>
        </w:rPr>
        <w:t xml:space="preserve"> (Khan et al., 2025)</w:t>
      </w:r>
      <w:r w:rsidRPr="00A72093">
        <w:rPr>
          <w:rFonts w:ascii="Arial" w:hAnsi="Arial" w:cs="Arial"/>
          <w:sz w:val="24"/>
          <w:szCs w:val="24"/>
        </w:rPr>
        <w:t xml:space="preserve">. </w:t>
      </w:r>
    </w:p>
    <w:p w14:paraId="11A775E8" w14:textId="77777777" w:rsidR="00B74D1E" w:rsidRPr="00A72093" w:rsidRDefault="00B74D1E" w:rsidP="007F4539">
      <w:pPr>
        <w:spacing w:line="360" w:lineRule="auto"/>
        <w:jc w:val="both"/>
        <w:rPr>
          <w:rFonts w:ascii="Arial" w:hAnsi="Arial" w:cs="Arial"/>
          <w:b/>
          <w:sz w:val="24"/>
          <w:szCs w:val="24"/>
        </w:rPr>
      </w:pPr>
      <w:r w:rsidRPr="00A72093">
        <w:rPr>
          <w:rFonts w:ascii="Arial" w:hAnsi="Arial" w:cs="Arial"/>
          <w:b/>
          <w:sz w:val="24"/>
          <w:szCs w:val="24"/>
        </w:rPr>
        <w:t>Explain the advantages and disadvantages i</w:t>
      </w:r>
      <w:r w:rsidR="00D748D5" w:rsidRPr="00A72093">
        <w:rPr>
          <w:rFonts w:ascii="Arial" w:hAnsi="Arial" w:cs="Arial"/>
          <w:b/>
          <w:sz w:val="24"/>
          <w:szCs w:val="24"/>
        </w:rPr>
        <w:t>n connection to your case study</w:t>
      </w:r>
    </w:p>
    <w:p w14:paraId="606304AB"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Advantages of Decentralised System </w:t>
      </w:r>
    </w:p>
    <w:p w14:paraId="51B70796" w14:textId="77777777" w:rsidR="00D748D5" w:rsidRPr="00A72093" w:rsidRDefault="00D748D5" w:rsidP="0044149F">
      <w:pPr>
        <w:spacing w:line="360" w:lineRule="auto"/>
        <w:jc w:val="both"/>
        <w:rPr>
          <w:rFonts w:ascii="Arial" w:hAnsi="Arial" w:cs="Arial"/>
          <w:sz w:val="24"/>
          <w:szCs w:val="24"/>
        </w:rPr>
      </w:pPr>
      <w:r w:rsidRPr="00A72093">
        <w:rPr>
          <w:rFonts w:ascii="Arial" w:hAnsi="Arial" w:cs="Arial"/>
          <w:sz w:val="24"/>
          <w:szCs w:val="24"/>
        </w:rPr>
        <w:t>In a complex healthcare system, flexibility, responsiveness and patient-centredness is crucial – and a decentralised system can really help with that. For Len, the responsibility was shared between prescriber, pharmacist and patient, with each having a different part to play in decision-making, at different points along the care pathway. This allows frontline staff to make context-specific decisions, such as clarifying the dosage instructions or intervening if inconsistencies were found, by the pharmacist</w:t>
      </w:r>
      <w:r w:rsidR="0044149F" w:rsidRPr="00A72093">
        <w:rPr>
          <w:rFonts w:ascii="Arial" w:hAnsi="Arial" w:cs="Arial"/>
        </w:rPr>
        <w:t xml:space="preserve"> </w:t>
      </w:r>
      <w:r w:rsidR="0044149F" w:rsidRPr="00A72093">
        <w:rPr>
          <w:rFonts w:ascii="Arial" w:hAnsi="Arial" w:cs="Arial"/>
          <w:sz w:val="24"/>
          <w:szCs w:val="24"/>
        </w:rPr>
        <w:t>(NHS England, 2025f)</w:t>
      </w:r>
      <w:r w:rsidRPr="00A72093">
        <w:rPr>
          <w:rFonts w:ascii="Arial" w:hAnsi="Arial" w:cs="Arial"/>
          <w:sz w:val="24"/>
          <w:szCs w:val="24"/>
        </w:rPr>
        <w:t xml:space="preserve">. The other benefit of decentralisation is quicker decision making process and studies show that response times are improved by 15-20%, especially in patient facing situations. Moreover, shared responsibility can improve accountability and engagement, where healthcare providers will have a stake in the safety measures, including double-checking medication administration. </w:t>
      </w:r>
      <w:r w:rsidRPr="00A72093">
        <w:rPr>
          <w:rFonts w:ascii="Arial" w:hAnsi="Arial" w:cs="Arial"/>
          <w:sz w:val="24"/>
          <w:szCs w:val="24"/>
        </w:rPr>
        <w:lastRenderedPageBreak/>
        <w:t>Decentralised systems can help to minimise medication errors by up to 40-50% when they are well co-ordinated, because there are a number of checks to verify the accuracy involved in this process, which improves patient safety and quality of care</w:t>
      </w:r>
      <w:r w:rsidR="0044149F" w:rsidRPr="00A72093">
        <w:rPr>
          <w:rFonts w:ascii="Arial" w:hAnsi="Arial" w:cs="Arial"/>
          <w:sz w:val="24"/>
          <w:szCs w:val="24"/>
        </w:rPr>
        <w:t xml:space="preserve"> (</w:t>
      </w:r>
      <w:proofErr w:type="spellStart"/>
      <w:r w:rsidR="0044149F" w:rsidRPr="00A72093">
        <w:rPr>
          <w:rFonts w:ascii="Arial" w:hAnsi="Arial" w:cs="Arial"/>
          <w:sz w:val="24"/>
          <w:szCs w:val="24"/>
        </w:rPr>
        <w:t>Aluora</w:t>
      </w:r>
      <w:proofErr w:type="spellEnd"/>
      <w:r w:rsidR="0044149F" w:rsidRPr="00A72093">
        <w:rPr>
          <w:rFonts w:ascii="Arial" w:hAnsi="Arial" w:cs="Arial"/>
          <w:sz w:val="24"/>
          <w:szCs w:val="24"/>
        </w:rPr>
        <w:t>, 2025)</w:t>
      </w:r>
      <w:r w:rsidRPr="00A72093">
        <w:rPr>
          <w:rFonts w:ascii="Arial" w:hAnsi="Arial" w:cs="Arial"/>
          <w:sz w:val="24"/>
          <w:szCs w:val="24"/>
        </w:rPr>
        <w:t>.</w:t>
      </w:r>
    </w:p>
    <w:p w14:paraId="75AADBCE" w14:textId="77777777" w:rsidR="00D748D5" w:rsidRPr="00A72093" w:rsidRDefault="00D748D5" w:rsidP="007F4539">
      <w:pPr>
        <w:spacing w:line="360" w:lineRule="auto"/>
        <w:jc w:val="both"/>
        <w:rPr>
          <w:rFonts w:ascii="Arial" w:hAnsi="Arial" w:cs="Arial"/>
          <w:b/>
          <w:sz w:val="24"/>
          <w:szCs w:val="24"/>
        </w:rPr>
      </w:pPr>
      <w:r w:rsidRPr="00A72093">
        <w:rPr>
          <w:rFonts w:ascii="Arial" w:hAnsi="Arial" w:cs="Arial"/>
          <w:b/>
          <w:sz w:val="24"/>
          <w:szCs w:val="24"/>
        </w:rPr>
        <w:t xml:space="preserve">Disadvantages of Decentralised System </w:t>
      </w:r>
    </w:p>
    <w:p w14:paraId="36BF77A1" w14:textId="77777777" w:rsidR="00D748D5" w:rsidRPr="00A72093" w:rsidRDefault="00D748D5" w:rsidP="0044149F">
      <w:pPr>
        <w:spacing w:line="360" w:lineRule="auto"/>
        <w:jc w:val="both"/>
        <w:rPr>
          <w:rFonts w:ascii="Arial" w:hAnsi="Arial" w:cs="Arial"/>
          <w:sz w:val="24"/>
          <w:szCs w:val="24"/>
        </w:rPr>
      </w:pPr>
      <w:r w:rsidRPr="00A72093">
        <w:rPr>
          <w:rFonts w:ascii="Arial" w:hAnsi="Arial" w:cs="Arial"/>
          <w:sz w:val="24"/>
          <w:szCs w:val="24"/>
        </w:rPr>
        <w:t>Decentralisation, however, does not always lead to consistency, communication and accountability gaps, which was seen in Len's case. The authority was shared, but there was no coordination of communication or effective communication between the prescriber, pharmacist and Len, resulting in the misinterpretation of the dosage. This illustrates the inability of decentralised systems to work when people are working alone without proper integration. Poorly coordinated decentralised systems have been shown to have 20-25% greater occurrence of adverse events, primarily because of variation in decision making and absence of standard oversight</w:t>
      </w:r>
      <w:r w:rsidR="0044149F" w:rsidRPr="00A72093">
        <w:rPr>
          <w:rFonts w:ascii="Arial" w:hAnsi="Arial" w:cs="Arial"/>
        </w:rPr>
        <w:t xml:space="preserve"> </w:t>
      </w:r>
      <w:r w:rsidR="0044149F" w:rsidRPr="00A72093">
        <w:rPr>
          <w:rFonts w:ascii="Arial" w:hAnsi="Arial" w:cs="Arial"/>
          <w:sz w:val="24"/>
          <w:szCs w:val="24"/>
        </w:rPr>
        <w:t>(NHS England, 2025g)</w:t>
      </w:r>
      <w:r w:rsidRPr="00A72093">
        <w:rPr>
          <w:rFonts w:ascii="Arial" w:hAnsi="Arial" w:cs="Arial"/>
          <w:sz w:val="24"/>
          <w:szCs w:val="24"/>
        </w:rPr>
        <w:t>. Moreover, shared responsibility can also lead to reduced accountability, as it is difficult to understand who is really taking responsibility for patient understanding and safety. In this case, Len's error was compounded because there was no last step of verification or clear communication path. This illustrates that with decentralisation, autonomy can be achieved, but with poor management, communication and system support, errors can be more likely to occur and adversely affect patient outcomes.</w:t>
      </w:r>
    </w:p>
    <w:p w14:paraId="6A5D36D3" w14:textId="77777777" w:rsidR="00B74D1E" w:rsidRPr="00A72093" w:rsidRDefault="00B74D1E" w:rsidP="007F4539">
      <w:pPr>
        <w:pStyle w:val="Heading2"/>
        <w:spacing w:line="360" w:lineRule="auto"/>
        <w:jc w:val="both"/>
        <w:rPr>
          <w:rFonts w:ascii="Arial" w:hAnsi="Arial" w:cs="Arial"/>
          <w:b/>
          <w:color w:val="auto"/>
          <w:sz w:val="24"/>
          <w:szCs w:val="24"/>
        </w:rPr>
      </w:pPr>
      <w:bookmarkStart w:id="5" w:name="_Toc237004577"/>
      <w:r w:rsidRPr="00A72093">
        <w:rPr>
          <w:rFonts w:ascii="Arial" w:hAnsi="Arial" w:cs="Arial"/>
          <w:b/>
          <w:color w:val="auto"/>
          <w:sz w:val="24"/>
          <w:szCs w:val="24"/>
        </w:rPr>
        <w:t>c. Leadership Theories and Application to the Case Study</w:t>
      </w:r>
      <w:bookmarkEnd w:id="5"/>
      <w:r w:rsidRPr="00A72093">
        <w:rPr>
          <w:rFonts w:ascii="Arial" w:hAnsi="Arial" w:cs="Arial"/>
          <w:b/>
          <w:color w:val="auto"/>
          <w:sz w:val="24"/>
          <w:szCs w:val="24"/>
        </w:rPr>
        <w:t xml:space="preserve"> </w:t>
      </w:r>
    </w:p>
    <w:p w14:paraId="150D269B"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Transformational Leadership</w:t>
      </w:r>
    </w:p>
    <w:p w14:paraId="348EB5A4"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Transformational leadership is about inspiring, motivating and empowering people to act in ways that will enable them to reach common objectives, especially in complex healthcare contexts. Len's situation is a prime example of the lack of effective transformational leadership in effective communication, patient education, and system-wide learning. A culture of safety, openness, and ongoing improvement, fostered by transformational leaders, may have helped to prevent the medication error by engaging both staff and patients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(OECD, 2025b)</w:t>
      </w:r>
      <w:r w:rsidRPr="00A72093">
        <w:rPr>
          <w:rFonts w:ascii="Arial" w:eastAsia="Times New Roman" w:hAnsi="Arial" w:cs="Arial"/>
          <w:sz w:val="24"/>
          <w:szCs w:val="24"/>
          <w:lang w:val="en-IN" w:eastAsia="en-IN"/>
        </w:rPr>
        <w:t xml:space="preserve">. Hospitals and other healthcare providers that embrace leadership have seen as much as 30% greater </w:t>
      </w:r>
      <w:r w:rsidRPr="00A72093">
        <w:rPr>
          <w:rFonts w:ascii="Arial" w:eastAsia="Times New Roman" w:hAnsi="Arial" w:cs="Arial"/>
          <w:sz w:val="24"/>
          <w:szCs w:val="24"/>
          <w:lang w:val="en-IN" w:eastAsia="en-IN"/>
        </w:rPr>
        <w:lastRenderedPageBreak/>
        <w:t xml:space="preserve">employee engagement and better patient safety results. Further, hospitals with positive cultures often have </w:t>
      </w:r>
      <w:r w:rsidR="00A72093" w:rsidRPr="00A72093">
        <w:rPr>
          <w:rFonts w:ascii="Arial" w:eastAsia="Times New Roman" w:hAnsi="Arial" w:cs="Arial"/>
          <w:sz w:val="24"/>
          <w:szCs w:val="24"/>
          <w:lang w:val="en-IN" w:eastAsia="en-IN"/>
        </w:rPr>
        <w:t>22</w:t>
      </w:r>
      <w:r w:rsidRPr="00A72093">
        <w:rPr>
          <w:rFonts w:ascii="Arial" w:eastAsia="Times New Roman" w:hAnsi="Arial" w:cs="Arial"/>
          <w:sz w:val="24"/>
          <w:szCs w:val="24"/>
          <w:lang w:val="en-IN" w:eastAsia="en-IN"/>
        </w:rPr>
        <w:t>% fewer adverse events, due to transformational leadership. In Len's instance, though, the leadership seemed more about following procedures than inspiring action, steering away from opportunities to challenge or elucidate not so clear prescriptions. Perhaps most importantly, it means that a transformational leadership was either lacking or inadequate, with no sign of collective responsibility or a proactive safety culture. A more transformational approach might have facilitated better communication between prescriber, pharmacist and patient which would have minimised opportunities for miscommunication and potential harm</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King’s Fund, 2025a)</w:t>
      </w:r>
      <w:r w:rsidRPr="00A72093">
        <w:rPr>
          <w:rFonts w:ascii="Arial" w:eastAsia="Times New Roman" w:hAnsi="Arial" w:cs="Arial"/>
          <w:sz w:val="24"/>
          <w:szCs w:val="24"/>
          <w:lang w:val="en-IN" w:eastAsia="en-IN"/>
        </w:rPr>
        <w:t>.</w:t>
      </w:r>
    </w:p>
    <w:p w14:paraId="61DB2A4B"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Transactional Leadership</w:t>
      </w:r>
    </w:p>
    <w:p w14:paraId="2FF277A8" w14:textId="77777777" w:rsidR="007F4539" w:rsidRDefault="007F4539" w:rsidP="0044149F">
      <w:pPr>
        <w:spacing w:line="360" w:lineRule="auto"/>
        <w:jc w:val="both"/>
        <w:rPr>
          <w:rFonts w:ascii="Arial" w:eastAsia="Times New Roman" w:hAnsi="Arial" w:cs="Arial"/>
          <w:sz w:val="24"/>
          <w:szCs w:val="24"/>
          <w:lang w:val="en-IN" w:eastAsia="en-IN"/>
        </w:rPr>
      </w:pPr>
      <w:r w:rsidRPr="00A72093">
        <w:rPr>
          <w:rFonts w:ascii="Arial" w:eastAsia="Times New Roman" w:hAnsi="Arial" w:cs="Arial"/>
          <w:sz w:val="24"/>
          <w:szCs w:val="24"/>
          <w:lang w:val="en-IN" w:eastAsia="en-IN"/>
        </w:rPr>
        <w:t>Transactional leadership is rooted in structured processes, clearly defined roles, and rule adherence, typical in highly-regulated environments like healthcare. Len's transactional leadership style is manifested in the use of standardised prescribing guidance, formal procedures and hierarchy in decision making. Prescribing and dispensing of Morphine was conducted in accordance with healthcare related protocols, and was conducted with a command-driven approach. Transactional leadership is one that can help to maintain uniformity and minimise variation. For instance, when carried out correctly, medication processes that can be structured can lower clinical errors by 15 – 20%. This, however, can sometimes be more about doing the task than about thinking flexibly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(NHS Leadership Academy, 2025a)</w:t>
      </w:r>
      <w:r w:rsidRPr="00A72093">
        <w:rPr>
          <w:rFonts w:ascii="Arial" w:eastAsia="Times New Roman" w:hAnsi="Arial" w:cs="Arial"/>
          <w:sz w:val="24"/>
          <w:szCs w:val="24"/>
          <w:lang w:val="en-IN" w:eastAsia="en-IN"/>
        </w:rPr>
        <w:t>. In Len's instance, the lack of clarity on the dosage information was not raised or clarified and therefore his safe practice was not upheld. Additionally, transactional leadership tends to be reactive instead of proactive. It's a reactive approach rather than a preventative approach. It is clearly demonstrated that transactional leadership systems are associated with higher rates of reporting delays of incidents that may affect patient outcomes. Critically, transactional leadership focused on compliance did not look at the challenge of the complexities of real-world patient care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(Care Quality Commission, 2025a)</w:t>
      </w:r>
      <w:r w:rsidRPr="00A72093">
        <w:rPr>
          <w:rFonts w:ascii="Arial" w:eastAsia="Times New Roman" w:hAnsi="Arial" w:cs="Arial"/>
          <w:sz w:val="24"/>
          <w:szCs w:val="24"/>
          <w:lang w:val="en-IN" w:eastAsia="en-IN"/>
        </w:rPr>
        <w:t>. This proves that transactional leadership alone will not work when it comes to judgment, communication, and patient-</w:t>
      </w:r>
      <w:proofErr w:type="spellStart"/>
      <w:r w:rsidRPr="00A72093">
        <w:rPr>
          <w:rFonts w:ascii="Arial" w:eastAsia="Times New Roman" w:hAnsi="Arial" w:cs="Arial"/>
          <w:sz w:val="24"/>
          <w:szCs w:val="24"/>
          <w:lang w:val="en-IN" w:eastAsia="en-IN"/>
        </w:rPr>
        <w:t>centered</w:t>
      </w:r>
      <w:proofErr w:type="spellEnd"/>
      <w:r w:rsidRPr="00A72093">
        <w:rPr>
          <w:rFonts w:ascii="Arial" w:eastAsia="Times New Roman" w:hAnsi="Arial" w:cs="Arial"/>
          <w:sz w:val="24"/>
          <w:szCs w:val="24"/>
          <w:lang w:val="en-IN" w:eastAsia="en-IN"/>
        </w:rPr>
        <w:t xml:space="preserve"> decision making.</w:t>
      </w:r>
    </w:p>
    <w:p w14:paraId="516A2153" w14:textId="77777777" w:rsidR="00DA79AA" w:rsidRPr="00A72093" w:rsidRDefault="00DA79AA" w:rsidP="0044149F">
      <w:pPr>
        <w:spacing w:line="360" w:lineRule="auto"/>
        <w:jc w:val="both"/>
        <w:rPr>
          <w:rFonts w:ascii="Arial" w:hAnsi="Arial" w:cs="Arial"/>
          <w:sz w:val="24"/>
          <w:szCs w:val="24"/>
        </w:rPr>
      </w:pPr>
    </w:p>
    <w:p w14:paraId="03E53DE7"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Situational Leadership</w:t>
      </w:r>
    </w:p>
    <w:p w14:paraId="0C84808B"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Situational leadership focuses upon the need for leadership style to change according to the context, complexity and needs of the situation. In Len's situation, the approach to leadership was ineffective in meeting the high risk of handling medicines. Careful communication, patient education and monitoring of the administration of morphine was required, but the approach to leadership was not changed – it was still protocol driven. Situational leadership involves being more directive to more supportive/coaching when facing complex patient needs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(Institute for Healthcare Improvement, 2025a)</w:t>
      </w:r>
      <w:r w:rsidRPr="00A72093">
        <w:rPr>
          <w:rFonts w:ascii="Arial" w:eastAsia="Times New Roman" w:hAnsi="Arial" w:cs="Arial"/>
          <w:sz w:val="24"/>
          <w:szCs w:val="24"/>
          <w:lang w:val="en-IN" w:eastAsia="en-IN"/>
        </w:rPr>
        <w:t>. Personalised communication and verification would be needed for example to ensure that Len fully understood the dosage instructions, rather than relying on standard communication and verification procedures. It is suggested that adaptive leadership practices have the potential to increase the accuracy of decisions by as much as 25%, especially in high-risk clinical situations. In this instance, however, the inabilities to adapt were part of the problem, because there were no extra protection measures put in place to address the risks. If there is no situational leadership, it is a major drawback to the system. Leaders saw little need to tailor their practice to the vulnerability and complexity of patients and provided poor support and risk of error.</w:t>
      </w:r>
    </w:p>
    <w:p w14:paraId="5243FBC2"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Reactive vs Proactive Leadership in the Case Study</w:t>
      </w:r>
    </w:p>
    <w:p w14:paraId="151E2236"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The leadership style of Len seems to be more of a reactive (command driven) than a proactive (purpose driven) style. The actions were based on rules and procedures that are in place; little effort was made to try to prevent risks or errors. Reactive leadership can result in a lagged response to incidents. In medical settings, failing to identify and address medication errors can have a negative impact on health, reducing results by 25-30%</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(National Quality Board, 2025a)</w:t>
      </w:r>
      <w:r w:rsidRPr="00A72093">
        <w:rPr>
          <w:rFonts w:ascii="Arial" w:eastAsia="Times New Roman" w:hAnsi="Arial" w:cs="Arial"/>
          <w:sz w:val="24"/>
          <w:szCs w:val="24"/>
          <w:lang w:val="en-IN" w:eastAsia="en-IN"/>
        </w:rPr>
        <w:t xml:space="preserve">. In this instance, the system was not proactive in recognising the problem early, which indicates a lack of proactive monitoring and intervention. Proactive leadership, however, is risk identification, risk prevention, and continuous improvement. By prioritizing proactive safety measures, organisations can achieve as much as 40% decrease in </w:t>
      </w:r>
      <w:r w:rsidRPr="00A72093">
        <w:rPr>
          <w:rFonts w:ascii="Arial" w:eastAsia="Times New Roman" w:hAnsi="Arial" w:cs="Arial"/>
          <w:sz w:val="24"/>
          <w:szCs w:val="24"/>
          <w:lang w:val="en-IN" w:eastAsia="en-IN"/>
        </w:rPr>
        <w:lastRenderedPageBreak/>
        <w:t>preventable harm, underscoring the value of proactive leadership. The case calls attention to the fact that leadership was more about keeping systems in place than enhancing them, and this was not the most effective way to prevent harm.</w:t>
      </w:r>
    </w:p>
    <w:p w14:paraId="40133833"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What Could Have Been Done Differently: Distributed and Emotionally Intelligent Leadership</w:t>
      </w:r>
    </w:p>
    <w:p w14:paraId="3C5FDA6A" w14:textId="77777777" w:rsidR="00B74D1E"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The case illustrates the importance of distributed and emotional leadership. Distributed leadership is about having shared responsibility within teams and good communication and accountability. For Len, better communication between prescribers and pharmacists and between the pharmacist and the patient could have provided several safeguards to avoid error. Leaders are also expected to be emotionally intelligent, with an emphasis on empathy, communication, and understanding patients' needs. EI-enabled leaders can boost the effectiveness of communication by 35%, lower the number of misunderstandings and boost patient safety. In addition, a culture of open communication and psychological safety would foster an environment where employees can voice their doubts in response to murky instructions without fear</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(BMJ, 2025a</w:t>
      </w:r>
      <w:r w:rsidRPr="00A72093">
        <w:rPr>
          <w:rFonts w:ascii="Arial" w:eastAsia="Times New Roman" w:hAnsi="Arial" w:cs="Arial"/>
          <w:sz w:val="24"/>
          <w:szCs w:val="24"/>
          <w:lang w:val="en-IN" w:eastAsia="en-IN"/>
        </w:rPr>
        <w:t xml:space="preserve">. </w:t>
      </w:r>
      <w:r w:rsidR="0044149F" w:rsidRPr="00A72093">
        <w:rPr>
          <w:rFonts w:ascii="Arial" w:eastAsia="Times New Roman" w:hAnsi="Arial" w:cs="Arial"/>
          <w:sz w:val="24"/>
          <w:szCs w:val="24"/>
          <w:lang w:val="en-IN" w:eastAsia="en-IN"/>
        </w:rPr>
        <w:t>It is revealed</w:t>
      </w:r>
      <w:r w:rsidRPr="00A72093">
        <w:rPr>
          <w:rFonts w:ascii="Arial" w:eastAsia="Times New Roman" w:hAnsi="Arial" w:cs="Arial"/>
          <w:sz w:val="24"/>
          <w:szCs w:val="24"/>
          <w:lang w:val="en-IN" w:eastAsia="en-IN"/>
        </w:rPr>
        <w:t xml:space="preserve"> that, where safety culture is good, 50% of avoidable harm can be reduced in organisations. Most importantly, a blend of transformational, situational and distributed leadership would have been more suitable in the case of Len. This holistic strategy would guarantee adherence and flexibility to ensure risk reduction and better patient outcomes.</w:t>
      </w:r>
    </w:p>
    <w:p w14:paraId="444ADED6" w14:textId="77777777" w:rsidR="00B74D1E" w:rsidRPr="00A72093" w:rsidRDefault="00B74D1E" w:rsidP="00A72093">
      <w:pPr>
        <w:pStyle w:val="Heading2"/>
        <w:spacing w:line="360" w:lineRule="auto"/>
        <w:jc w:val="both"/>
        <w:rPr>
          <w:rFonts w:ascii="Arial" w:hAnsi="Arial" w:cs="Arial"/>
          <w:b/>
          <w:color w:val="auto"/>
          <w:sz w:val="24"/>
          <w:szCs w:val="24"/>
        </w:rPr>
      </w:pPr>
      <w:bookmarkStart w:id="6" w:name="_Toc237004578"/>
      <w:r w:rsidRPr="00A72093">
        <w:rPr>
          <w:rFonts w:ascii="Arial" w:hAnsi="Arial" w:cs="Arial"/>
          <w:b/>
          <w:color w:val="auto"/>
          <w:sz w:val="24"/>
          <w:szCs w:val="24"/>
        </w:rPr>
        <w:t xml:space="preserve">d. Improvement, and Lessons Learned </w:t>
      </w:r>
      <w:bookmarkEnd w:id="6"/>
    </w:p>
    <w:p w14:paraId="075398C7"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Leadership and Governance Interaction</w:t>
      </w:r>
    </w:p>
    <w:p w14:paraId="2D18C663"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Len is a case study that shows how leadership and governance systems created unsafe outcomes. There was a high degree of centralisation in the governance of the healthcare system, with a good level of adherence to standard treatments and regulatory requirements. Operational-level leadership however, was transactional and reactive, with a focus on following procedures and not proactive risk management. This mismatch led to policy to be disconnected from practice. Governance ensured systems and rules were in place, leadership was not effective in ensuring that these are in place and understood at the frontline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 xml:space="preserve">(The Guardian, </w:t>
      </w:r>
      <w:r w:rsidR="0044149F" w:rsidRPr="00A72093">
        <w:rPr>
          <w:rFonts w:ascii="Arial" w:hAnsi="Arial" w:cs="Arial"/>
          <w:sz w:val="24"/>
          <w:szCs w:val="24"/>
        </w:rPr>
        <w:lastRenderedPageBreak/>
        <w:t>2025a)</w:t>
      </w:r>
      <w:r w:rsidRPr="00A72093">
        <w:rPr>
          <w:rFonts w:ascii="Arial" w:eastAsia="Times New Roman" w:hAnsi="Arial" w:cs="Arial"/>
          <w:sz w:val="24"/>
          <w:szCs w:val="24"/>
          <w:lang w:val="en-IN" w:eastAsia="en-IN"/>
        </w:rPr>
        <w:t xml:space="preserve">. Those organisations which do not align their leadership and governance have been reported to have up to 30% more patient safety incidents occurring, which suggests that policies are not enough to ensure safety. </w:t>
      </w:r>
    </w:p>
    <w:p w14:paraId="2A7F915E"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Problem 1: Communication Breakdown and Lack of Clarity</w:t>
      </w:r>
    </w:p>
    <w:p w14:paraId="7AF88EF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An inadequacy in communication between prescriber, pharmacist, and patient was one of the key issues in Len's case, with unclear instructions for dosage. The leadership style was not characterized by patient and clear communication with patients, and thus there was a risk for misinterpretation. Communication failure is one of the top risk factors in healthcare, responsible for about 60-70% of medication errors. There was no formal system in place to assure that Len fully understood how to safely take the medicine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Guardian, 2025b)</w:t>
      </w:r>
      <w:r w:rsidRPr="00A72093">
        <w:rPr>
          <w:rFonts w:ascii="Arial" w:eastAsia="Times New Roman" w:hAnsi="Arial" w:cs="Arial"/>
          <w:sz w:val="24"/>
          <w:szCs w:val="24"/>
          <w:lang w:val="en-IN" w:eastAsia="en-IN"/>
        </w:rPr>
        <w:t>.</w:t>
      </w:r>
    </w:p>
    <w:p w14:paraId="2C91DFC4"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Improvement</w:t>
      </w:r>
    </w:p>
    <w:p w14:paraId="73423F0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Healthcare providers have the opportunity to reduce this by adopting a standardised communication system, such as teach-back strategies and digital prescriptions with clear labelling. Using structured communication techniques has been proven to reduce medication errors by up to 50%. Leadership also needs to foster a culture that encourages staff to discuss issues of uncertainty and focus on patient understanding; communication needs to be part of a standard practice in safety, not just something that is optional</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(The Times, 2026a)</w:t>
      </w:r>
      <w:r w:rsidRPr="00A72093">
        <w:rPr>
          <w:rFonts w:ascii="Arial" w:eastAsia="Times New Roman" w:hAnsi="Arial" w:cs="Arial"/>
          <w:sz w:val="24"/>
          <w:szCs w:val="24"/>
          <w:lang w:val="en-IN" w:eastAsia="en-IN"/>
        </w:rPr>
        <w:t>.</w:t>
      </w:r>
    </w:p>
    <w:p w14:paraId="4F793E7F"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Problem 2: Weak Accountability and Fragmented Responsibility</w:t>
      </w:r>
    </w:p>
    <w:p w14:paraId="795F5C4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In the case of Len, there is a lack of accountability along the care pathway. Responsibilities were shared by several actors and sometimes between patient and prescriber, pharmacist and prescriber, prescriber and patient, or patient and pharmacist, but there was no clarity regarding who takes the responsibility for safe medicine use</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(Financial Times, 2025a)</w:t>
      </w:r>
      <w:r w:rsidRPr="00A72093">
        <w:rPr>
          <w:rFonts w:ascii="Arial" w:eastAsia="Times New Roman" w:hAnsi="Arial" w:cs="Arial"/>
          <w:sz w:val="24"/>
          <w:szCs w:val="24"/>
          <w:lang w:val="en-IN" w:eastAsia="en-IN"/>
        </w:rPr>
        <w:t xml:space="preserve">. In a decentralised system with low level of coordination, accountability can be diluted. </w:t>
      </w:r>
    </w:p>
    <w:p w14:paraId="5A6447AA"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Improvement</w:t>
      </w:r>
    </w:p>
    <w:p w14:paraId="541E3B5E"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lastRenderedPageBreak/>
        <w:t>Clearly defining and introducing shared but distinct accountability frameworks is critical. For instance, introducing double checking procedures and designated responsibility for final checking is a key way to decrease risks. Research shows that medication error rates can be reduced by up to 40% with structured verification processes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w:t>
      </w:r>
      <w:proofErr w:type="spellStart"/>
      <w:r w:rsidR="0044149F" w:rsidRPr="00A72093">
        <w:rPr>
          <w:rFonts w:ascii="Arial" w:hAnsi="Arial" w:cs="Arial"/>
          <w:sz w:val="24"/>
          <w:szCs w:val="24"/>
        </w:rPr>
        <w:t>Kludacz</w:t>
      </w:r>
      <w:proofErr w:type="spellEnd"/>
      <w:r w:rsidR="0044149F" w:rsidRPr="00A72093">
        <w:rPr>
          <w:rFonts w:ascii="Arial" w:hAnsi="Arial" w:cs="Arial"/>
          <w:sz w:val="24"/>
          <w:szCs w:val="24"/>
        </w:rPr>
        <w:t>-Alessandri et al., 2025)</w:t>
      </w:r>
      <w:r w:rsidRPr="00A72093">
        <w:rPr>
          <w:rFonts w:ascii="Arial" w:eastAsia="Times New Roman" w:hAnsi="Arial" w:cs="Arial"/>
          <w:sz w:val="24"/>
          <w:szCs w:val="24"/>
          <w:lang w:val="en-IN" w:eastAsia="en-IN"/>
        </w:rPr>
        <w:t>. Distributed leadership models should also be embraced by leadership in order for responsibilities to be shared, but accountability to be clear and measurable across all levels.</w:t>
      </w:r>
    </w:p>
    <w:p w14:paraId="26D87398"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Problem 3: Over-Reliance on Centralised Systems and Lack of Flexibility</w:t>
      </w:r>
    </w:p>
    <w:p w14:paraId="58D75E04"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It points to the lack of adaptability to the patient's context based on protocols, in the context of centralised governance systems. Centralisation allows for a </w:t>
      </w:r>
      <w:proofErr w:type="gramStart"/>
      <w:r w:rsidRPr="00A72093">
        <w:rPr>
          <w:rFonts w:ascii="Arial" w:eastAsia="Times New Roman" w:hAnsi="Arial" w:cs="Arial"/>
          <w:sz w:val="24"/>
          <w:szCs w:val="24"/>
          <w:lang w:val="en-IN" w:eastAsia="en-IN"/>
        </w:rPr>
        <w:t>uniformity, but</w:t>
      </w:r>
      <w:proofErr w:type="gramEnd"/>
      <w:r w:rsidRPr="00A72093">
        <w:rPr>
          <w:rFonts w:ascii="Arial" w:eastAsia="Times New Roman" w:hAnsi="Arial" w:cs="Arial"/>
          <w:sz w:val="24"/>
          <w:szCs w:val="24"/>
          <w:lang w:val="en-IN" w:eastAsia="en-IN"/>
        </w:rPr>
        <w:t xml:space="preserve"> may restrict flexibility and responsiveness in complex situations. However, the system did not change communications and verification processes in Len's case, even though it was a high-risk medication</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(Kyambade and Namatovu, 2025)</w:t>
      </w:r>
      <w:r w:rsidRPr="00A72093">
        <w:rPr>
          <w:rFonts w:ascii="Arial" w:eastAsia="Times New Roman" w:hAnsi="Arial" w:cs="Arial"/>
          <w:sz w:val="24"/>
          <w:szCs w:val="24"/>
          <w:lang w:val="en-IN" w:eastAsia="en-IN"/>
        </w:rPr>
        <w:t>. Evidence indicates that systems that are not flexible may lead to mistakes, especially if frontline workers are not given the authority to make flexible decisions.</w:t>
      </w:r>
    </w:p>
    <w:p w14:paraId="593EAA73"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Improvement</w:t>
      </w:r>
    </w:p>
    <w:p w14:paraId="541DE64D" w14:textId="0623CADD"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More balanced approach - centralisation plus empowerment at </w:t>
      </w:r>
      <w:r w:rsidR="00DA79AA">
        <w:rPr>
          <w:rFonts w:ascii="Arial" w:eastAsia="Times New Roman" w:hAnsi="Arial" w:cs="Arial"/>
          <w:sz w:val="24"/>
          <w:szCs w:val="24"/>
          <w:lang w:val="en-IN" w:eastAsia="en-IN"/>
        </w:rPr>
        <w:t>the front line</w:t>
      </w:r>
      <w:r w:rsidRPr="00A72093">
        <w:rPr>
          <w:rFonts w:ascii="Arial" w:eastAsia="Times New Roman" w:hAnsi="Arial" w:cs="Arial"/>
          <w:sz w:val="24"/>
          <w:szCs w:val="24"/>
          <w:lang w:val="en-IN" w:eastAsia="en-IN"/>
        </w:rPr>
        <w:t xml:space="preserve"> is needed. The </w:t>
      </w:r>
      <w:r w:rsidR="00DA79AA">
        <w:rPr>
          <w:rFonts w:ascii="Arial" w:eastAsia="Times New Roman" w:hAnsi="Arial" w:cs="Arial"/>
          <w:sz w:val="24"/>
          <w:szCs w:val="24"/>
          <w:lang w:val="en-IN" w:eastAsia="en-IN"/>
        </w:rPr>
        <w:t>decentralisation</w:t>
      </w:r>
      <w:r w:rsidRPr="00A72093">
        <w:rPr>
          <w:rFonts w:ascii="Arial" w:eastAsia="Times New Roman" w:hAnsi="Arial" w:cs="Arial"/>
          <w:sz w:val="24"/>
          <w:szCs w:val="24"/>
          <w:lang w:val="en-IN" w:eastAsia="en-IN"/>
        </w:rPr>
        <w:t xml:space="preserve"> of some decision-making processes enables health care professionals to respond to individual patient needs. The introduction of better counselling services by pharmacists, for example, and the need for confirmation of patient understanding, can help to increase safety. Decentralised interventions have demonstrated a reduction in adverse events by </w:t>
      </w:r>
      <w:r w:rsidR="00A72093" w:rsidRPr="00A72093">
        <w:rPr>
          <w:rFonts w:ascii="Arial" w:eastAsia="Times New Roman" w:hAnsi="Arial" w:cs="Arial"/>
          <w:sz w:val="24"/>
          <w:szCs w:val="24"/>
          <w:lang w:val="en-IN" w:eastAsia="en-IN"/>
        </w:rPr>
        <w:t>16</w:t>
      </w:r>
      <w:r w:rsidRPr="00A72093">
        <w:rPr>
          <w:rFonts w:ascii="Arial" w:eastAsia="Times New Roman" w:hAnsi="Arial" w:cs="Arial"/>
          <w:sz w:val="24"/>
          <w:szCs w:val="24"/>
          <w:lang w:val="en-IN" w:eastAsia="en-IN"/>
        </w:rPr>
        <w:t xml:space="preserve">% and a reduction in response time. Centralised policies need to be flexible and adaptable, therefore, for safe and context-specific </w:t>
      </w:r>
      <w:r w:rsidR="00DA79AA">
        <w:rPr>
          <w:rFonts w:ascii="Arial" w:eastAsia="Times New Roman" w:hAnsi="Arial" w:cs="Arial"/>
          <w:sz w:val="24"/>
          <w:szCs w:val="24"/>
          <w:lang w:val="en-IN" w:eastAsia="en-IN"/>
        </w:rPr>
        <w:t>decision-making</w:t>
      </w:r>
      <w:r w:rsidRPr="00A72093">
        <w:rPr>
          <w:rFonts w:ascii="Arial" w:eastAsia="Times New Roman" w:hAnsi="Arial" w:cs="Arial"/>
          <w:sz w:val="24"/>
          <w:szCs w:val="24"/>
          <w:lang w:val="en-IN" w:eastAsia="en-IN"/>
        </w:rPr>
        <w:t>, and the leadership must help ensure this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w:t>
      </w:r>
      <w:proofErr w:type="spellStart"/>
      <w:r w:rsidR="0044149F" w:rsidRPr="00A72093">
        <w:rPr>
          <w:rFonts w:ascii="Arial" w:hAnsi="Arial" w:cs="Arial"/>
          <w:sz w:val="24"/>
          <w:szCs w:val="24"/>
        </w:rPr>
        <w:t>Fosah</w:t>
      </w:r>
      <w:proofErr w:type="spellEnd"/>
      <w:r w:rsidR="0044149F" w:rsidRPr="00A72093">
        <w:rPr>
          <w:rFonts w:ascii="Arial" w:hAnsi="Arial" w:cs="Arial"/>
          <w:sz w:val="24"/>
          <w:szCs w:val="24"/>
        </w:rPr>
        <w:t xml:space="preserve"> and </w:t>
      </w:r>
      <w:proofErr w:type="spellStart"/>
      <w:r w:rsidR="0044149F" w:rsidRPr="00A72093">
        <w:rPr>
          <w:rFonts w:ascii="Arial" w:hAnsi="Arial" w:cs="Arial"/>
          <w:sz w:val="24"/>
          <w:szCs w:val="24"/>
        </w:rPr>
        <w:t>Llahana</w:t>
      </w:r>
      <w:proofErr w:type="spellEnd"/>
      <w:r w:rsidR="0044149F" w:rsidRPr="00A72093">
        <w:rPr>
          <w:rFonts w:ascii="Arial" w:hAnsi="Arial" w:cs="Arial"/>
          <w:sz w:val="24"/>
          <w:szCs w:val="24"/>
        </w:rPr>
        <w:t>, 2025)</w:t>
      </w:r>
      <w:r w:rsidRPr="00A72093">
        <w:rPr>
          <w:rFonts w:ascii="Arial" w:eastAsia="Times New Roman" w:hAnsi="Arial" w:cs="Arial"/>
          <w:sz w:val="24"/>
          <w:szCs w:val="24"/>
          <w:lang w:val="en-IN" w:eastAsia="en-IN"/>
        </w:rPr>
        <w:t>.</w:t>
      </w:r>
    </w:p>
    <w:p w14:paraId="1A1900BA"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Linking System Structure, Leadership, and Feedback</w:t>
      </w:r>
    </w:p>
    <w:p w14:paraId="4C3D9080" w14:textId="312E5C5C"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Len's outcomes were influenced by a dynamic interplay between system structure, leadership, and feedback processes. The overall governance framework was mainly </w:t>
      </w:r>
      <w:r w:rsidR="00DA79AA">
        <w:rPr>
          <w:rFonts w:ascii="Arial" w:eastAsia="Times New Roman" w:hAnsi="Arial" w:cs="Arial"/>
          <w:sz w:val="24"/>
          <w:szCs w:val="24"/>
          <w:lang w:val="en-IN" w:eastAsia="en-IN"/>
        </w:rPr>
        <w:t>centralized</w:t>
      </w:r>
      <w:r w:rsidRPr="00A72093">
        <w:rPr>
          <w:rFonts w:ascii="Arial" w:eastAsia="Times New Roman" w:hAnsi="Arial" w:cs="Arial"/>
          <w:sz w:val="24"/>
          <w:szCs w:val="24"/>
          <w:lang w:val="en-IN" w:eastAsia="en-IN"/>
        </w:rPr>
        <w:t xml:space="preserve"> but lacked flexibility, and </w:t>
      </w:r>
      <w:r w:rsidR="00DA79AA">
        <w:rPr>
          <w:rFonts w:ascii="Arial" w:eastAsia="Times New Roman" w:hAnsi="Arial" w:cs="Arial"/>
          <w:sz w:val="24"/>
          <w:szCs w:val="24"/>
          <w:lang w:val="en-IN" w:eastAsia="en-IN"/>
        </w:rPr>
        <w:t>decentralized</w:t>
      </w:r>
      <w:r w:rsidRPr="00A72093">
        <w:rPr>
          <w:rFonts w:ascii="Arial" w:eastAsia="Times New Roman" w:hAnsi="Arial" w:cs="Arial"/>
          <w:sz w:val="24"/>
          <w:szCs w:val="24"/>
          <w:lang w:val="en-IN" w:eastAsia="en-IN"/>
        </w:rPr>
        <w:t xml:space="preserve"> parts were variable without </w:t>
      </w:r>
      <w:r w:rsidRPr="00A72093">
        <w:rPr>
          <w:rFonts w:ascii="Arial" w:eastAsia="Times New Roman" w:hAnsi="Arial" w:cs="Arial"/>
          <w:sz w:val="24"/>
          <w:szCs w:val="24"/>
          <w:lang w:val="en-IN" w:eastAsia="en-IN"/>
        </w:rPr>
        <w:lastRenderedPageBreak/>
        <w:t>adequate coordination</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(Greene et al., 2025)</w:t>
      </w:r>
      <w:r w:rsidRPr="00A72093">
        <w:rPr>
          <w:rFonts w:ascii="Arial" w:eastAsia="Times New Roman" w:hAnsi="Arial" w:cs="Arial"/>
          <w:sz w:val="24"/>
          <w:szCs w:val="24"/>
          <w:lang w:val="en-IN" w:eastAsia="en-IN"/>
        </w:rPr>
        <w:t xml:space="preserve">. Leadership was mainly transactional and reactive, and was not effective in addressing communication gaps and adapting to patient needs. Meanwhile, lack of feedback systems ensured non-learning and improvement. </w:t>
      </w:r>
    </w:p>
    <w:p w14:paraId="70DD496D"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Lessons for Healthcare Organisations</w:t>
      </w:r>
    </w:p>
    <w:p w14:paraId="7456CD03"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There are a number of important lessons to be learned from the case. First, the leadership should be focused on communication, adaptability and patient-centred care and move beyond compliance. Second, the balancing of centralisation and decentralization needs to be maintained in systems to ensure uniformity and flexibility. Third, high accountability and coordination is needed to prevent blurring of responsibility and avoid it</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(Mousa et al., 2025)</w:t>
      </w:r>
      <w:r w:rsidRPr="00A72093">
        <w:rPr>
          <w:rFonts w:ascii="Arial" w:eastAsia="Times New Roman" w:hAnsi="Arial" w:cs="Arial"/>
          <w:sz w:val="24"/>
          <w:szCs w:val="24"/>
          <w:lang w:val="en-IN" w:eastAsia="en-IN"/>
        </w:rPr>
        <w:t>. Last, organisations need to focus on ongoing learning and improvement, with ongoing data and feedback processes to further improve safety outcomes. Healthcare organisations that implement these best practices benefit from a significant patient safety upgrade, staff satisfaction and corporate efficiency gains.</w:t>
      </w:r>
    </w:p>
    <w:p w14:paraId="4103D404"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Role of Evidence and Data in Continuous Improvement</w:t>
      </w:r>
    </w:p>
    <w:p w14:paraId="4AE974E5" w14:textId="77777777" w:rsidR="00B74D1E"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Data is a key component in achieving continuous improvement and accountability. Len had not received real-time data and feedback which meant that risks could not be identified and addressed. Performance metrics, incident reports and data on patient safety should be used to monitor and drive improvement in healthcare organisations. Leaders can use evidence-based decision-making to identify trends, assess interventions, and make specific improvements</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(Phillipson et al., 2025)</w:t>
      </w:r>
      <w:r w:rsidRPr="00A72093">
        <w:rPr>
          <w:rFonts w:ascii="Arial" w:eastAsia="Times New Roman" w:hAnsi="Arial" w:cs="Arial"/>
          <w:sz w:val="24"/>
          <w:szCs w:val="24"/>
          <w:lang w:val="en-IN" w:eastAsia="en-IN"/>
        </w:rPr>
        <w:t>. Data really do work to create change, with organisations seeing 20–30% improvements in efficiency and safety outcomes where they are effectively using data to drive change. In conclusion, the use of data for leadership and governance is essential for the responsiveness, accountability, and quality of healthcare systems, ensuring that they provide safe and high-quality care.</w:t>
      </w:r>
    </w:p>
    <w:p w14:paraId="79364E0E" w14:textId="77777777" w:rsidR="0044149F" w:rsidRPr="00A72093" w:rsidRDefault="0044149F">
      <w:pPr>
        <w:rPr>
          <w:rFonts w:ascii="Arial" w:eastAsiaTheme="majorEastAsia" w:hAnsi="Arial" w:cs="Arial"/>
          <w:b/>
          <w:sz w:val="24"/>
          <w:szCs w:val="24"/>
        </w:rPr>
      </w:pPr>
      <w:r w:rsidRPr="00A72093">
        <w:rPr>
          <w:rFonts w:ascii="Arial" w:hAnsi="Arial" w:cs="Arial"/>
          <w:b/>
          <w:sz w:val="24"/>
          <w:szCs w:val="24"/>
        </w:rPr>
        <w:br w:type="page"/>
      </w:r>
    </w:p>
    <w:p w14:paraId="335D5943" w14:textId="77777777" w:rsidR="00B74D1E" w:rsidRPr="00A72093" w:rsidRDefault="0044149F" w:rsidP="007F4539">
      <w:pPr>
        <w:pStyle w:val="Heading1"/>
        <w:spacing w:line="360" w:lineRule="auto"/>
        <w:jc w:val="both"/>
        <w:rPr>
          <w:rFonts w:ascii="Arial" w:hAnsi="Arial" w:cs="Arial"/>
          <w:b/>
          <w:color w:val="auto"/>
          <w:sz w:val="24"/>
          <w:szCs w:val="24"/>
        </w:rPr>
      </w:pPr>
      <w:bookmarkStart w:id="7" w:name="_Toc237004579"/>
      <w:r w:rsidRPr="00A72093">
        <w:rPr>
          <w:rFonts w:ascii="Arial" w:hAnsi="Arial" w:cs="Arial"/>
          <w:b/>
          <w:color w:val="auto"/>
          <w:sz w:val="24"/>
          <w:szCs w:val="24"/>
        </w:rPr>
        <w:lastRenderedPageBreak/>
        <w:t>3.0 Recommendation</w:t>
      </w:r>
      <w:bookmarkEnd w:id="7"/>
      <w:r w:rsidRPr="00A72093">
        <w:rPr>
          <w:rFonts w:ascii="Arial" w:hAnsi="Arial" w:cs="Arial"/>
          <w:b/>
          <w:color w:val="auto"/>
          <w:sz w:val="24"/>
          <w:szCs w:val="24"/>
        </w:rPr>
        <w:t xml:space="preserve"> </w:t>
      </w:r>
    </w:p>
    <w:p w14:paraId="1F3621A7"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Adopting an Integrated Leadership Approach for Sustainable Change</w:t>
      </w:r>
    </w:p>
    <w:p w14:paraId="7AB5D3FD" w14:textId="77777777" w:rsidR="007F4539" w:rsidRPr="00A72093" w:rsidRDefault="007F4539" w:rsidP="007F4539">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In the future, incidents such as Len's should be avoided by the organisation adopting an integrated leadership, which integrates transformational, situational and distributed leadership. Transformational Leadership will enhance the culture of safety by fostering open, accountable, empowered staff and situational leadership will allow for adaptability in high-risk situations, like opioid prescribing. The distributed leadership will help to ensure that there is shared responsibility along the care pathway with oversight. </w:t>
      </w:r>
      <w:r w:rsidR="0044149F" w:rsidRPr="00A72093">
        <w:rPr>
          <w:rFonts w:ascii="Arial" w:eastAsia="Times New Roman" w:hAnsi="Arial" w:cs="Arial"/>
          <w:sz w:val="24"/>
          <w:szCs w:val="24"/>
          <w:lang w:val="en-IN" w:eastAsia="en-IN"/>
        </w:rPr>
        <w:t>It is seen</w:t>
      </w:r>
      <w:r w:rsidRPr="00A72093">
        <w:rPr>
          <w:rFonts w:ascii="Arial" w:eastAsia="Times New Roman" w:hAnsi="Arial" w:cs="Arial"/>
          <w:sz w:val="24"/>
          <w:szCs w:val="24"/>
          <w:lang w:val="en-IN" w:eastAsia="en-IN"/>
        </w:rPr>
        <w:t xml:space="preserve"> that healthcare organisations with a strong safety leadership culture have up to 45% fewer serious incidents, and better clinical reliability. This will move the focus of leadership from compliance to prevention, and help to anticipate risk and manage it proactively rather than reactively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w:t>
      </w:r>
      <w:proofErr w:type="spellStart"/>
      <w:r w:rsidR="0044149F" w:rsidRPr="00A72093">
        <w:rPr>
          <w:rFonts w:ascii="Arial" w:hAnsi="Arial" w:cs="Arial"/>
          <w:sz w:val="24"/>
          <w:szCs w:val="24"/>
        </w:rPr>
        <w:t>Tsekouropoulos</w:t>
      </w:r>
      <w:proofErr w:type="spellEnd"/>
      <w:r w:rsidR="0044149F" w:rsidRPr="00A72093">
        <w:rPr>
          <w:rFonts w:ascii="Arial" w:hAnsi="Arial" w:cs="Arial"/>
          <w:sz w:val="24"/>
          <w:szCs w:val="24"/>
        </w:rPr>
        <w:t xml:space="preserve"> et al., 2025)</w:t>
      </w:r>
      <w:r w:rsidRPr="00A72093">
        <w:rPr>
          <w:rFonts w:ascii="Arial" w:eastAsia="Times New Roman" w:hAnsi="Arial" w:cs="Arial"/>
          <w:sz w:val="24"/>
          <w:szCs w:val="24"/>
          <w:lang w:val="en-IN" w:eastAsia="en-IN"/>
        </w:rPr>
        <w:t>.</w:t>
      </w:r>
    </w:p>
    <w:p w14:paraId="2C928653"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Reinforcing Governance and Clear Accountability Mechanisms</w:t>
      </w:r>
    </w:p>
    <w:p w14:paraId="0C37E9E9"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Governance processes should be strengthened by establishing clear accountability at every stage of the medication process with measurable performance indicators to support this. Centralisation offers some degree of standardisation, but in Len's case lack of responsibility was a factor in the error. Ambiguity will be diminished by introducing structured accountability, for example, a named responsible person for verifying prescriptions and counselling patients. Clinically robust organisations have increased regulatory compliance by up to 35% and have improved incident traceability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(da Silva, 2025)</w:t>
      </w:r>
      <w:r w:rsidRPr="00A72093">
        <w:rPr>
          <w:rFonts w:ascii="Arial" w:eastAsia="Times New Roman" w:hAnsi="Arial" w:cs="Arial"/>
          <w:sz w:val="24"/>
          <w:szCs w:val="24"/>
          <w:lang w:val="en-IN" w:eastAsia="en-IN"/>
        </w:rPr>
        <w:t>. Further, the integration of real-time audit processes and escalation procedures will help to ensure that governance is not just policy-based but also action-oriented, enhancing oversight and responsiveness.</w:t>
      </w:r>
    </w:p>
    <w:p w14:paraId="58153542"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Transforming Communication and Digital System Integration</w:t>
      </w:r>
    </w:p>
    <w:p w14:paraId="40A905DC" w14:textId="77777777"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Communication is a key priority, and there is a need to adopt digitally integrated and patient-centred communication systems. Making electronic prescribing work, using decision-support, electronic alerts and standardised labelling can help to minimise the confusion about the instructions for taking medicines. In addition, implementation of structured methods used in the communication between patient and healthcare </w:t>
      </w:r>
      <w:r w:rsidRPr="00A72093">
        <w:rPr>
          <w:rFonts w:ascii="Arial" w:eastAsia="Times New Roman" w:hAnsi="Arial" w:cs="Arial"/>
          <w:sz w:val="24"/>
          <w:szCs w:val="24"/>
          <w:lang w:val="en-IN" w:eastAsia="en-IN"/>
        </w:rPr>
        <w:lastRenderedPageBreak/>
        <w:t>provider, like the teach-back method and digital follow-up systems will guarantee understanding and compliance. There is evidence that digital prescribing systems can decrease prescribing errors by around 32% and that structured patient engagement strategies can enhance medication adherence by nearly 28%</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(Kyambade and Namatovu, 2025)</w:t>
      </w:r>
      <w:r w:rsidRPr="00A72093">
        <w:rPr>
          <w:rFonts w:ascii="Arial" w:eastAsia="Times New Roman" w:hAnsi="Arial" w:cs="Arial"/>
          <w:sz w:val="24"/>
          <w:szCs w:val="24"/>
          <w:lang w:val="en-IN" w:eastAsia="en-IN"/>
        </w:rPr>
        <w:t>. Improving the interoperability between clinical and pharmacy systems will further improve the flow of information, minimize information silos and facilitate safe information exchange between care settings.</w:t>
      </w:r>
    </w:p>
    <w:p w14:paraId="2F529D71"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Improving Technical and Allocative Efficiency</w:t>
      </w:r>
    </w:p>
    <w:p w14:paraId="0F6ECDB2" w14:textId="61992269" w:rsidR="007F4539"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It is suggested that the organisation should be directed towards improving technical efficiency (process improvement) and allocative efficiency (resource optimisation). Human error can be minimised and accuracy enhanced through investment in automation solutions like medication administration with barcodes and clinical decision support with AI. Meanwhile, resources need to be targeted to </w:t>
      </w:r>
      <w:r w:rsidR="00DA79AA">
        <w:rPr>
          <w:rFonts w:ascii="Arial" w:eastAsia="Times New Roman" w:hAnsi="Arial" w:cs="Arial"/>
          <w:sz w:val="24"/>
          <w:szCs w:val="24"/>
          <w:lang w:val="en-IN" w:eastAsia="en-IN"/>
        </w:rPr>
        <w:t>high-risk</w:t>
      </w:r>
      <w:r w:rsidRPr="00A72093">
        <w:rPr>
          <w:rFonts w:ascii="Arial" w:eastAsia="Times New Roman" w:hAnsi="Arial" w:cs="Arial"/>
          <w:sz w:val="24"/>
          <w:szCs w:val="24"/>
          <w:lang w:val="en-IN" w:eastAsia="en-IN"/>
        </w:rPr>
        <w:t xml:space="preserve"> areas such as training on medication safety and patient education. </w:t>
      </w:r>
      <w:r w:rsidR="0044149F" w:rsidRPr="00A72093">
        <w:rPr>
          <w:rFonts w:ascii="Arial" w:eastAsia="Times New Roman" w:hAnsi="Arial" w:cs="Arial"/>
          <w:sz w:val="24"/>
          <w:szCs w:val="24"/>
          <w:lang w:val="en-IN" w:eastAsia="en-IN"/>
        </w:rPr>
        <w:t>It is seen</w:t>
      </w:r>
      <w:r w:rsidRPr="00A72093">
        <w:rPr>
          <w:rFonts w:ascii="Arial" w:eastAsia="Times New Roman" w:hAnsi="Arial" w:cs="Arial"/>
          <w:sz w:val="24"/>
          <w:szCs w:val="24"/>
          <w:lang w:val="en-IN" w:eastAsia="en-IN"/>
        </w:rPr>
        <w:t xml:space="preserve"> that healthcare organizations implementing advanced digital solutions see up to 27% fewer operational mistakes and quantifiable gains in work efficiency</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(Saleh et al., 2025)</w:t>
      </w:r>
      <w:r w:rsidRPr="00A72093">
        <w:rPr>
          <w:rFonts w:ascii="Arial" w:eastAsia="Times New Roman" w:hAnsi="Arial" w:cs="Arial"/>
          <w:sz w:val="24"/>
          <w:szCs w:val="24"/>
          <w:lang w:val="en-IN" w:eastAsia="en-IN"/>
        </w:rPr>
        <w:t>. Effective resource allocation to high-risk areas means that care delivery is efficient and effective, tackling the problems of inefficiency found in Len's case.</w:t>
      </w:r>
    </w:p>
    <w:p w14:paraId="28D5F0BE" w14:textId="77777777" w:rsidR="007F4539" w:rsidRPr="00A72093" w:rsidRDefault="007F4539" w:rsidP="007F4539">
      <w:pPr>
        <w:spacing w:line="360" w:lineRule="auto"/>
        <w:jc w:val="both"/>
        <w:rPr>
          <w:rFonts w:ascii="Arial" w:hAnsi="Arial" w:cs="Arial"/>
          <w:b/>
          <w:sz w:val="24"/>
          <w:szCs w:val="24"/>
        </w:rPr>
      </w:pPr>
      <w:r w:rsidRPr="00A72093">
        <w:rPr>
          <w:rFonts w:ascii="Arial" w:hAnsi="Arial" w:cs="Arial"/>
          <w:b/>
          <w:sz w:val="24"/>
          <w:szCs w:val="24"/>
        </w:rPr>
        <w:t>Embedding Continuous Learning and Real-Time Feedback Systems</w:t>
      </w:r>
    </w:p>
    <w:p w14:paraId="32818303" w14:textId="77777777" w:rsidR="00B74D1E" w:rsidRPr="00A72093" w:rsidRDefault="007F4539" w:rsidP="0044149F">
      <w:pPr>
        <w:spacing w:line="360" w:lineRule="auto"/>
        <w:jc w:val="both"/>
        <w:rPr>
          <w:rFonts w:ascii="Arial" w:hAnsi="Arial" w:cs="Arial"/>
          <w:sz w:val="24"/>
          <w:szCs w:val="24"/>
        </w:rPr>
      </w:pPr>
      <w:r w:rsidRPr="00A72093">
        <w:rPr>
          <w:rFonts w:ascii="Arial" w:eastAsia="Times New Roman" w:hAnsi="Arial" w:cs="Arial"/>
          <w:sz w:val="24"/>
          <w:szCs w:val="24"/>
          <w:lang w:val="en-IN" w:eastAsia="en-IN"/>
        </w:rPr>
        <w:t xml:space="preserve">For sustainability, there is a need to create strong continuous learning systems with real-time feedback of data. This encompasses the use of digital incident reporting systems, multi-disciplinary review meetings on a regular basis, and the use of predictive analytics to assess risk. A positive learning culture inspires staff to be open about their mistakes and to </w:t>
      </w:r>
      <w:proofErr w:type="spellStart"/>
      <w:r w:rsidRPr="00A72093">
        <w:rPr>
          <w:rFonts w:ascii="Arial" w:eastAsia="Times New Roman" w:hAnsi="Arial" w:cs="Arial"/>
          <w:sz w:val="24"/>
          <w:szCs w:val="24"/>
          <w:lang w:val="en-IN" w:eastAsia="en-IN"/>
        </w:rPr>
        <w:t>analyze</w:t>
      </w:r>
      <w:proofErr w:type="spellEnd"/>
      <w:r w:rsidRPr="00A72093">
        <w:rPr>
          <w:rFonts w:ascii="Arial" w:eastAsia="Times New Roman" w:hAnsi="Arial" w:cs="Arial"/>
          <w:sz w:val="24"/>
          <w:szCs w:val="24"/>
          <w:lang w:val="en-IN" w:eastAsia="en-IN"/>
        </w:rPr>
        <w:t xml:space="preserve"> them without fear, which has a positive impact on improving the system as a whole. It has been proven that those organisations with a more advanced learning system have up to 48% fewer repeat safety incidents, with better integration of feedback</w:t>
      </w:r>
      <w:r w:rsidR="0044149F" w:rsidRPr="00A72093">
        <w:rPr>
          <w:rFonts w:ascii="Arial" w:eastAsia="Times New Roman" w:hAnsi="Arial" w:cs="Arial"/>
          <w:sz w:val="24"/>
          <w:szCs w:val="24"/>
          <w:lang w:val="en-IN" w:eastAsia="en-IN"/>
        </w:rPr>
        <w:t xml:space="preserve"> </w:t>
      </w:r>
      <w:r w:rsidR="0044149F" w:rsidRPr="00A72093">
        <w:rPr>
          <w:rFonts w:ascii="Arial" w:hAnsi="Arial" w:cs="Arial"/>
          <w:sz w:val="24"/>
          <w:szCs w:val="24"/>
        </w:rPr>
        <w:t>(Khan et al., 2025)</w:t>
      </w:r>
      <w:r w:rsidRPr="00A72093">
        <w:rPr>
          <w:rFonts w:ascii="Arial" w:eastAsia="Times New Roman" w:hAnsi="Arial" w:cs="Arial"/>
          <w:sz w:val="24"/>
          <w:szCs w:val="24"/>
          <w:lang w:val="en-IN" w:eastAsia="en-IN"/>
        </w:rPr>
        <w:t>. So when lessons are integrated into daily learning, errors are opportunities for learning to improve and this means that the organisation can help to ensure that learning from Len's case results in a sustained change.</w:t>
      </w:r>
    </w:p>
    <w:p w14:paraId="6B91492C" w14:textId="0AAB3FE4" w:rsidR="00B74D1E" w:rsidRPr="00DA79AA" w:rsidRDefault="0044149F" w:rsidP="00DA79AA">
      <w:pPr>
        <w:rPr>
          <w:rFonts w:ascii="Arial" w:eastAsiaTheme="majorEastAsia" w:hAnsi="Arial" w:cs="Arial"/>
          <w:b/>
          <w:sz w:val="24"/>
          <w:szCs w:val="24"/>
        </w:rPr>
      </w:pPr>
      <w:r w:rsidRPr="00A72093">
        <w:rPr>
          <w:rFonts w:ascii="Arial" w:hAnsi="Arial" w:cs="Arial"/>
          <w:b/>
          <w:sz w:val="24"/>
          <w:szCs w:val="24"/>
        </w:rPr>
        <w:br w:type="page"/>
      </w:r>
      <w:bookmarkStart w:id="8" w:name="_Toc237004580"/>
      <w:r w:rsidRPr="00A72093">
        <w:rPr>
          <w:rFonts w:ascii="Arial" w:hAnsi="Arial" w:cs="Arial"/>
          <w:b/>
          <w:sz w:val="24"/>
          <w:szCs w:val="24"/>
        </w:rPr>
        <w:lastRenderedPageBreak/>
        <w:t xml:space="preserve">4.0 </w:t>
      </w:r>
      <w:r w:rsidR="00B74D1E" w:rsidRPr="00A72093">
        <w:rPr>
          <w:rFonts w:ascii="Arial" w:hAnsi="Arial" w:cs="Arial"/>
          <w:b/>
          <w:sz w:val="24"/>
          <w:szCs w:val="24"/>
        </w:rPr>
        <w:t>Conclusion</w:t>
      </w:r>
      <w:bookmarkEnd w:id="8"/>
      <w:r w:rsidR="00B74D1E" w:rsidRPr="00A72093">
        <w:rPr>
          <w:rFonts w:ascii="Arial" w:hAnsi="Arial" w:cs="Arial"/>
          <w:b/>
          <w:sz w:val="24"/>
          <w:szCs w:val="24"/>
        </w:rPr>
        <w:t xml:space="preserve"> </w:t>
      </w:r>
    </w:p>
    <w:p w14:paraId="3FB11253" w14:textId="77777777" w:rsidR="007F4539" w:rsidRPr="00A72093" w:rsidRDefault="007F4539" w:rsidP="007F4539">
      <w:pPr>
        <w:pStyle w:val="NormalWeb"/>
        <w:spacing w:line="360" w:lineRule="auto"/>
        <w:jc w:val="both"/>
        <w:rPr>
          <w:rFonts w:ascii="Arial" w:hAnsi="Arial" w:cs="Arial"/>
        </w:rPr>
      </w:pPr>
      <w:r w:rsidRPr="00A72093">
        <w:rPr>
          <w:rFonts w:ascii="Arial" w:hAnsi="Arial" w:cs="Arial"/>
        </w:rPr>
        <w:t>By examining the case study of Len, the case illustrates key medication safety issues that occur in healthcare delivery due to the interplay between leadership, governance, and systems. The analysis revealed that the organisation was organised into a structured and highly centralised system, but was not flexible or coordinated enough to effectively manage complex and potentially risky situations. At the root of the medication error, however, were systemic deficiencies, including communication failures, ambiguity over responsibilities, and lack of patient involvement. In summary, this case is part of a broader issue of medication-related harm, which is a known cause of about 1 in 20 patients having a preventable medication-related safety incident.</w:t>
      </w:r>
    </w:p>
    <w:p w14:paraId="0718BF04" w14:textId="77777777" w:rsidR="007F4539" w:rsidRPr="00A72093" w:rsidRDefault="007F4539" w:rsidP="007F4539">
      <w:pPr>
        <w:pStyle w:val="NormalWeb"/>
        <w:spacing w:line="360" w:lineRule="auto"/>
        <w:jc w:val="both"/>
        <w:rPr>
          <w:rFonts w:ascii="Arial" w:hAnsi="Arial" w:cs="Arial"/>
        </w:rPr>
      </w:pPr>
      <w:r w:rsidRPr="00A72093">
        <w:rPr>
          <w:rFonts w:ascii="Arial" w:hAnsi="Arial" w:cs="Arial"/>
        </w:rPr>
        <w:t xml:space="preserve">The results highlight the importance of leadership in implementing safe clinical practice from governance policies. For Len, leadership was very much transactional and reactive, more about compliance than proactive risk management. This restricted the ability of the system to predict and avoid errors. This shows how critical leadership style is for patient safety outcomes, as up to 35% improvement in patient safety performance is observed in organisations with pro-active leadership approaches. In addition, the lack of coordination and accountability between central government and local services, and delays in the provision of care, allowed the mistake to escalate and compound itself. Systems thinking also identified that failures in healthcare are not standalone but the result of various processes, feedback loops and dependencies. Lack of robust feedback mechanisms and </w:t>
      </w:r>
      <w:proofErr w:type="spellStart"/>
      <w:r w:rsidRPr="00A72093">
        <w:rPr>
          <w:rFonts w:ascii="Arial" w:hAnsi="Arial" w:cs="Arial"/>
        </w:rPr>
        <w:t>realtime</w:t>
      </w:r>
      <w:proofErr w:type="spellEnd"/>
      <w:r w:rsidRPr="00A72093">
        <w:rPr>
          <w:rFonts w:ascii="Arial" w:hAnsi="Arial" w:cs="Arial"/>
        </w:rPr>
        <w:t xml:space="preserve"> learning hampered the ability of the organisation to effectively respond and prevent repeat incidents. Continuous improvement is demonstrated by the fact that integrated systems which have good feedback loops can lower repeat incidents by more than 40%. Overall, the case demonstrates the need for alignment of leadership, governance and systems thinking in achieving effective healthcare delivery. Leadership, clarity and accountability in governance and systems that promote communication, learning and patient-centred care are key for sustainable improvement.</w:t>
      </w:r>
    </w:p>
    <w:p w14:paraId="4053B3EB" w14:textId="5C237516" w:rsidR="00B74D1E" w:rsidRPr="00DA79AA" w:rsidRDefault="00525F3C" w:rsidP="00DA79AA">
      <w:pPr>
        <w:rPr>
          <w:rFonts w:ascii="Arial" w:eastAsiaTheme="majorEastAsia" w:hAnsi="Arial" w:cs="Arial"/>
          <w:b/>
          <w:sz w:val="24"/>
          <w:szCs w:val="24"/>
        </w:rPr>
      </w:pPr>
      <w:bookmarkStart w:id="9" w:name="_Toc237004581"/>
      <w:r>
        <w:rPr>
          <w:rFonts w:ascii="Arial" w:hAnsi="Arial" w:cs="Arial"/>
          <w:b/>
          <w:sz w:val="24"/>
          <w:szCs w:val="24"/>
        </w:rPr>
        <w:br w:type="page"/>
      </w:r>
      <w:r w:rsidR="00B74D1E" w:rsidRPr="00A72093">
        <w:rPr>
          <w:rFonts w:ascii="Arial" w:hAnsi="Arial" w:cs="Arial"/>
          <w:b/>
          <w:sz w:val="24"/>
          <w:szCs w:val="24"/>
        </w:rPr>
        <w:lastRenderedPageBreak/>
        <w:t>References</w:t>
      </w:r>
      <w:bookmarkEnd w:id="9"/>
    </w:p>
    <w:p w14:paraId="662A16C9" w14:textId="77777777" w:rsidR="00B66DB6" w:rsidRPr="00A72093" w:rsidRDefault="00B66DB6" w:rsidP="00B66DB6">
      <w:pPr>
        <w:spacing w:line="360" w:lineRule="auto"/>
        <w:jc w:val="both"/>
        <w:rPr>
          <w:rFonts w:ascii="Arial" w:hAnsi="Arial" w:cs="Arial"/>
          <w:sz w:val="24"/>
          <w:szCs w:val="24"/>
        </w:rPr>
      </w:pPr>
      <w:proofErr w:type="spellStart"/>
      <w:r w:rsidRPr="00A72093">
        <w:rPr>
          <w:rFonts w:ascii="Arial" w:hAnsi="Arial" w:cs="Arial"/>
          <w:sz w:val="24"/>
          <w:szCs w:val="24"/>
          <w:shd w:val="clear" w:color="auto" w:fill="FFFFFF"/>
        </w:rPr>
        <w:t>Aluora</w:t>
      </w:r>
      <w:proofErr w:type="spellEnd"/>
      <w:r w:rsidRPr="00A72093">
        <w:rPr>
          <w:rFonts w:ascii="Arial" w:hAnsi="Arial" w:cs="Arial"/>
          <w:sz w:val="24"/>
          <w:szCs w:val="24"/>
          <w:shd w:val="clear" w:color="auto" w:fill="FFFFFF"/>
        </w:rPr>
        <w:t>, J.A., (2025). The global power of transformational leadership in nursing and midwifery. </w:t>
      </w:r>
      <w:r w:rsidRPr="00A72093">
        <w:rPr>
          <w:rFonts w:ascii="Arial" w:hAnsi="Arial" w:cs="Arial"/>
          <w:i/>
          <w:iCs/>
          <w:sz w:val="24"/>
          <w:szCs w:val="24"/>
          <w:shd w:val="clear" w:color="auto" w:fill="FFFFFF"/>
        </w:rPr>
        <w:t>Nurse Leader</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23</w:t>
      </w:r>
      <w:r w:rsidRPr="00A72093">
        <w:rPr>
          <w:rFonts w:ascii="Arial" w:hAnsi="Arial" w:cs="Arial"/>
          <w:sz w:val="24"/>
          <w:szCs w:val="24"/>
          <w:shd w:val="clear" w:color="auto" w:fill="FFFFFF"/>
        </w:rPr>
        <w:t>(1), pp.25-28.</w:t>
      </w:r>
    </w:p>
    <w:p w14:paraId="77B903BE"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 xml:space="preserve">Bayati, M.M., Sadeghi, A., </w:t>
      </w:r>
      <w:proofErr w:type="spellStart"/>
      <w:r w:rsidRPr="00A72093">
        <w:rPr>
          <w:rFonts w:ascii="Arial" w:hAnsi="Arial" w:cs="Arial"/>
          <w:sz w:val="24"/>
          <w:szCs w:val="24"/>
          <w:shd w:val="clear" w:color="auto" w:fill="FFFFFF"/>
        </w:rPr>
        <w:t>Jamasbi</w:t>
      </w:r>
      <w:proofErr w:type="spellEnd"/>
      <w:r w:rsidRPr="00A72093">
        <w:rPr>
          <w:rFonts w:ascii="Arial" w:hAnsi="Arial" w:cs="Arial"/>
          <w:sz w:val="24"/>
          <w:szCs w:val="24"/>
          <w:shd w:val="clear" w:color="auto" w:fill="FFFFFF"/>
        </w:rPr>
        <w:t xml:space="preserve">, M.M. and Tapak, L., (2025). Servant leadership, work-life quality, and organizational citizenship </w:t>
      </w:r>
      <w:proofErr w:type="spellStart"/>
      <w:r w:rsidRPr="00A72093">
        <w:rPr>
          <w:rFonts w:ascii="Arial" w:hAnsi="Arial" w:cs="Arial"/>
          <w:sz w:val="24"/>
          <w:szCs w:val="24"/>
          <w:shd w:val="clear" w:color="auto" w:fill="FFFFFF"/>
        </w:rPr>
        <w:t>behavior</w:t>
      </w:r>
      <w:proofErr w:type="spellEnd"/>
      <w:r w:rsidRPr="00A72093">
        <w:rPr>
          <w:rFonts w:ascii="Arial" w:hAnsi="Arial" w:cs="Arial"/>
          <w:sz w:val="24"/>
          <w:szCs w:val="24"/>
          <w:shd w:val="clear" w:color="auto" w:fill="FFFFFF"/>
        </w:rPr>
        <w:t xml:space="preserve"> in nurses: a cross-sectional design. </w:t>
      </w:r>
      <w:r w:rsidRPr="00A72093">
        <w:rPr>
          <w:rFonts w:ascii="Arial" w:hAnsi="Arial" w:cs="Arial"/>
          <w:i/>
          <w:iCs/>
          <w:sz w:val="24"/>
          <w:szCs w:val="24"/>
          <w:shd w:val="clear" w:color="auto" w:fill="FFFFFF"/>
        </w:rPr>
        <w:t>BMC nursing</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24</w:t>
      </w:r>
      <w:r w:rsidRPr="00A72093">
        <w:rPr>
          <w:rFonts w:ascii="Arial" w:hAnsi="Arial" w:cs="Arial"/>
          <w:sz w:val="24"/>
          <w:szCs w:val="24"/>
          <w:shd w:val="clear" w:color="auto" w:fill="FFFFFF"/>
        </w:rPr>
        <w:t>(1), p.561.</w:t>
      </w:r>
    </w:p>
    <w:p w14:paraId="0FD1915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BMJ (2025a) BMJ Quality &amp; Safety journal. Available at: </w:t>
      </w:r>
      <w:hyperlink r:id="rId7" w:tgtFrame="_new" w:history="1">
        <w:r w:rsidRPr="00A72093">
          <w:rPr>
            <w:rStyle w:val="Hyperlink"/>
            <w:rFonts w:ascii="Arial" w:hAnsi="Arial" w:cs="Arial"/>
            <w:color w:val="auto"/>
            <w:sz w:val="24"/>
            <w:szCs w:val="24"/>
          </w:rPr>
          <w:t>https://qualitysafety.bmj.com/</w:t>
        </w:r>
      </w:hyperlink>
      <w:r w:rsidRPr="00A72093">
        <w:rPr>
          <w:rFonts w:ascii="Arial" w:hAnsi="Arial" w:cs="Arial"/>
          <w:sz w:val="24"/>
          <w:szCs w:val="24"/>
        </w:rPr>
        <w:t xml:space="preserve"> </w:t>
      </w:r>
    </w:p>
    <w:p w14:paraId="75C1F0F3"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 xml:space="preserve">Cappelli, E., </w:t>
      </w:r>
      <w:proofErr w:type="spellStart"/>
      <w:r w:rsidRPr="00A72093">
        <w:rPr>
          <w:rFonts w:ascii="Arial" w:hAnsi="Arial" w:cs="Arial"/>
          <w:sz w:val="24"/>
          <w:szCs w:val="24"/>
          <w:shd w:val="clear" w:color="auto" w:fill="FFFFFF"/>
        </w:rPr>
        <w:t>Zaghini</w:t>
      </w:r>
      <w:proofErr w:type="spellEnd"/>
      <w:r w:rsidRPr="00A72093">
        <w:rPr>
          <w:rFonts w:ascii="Arial" w:hAnsi="Arial" w:cs="Arial"/>
          <w:sz w:val="24"/>
          <w:szCs w:val="24"/>
          <w:shd w:val="clear" w:color="auto" w:fill="FFFFFF"/>
        </w:rPr>
        <w:t>, F., Fiorini, J. and Sili, A., (2025). Healthcare-associated infections and nursing leadership: A systematic review. </w:t>
      </w:r>
      <w:r w:rsidRPr="00A72093">
        <w:rPr>
          <w:rFonts w:ascii="Arial" w:hAnsi="Arial" w:cs="Arial"/>
          <w:i/>
          <w:iCs/>
          <w:sz w:val="24"/>
          <w:szCs w:val="24"/>
          <w:shd w:val="clear" w:color="auto" w:fill="FFFFFF"/>
        </w:rPr>
        <w:t>Journal of infection prevention</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26</w:t>
      </w:r>
      <w:r w:rsidRPr="00A72093">
        <w:rPr>
          <w:rFonts w:ascii="Arial" w:hAnsi="Arial" w:cs="Arial"/>
          <w:sz w:val="24"/>
          <w:szCs w:val="24"/>
          <w:shd w:val="clear" w:color="auto" w:fill="FFFFFF"/>
        </w:rPr>
        <w:t>(2), pp.78-90.</w:t>
      </w:r>
    </w:p>
    <w:p w14:paraId="2C45908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Care Quality Commission (2025a) Safe care and treatment regulation. Available at: </w:t>
      </w:r>
      <w:hyperlink r:id="rId8" w:tgtFrame="_new" w:history="1">
        <w:r w:rsidRPr="00A72093">
          <w:rPr>
            <w:rStyle w:val="Hyperlink"/>
            <w:rFonts w:ascii="Arial" w:hAnsi="Arial" w:cs="Arial"/>
            <w:color w:val="auto"/>
            <w:sz w:val="24"/>
            <w:szCs w:val="24"/>
          </w:rPr>
          <w:t>https://www.cqc.org.uk/guidance-providers/regulations-enforcement/regulation-12-safe-care-treatment</w:t>
        </w:r>
      </w:hyperlink>
      <w:r w:rsidRPr="00A72093">
        <w:rPr>
          <w:rFonts w:ascii="Arial" w:hAnsi="Arial" w:cs="Arial"/>
          <w:sz w:val="24"/>
          <w:szCs w:val="24"/>
        </w:rPr>
        <w:t xml:space="preserve">  </w:t>
      </w:r>
    </w:p>
    <w:p w14:paraId="03C5E3B6"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da Silva, T.M.H.R., (2025). Navigating healthcare complexity: Integrating business fundamentals into nursing leadership. In </w:t>
      </w:r>
      <w:r w:rsidRPr="00A72093">
        <w:rPr>
          <w:rFonts w:ascii="Arial" w:hAnsi="Arial" w:cs="Arial"/>
          <w:i/>
          <w:iCs/>
          <w:sz w:val="24"/>
          <w:szCs w:val="24"/>
          <w:shd w:val="clear" w:color="auto" w:fill="FFFFFF"/>
        </w:rPr>
        <w:t>Resiliency strategies for long-term business success</w:t>
      </w:r>
      <w:r w:rsidRPr="00A72093">
        <w:rPr>
          <w:rFonts w:ascii="Arial" w:hAnsi="Arial" w:cs="Arial"/>
          <w:sz w:val="24"/>
          <w:szCs w:val="24"/>
          <w:shd w:val="clear" w:color="auto" w:fill="FFFFFF"/>
        </w:rPr>
        <w:t> (pp. 145-168). IGI Global Scientific Publishing.</w:t>
      </w:r>
    </w:p>
    <w:p w14:paraId="59BD62BB"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 xml:space="preserve">Elkhweildi, M., </w:t>
      </w:r>
      <w:proofErr w:type="spellStart"/>
      <w:r w:rsidRPr="00A72093">
        <w:rPr>
          <w:rFonts w:ascii="Arial" w:hAnsi="Arial" w:cs="Arial"/>
          <w:sz w:val="24"/>
          <w:szCs w:val="24"/>
          <w:shd w:val="clear" w:color="auto" w:fill="FFFFFF"/>
        </w:rPr>
        <w:t>Vetbuje</w:t>
      </w:r>
      <w:proofErr w:type="spellEnd"/>
      <w:r w:rsidRPr="00A72093">
        <w:rPr>
          <w:rFonts w:ascii="Arial" w:hAnsi="Arial" w:cs="Arial"/>
          <w:sz w:val="24"/>
          <w:szCs w:val="24"/>
          <w:shd w:val="clear" w:color="auto" w:fill="FFFFFF"/>
        </w:rPr>
        <w:t xml:space="preserve">, B., Alzubi, A.B. and </w:t>
      </w:r>
      <w:proofErr w:type="spellStart"/>
      <w:r w:rsidRPr="00A72093">
        <w:rPr>
          <w:rFonts w:ascii="Arial" w:hAnsi="Arial" w:cs="Arial"/>
          <w:sz w:val="24"/>
          <w:szCs w:val="24"/>
          <w:shd w:val="clear" w:color="auto" w:fill="FFFFFF"/>
        </w:rPr>
        <w:t>Aljuhmani</w:t>
      </w:r>
      <w:proofErr w:type="spellEnd"/>
      <w:r w:rsidRPr="00A72093">
        <w:rPr>
          <w:rFonts w:ascii="Arial" w:hAnsi="Arial" w:cs="Arial"/>
          <w:sz w:val="24"/>
          <w:szCs w:val="24"/>
          <w:shd w:val="clear" w:color="auto" w:fill="FFFFFF"/>
        </w:rPr>
        <w:t>, H.Y., (2025). Leading with green ethics: how environmentally specific ethical leadership enhances employee job performance through communication and engagement. </w:t>
      </w:r>
      <w:r w:rsidRPr="00A72093">
        <w:rPr>
          <w:rFonts w:ascii="Arial" w:hAnsi="Arial" w:cs="Arial"/>
          <w:i/>
          <w:iCs/>
          <w:sz w:val="24"/>
          <w:szCs w:val="24"/>
          <w:shd w:val="clear" w:color="auto" w:fill="FFFFFF"/>
        </w:rPr>
        <w:t>Sustainability</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17</w:t>
      </w:r>
      <w:r w:rsidRPr="00A72093">
        <w:rPr>
          <w:rFonts w:ascii="Arial" w:hAnsi="Arial" w:cs="Arial"/>
          <w:sz w:val="24"/>
          <w:szCs w:val="24"/>
          <w:shd w:val="clear" w:color="auto" w:fill="FFFFFF"/>
        </w:rPr>
        <w:t>(17), p.7923.</w:t>
      </w:r>
    </w:p>
    <w:p w14:paraId="518180D1"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 xml:space="preserve">Fadhel, R. and </w:t>
      </w:r>
      <w:proofErr w:type="spellStart"/>
      <w:r w:rsidRPr="00A72093">
        <w:rPr>
          <w:rFonts w:ascii="Arial" w:hAnsi="Arial" w:cs="Arial"/>
          <w:sz w:val="24"/>
          <w:szCs w:val="24"/>
          <w:shd w:val="clear" w:color="auto" w:fill="FFFFFF"/>
        </w:rPr>
        <w:t>Alqurs</w:t>
      </w:r>
      <w:proofErr w:type="spellEnd"/>
      <w:r w:rsidRPr="00A72093">
        <w:rPr>
          <w:rFonts w:ascii="Arial" w:hAnsi="Arial" w:cs="Arial"/>
          <w:sz w:val="24"/>
          <w:szCs w:val="24"/>
          <w:shd w:val="clear" w:color="auto" w:fill="FFFFFF"/>
        </w:rPr>
        <w:t>, A., (2025). Enhancing occupational health and safety through strategic leadership: The mediating role of total quality management in Hodeida hospitals, Yemen. </w:t>
      </w:r>
      <w:r w:rsidRPr="00A72093">
        <w:rPr>
          <w:rFonts w:ascii="Arial" w:hAnsi="Arial" w:cs="Arial"/>
          <w:i/>
          <w:iCs/>
          <w:sz w:val="24"/>
          <w:szCs w:val="24"/>
          <w:shd w:val="clear" w:color="auto" w:fill="FFFFFF"/>
        </w:rPr>
        <w:t>Risk Management and Healthcare Policy</w:t>
      </w:r>
      <w:r w:rsidRPr="00A72093">
        <w:rPr>
          <w:rFonts w:ascii="Arial" w:hAnsi="Arial" w:cs="Arial"/>
          <w:sz w:val="24"/>
          <w:szCs w:val="24"/>
          <w:shd w:val="clear" w:color="auto" w:fill="FFFFFF"/>
        </w:rPr>
        <w:t>, pp.823-842.</w:t>
      </w:r>
    </w:p>
    <w:p w14:paraId="7037A671"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Financial Times (2025a) Healthcare error case report. Available at: </w:t>
      </w:r>
      <w:hyperlink r:id="rId9" w:tgtFrame="_new" w:history="1">
        <w:r w:rsidRPr="00A72093">
          <w:rPr>
            <w:rStyle w:val="Hyperlink"/>
            <w:rFonts w:ascii="Arial" w:hAnsi="Arial" w:cs="Arial"/>
            <w:color w:val="auto"/>
            <w:sz w:val="24"/>
            <w:szCs w:val="24"/>
          </w:rPr>
          <w:t>https://www.ft.com/content/f94a71ee-0c42-4839-9521-e7866975fa72</w:t>
        </w:r>
      </w:hyperlink>
      <w:r w:rsidRPr="00A72093">
        <w:rPr>
          <w:rFonts w:ascii="Arial" w:hAnsi="Arial" w:cs="Arial"/>
          <w:sz w:val="24"/>
          <w:szCs w:val="24"/>
        </w:rPr>
        <w:t xml:space="preserve"> </w:t>
      </w:r>
    </w:p>
    <w:p w14:paraId="21F9390F" w14:textId="77777777" w:rsidR="00B66DB6" w:rsidRPr="00A72093" w:rsidRDefault="00B66DB6" w:rsidP="00B66DB6">
      <w:pPr>
        <w:spacing w:line="360" w:lineRule="auto"/>
        <w:jc w:val="both"/>
        <w:rPr>
          <w:rFonts w:ascii="Arial" w:hAnsi="Arial" w:cs="Arial"/>
          <w:sz w:val="24"/>
          <w:szCs w:val="24"/>
          <w:shd w:val="clear" w:color="auto" w:fill="FFFFFF"/>
        </w:rPr>
      </w:pPr>
      <w:proofErr w:type="spellStart"/>
      <w:r w:rsidRPr="00A72093">
        <w:rPr>
          <w:rFonts w:ascii="Arial" w:hAnsi="Arial" w:cs="Arial"/>
          <w:sz w:val="24"/>
          <w:szCs w:val="24"/>
          <w:shd w:val="clear" w:color="auto" w:fill="FFFFFF"/>
        </w:rPr>
        <w:t>Fosah</w:t>
      </w:r>
      <w:proofErr w:type="spellEnd"/>
      <w:r w:rsidRPr="00A72093">
        <w:rPr>
          <w:rFonts w:ascii="Arial" w:hAnsi="Arial" w:cs="Arial"/>
          <w:sz w:val="24"/>
          <w:szCs w:val="24"/>
          <w:shd w:val="clear" w:color="auto" w:fill="FFFFFF"/>
        </w:rPr>
        <w:t xml:space="preserve">, R. and </w:t>
      </w:r>
      <w:proofErr w:type="spellStart"/>
      <w:r w:rsidRPr="00A72093">
        <w:rPr>
          <w:rFonts w:ascii="Arial" w:hAnsi="Arial" w:cs="Arial"/>
          <w:sz w:val="24"/>
          <w:szCs w:val="24"/>
          <w:shd w:val="clear" w:color="auto" w:fill="FFFFFF"/>
        </w:rPr>
        <w:t>Llahana</w:t>
      </w:r>
      <w:proofErr w:type="spellEnd"/>
      <w:r w:rsidRPr="00A72093">
        <w:rPr>
          <w:rFonts w:ascii="Arial" w:hAnsi="Arial" w:cs="Arial"/>
          <w:sz w:val="24"/>
          <w:szCs w:val="24"/>
          <w:shd w:val="clear" w:color="auto" w:fill="FFFFFF"/>
        </w:rPr>
        <w:t>, S., (2025). Barriers and enablers to leadership in advanced practice nursing: A systematic review. </w:t>
      </w:r>
      <w:r w:rsidRPr="00A72093">
        <w:rPr>
          <w:rFonts w:ascii="Arial" w:hAnsi="Arial" w:cs="Arial"/>
          <w:i/>
          <w:iCs/>
          <w:sz w:val="24"/>
          <w:szCs w:val="24"/>
          <w:shd w:val="clear" w:color="auto" w:fill="FFFFFF"/>
        </w:rPr>
        <w:t>International nursing review</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72</w:t>
      </w:r>
      <w:r w:rsidRPr="00A72093">
        <w:rPr>
          <w:rFonts w:ascii="Arial" w:hAnsi="Arial" w:cs="Arial"/>
          <w:sz w:val="24"/>
          <w:szCs w:val="24"/>
          <w:shd w:val="clear" w:color="auto" w:fill="FFFFFF"/>
        </w:rPr>
        <w:t>(2), p.e70034.</w:t>
      </w:r>
    </w:p>
    <w:p w14:paraId="710EBF9A"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lastRenderedPageBreak/>
        <w:t xml:space="preserve">Gathmyr, D., </w:t>
      </w:r>
      <w:proofErr w:type="spellStart"/>
      <w:r w:rsidRPr="00A72093">
        <w:rPr>
          <w:rFonts w:ascii="Arial" w:hAnsi="Arial" w:cs="Arial"/>
          <w:sz w:val="24"/>
          <w:szCs w:val="24"/>
          <w:shd w:val="clear" w:color="auto" w:fill="FFFFFF"/>
        </w:rPr>
        <w:t>Suhud</w:t>
      </w:r>
      <w:proofErr w:type="spellEnd"/>
      <w:r w:rsidRPr="00A72093">
        <w:rPr>
          <w:rFonts w:ascii="Arial" w:hAnsi="Arial" w:cs="Arial"/>
          <w:sz w:val="24"/>
          <w:szCs w:val="24"/>
          <w:shd w:val="clear" w:color="auto" w:fill="FFFFFF"/>
        </w:rPr>
        <w:t xml:space="preserve">, U., </w:t>
      </w:r>
      <w:proofErr w:type="spellStart"/>
      <w:r w:rsidRPr="00A72093">
        <w:rPr>
          <w:rFonts w:ascii="Arial" w:hAnsi="Arial" w:cs="Arial"/>
          <w:sz w:val="24"/>
          <w:szCs w:val="24"/>
          <w:shd w:val="clear" w:color="auto" w:fill="FFFFFF"/>
        </w:rPr>
        <w:t>Herlitah</w:t>
      </w:r>
      <w:proofErr w:type="spellEnd"/>
      <w:r w:rsidRPr="00A72093">
        <w:rPr>
          <w:rFonts w:ascii="Arial" w:hAnsi="Arial" w:cs="Arial"/>
          <w:sz w:val="24"/>
          <w:szCs w:val="24"/>
          <w:shd w:val="clear" w:color="auto" w:fill="FFFFFF"/>
        </w:rPr>
        <w:t xml:space="preserve">, H., Hamidah, H., </w:t>
      </w:r>
      <w:proofErr w:type="spellStart"/>
      <w:r w:rsidRPr="00A72093">
        <w:rPr>
          <w:rFonts w:ascii="Arial" w:hAnsi="Arial" w:cs="Arial"/>
          <w:sz w:val="24"/>
          <w:szCs w:val="24"/>
          <w:shd w:val="clear" w:color="auto" w:fill="FFFFFF"/>
        </w:rPr>
        <w:t>Safariningsih</w:t>
      </w:r>
      <w:proofErr w:type="spellEnd"/>
      <w:r w:rsidRPr="00A72093">
        <w:rPr>
          <w:rFonts w:ascii="Arial" w:hAnsi="Arial" w:cs="Arial"/>
          <w:sz w:val="24"/>
          <w:szCs w:val="24"/>
          <w:shd w:val="clear" w:color="auto" w:fill="FFFFFF"/>
        </w:rPr>
        <w:t>, R.T.H. and Wilson, J., (2025). Technological advancements in perceived organizational support enhancing healthcare systems towards sustainable development goals. </w:t>
      </w:r>
      <w:proofErr w:type="spellStart"/>
      <w:r w:rsidRPr="00A72093">
        <w:rPr>
          <w:rFonts w:ascii="Arial" w:hAnsi="Arial" w:cs="Arial"/>
          <w:i/>
          <w:iCs/>
          <w:sz w:val="24"/>
          <w:szCs w:val="24"/>
          <w:shd w:val="clear" w:color="auto" w:fill="FFFFFF"/>
        </w:rPr>
        <w:t>Aptisi</w:t>
      </w:r>
      <w:proofErr w:type="spellEnd"/>
      <w:r w:rsidRPr="00A72093">
        <w:rPr>
          <w:rFonts w:ascii="Arial" w:hAnsi="Arial" w:cs="Arial"/>
          <w:i/>
          <w:iCs/>
          <w:sz w:val="24"/>
          <w:szCs w:val="24"/>
          <w:shd w:val="clear" w:color="auto" w:fill="FFFFFF"/>
        </w:rPr>
        <w:t xml:space="preserve"> Transactions on </w:t>
      </w:r>
      <w:proofErr w:type="spellStart"/>
      <w:r w:rsidRPr="00A72093">
        <w:rPr>
          <w:rFonts w:ascii="Arial" w:hAnsi="Arial" w:cs="Arial"/>
          <w:i/>
          <w:iCs/>
          <w:sz w:val="24"/>
          <w:szCs w:val="24"/>
          <w:shd w:val="clear" w:color="auto" w:fill="FFFFFF"/>
        </w:rPr>
        <w:t>Technopreneurship</w:t>
      </w:r>
      <w:proofErr w:type="spellEnd"/>
      <w:r w:rsidRPr="00A72093">
        <w:rPr>
          <w:rFonts w:ascii="Arial" w:hAnsi="Arial" w:cs="Arial"/>
          <w:i/>
          <w:iCs/>
          <w:sz w:val="24"/>
          <w:szCs w:val="24"/>
          <w:shd w:val="clear" w:color="auto" w:fill="FFFFFF"/>
        </w:rPr>
        <w:t xml:space="preserve"> (ATT)</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7</w:t>
      </w:r>
      <w:r w:rsidRPr="00A72093">
        <w:rPr>
          <w:rFonts w:ascii="Arial" w:hAnsi="Arial" w:cs="Arial"/>
          <w:sz w:val="24"/>
          <w:szCs w:val="24"/>
          <w:shd w:val="clear" w:color="auto" w:fill="FFFFFF"/>
        </w:rPr>
        <w:t>(2), pp.516-526.</w:t>
      </w:r>
    </w:p>
    <w:p w14:paraId="5DD957E7"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Greene, J., Gibson, D., Taylor, L.A. and Wolfson, D.B., (2025). Health care workers’ trust in leadership: why it matters and how leaders can build it. </w:t>
      </w:r>
      <w:r w:rsidRPr="00A72093">
        <w:rPr>
          <w:rFonts w:ascii="Arial" w:hAnsi="Arial" w:cs="Arial"/>
          <w:i/>
          <w:iCs/>
          <w:sz w:val="24"/>
          <w:szCs w:val="24"/>
          <w:shd w:val="clear" w:color="auto" w:fill="FFFFFF"/>
        </w:rPr>
        <w:t>The Joint Commission Journal on Quality and Patient Safety</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51</w:t>
      </w:r>
      <w:r w:rsidRPr="00A72093">
        <w:rPr>
          <w:rFonts w:ascii="Arial" w:hAnsi="Arial" w:cs="Arial"/>
          <w:sz w:val="24"/>
          <w:szCs w:val="24"/>
          <w:shd w:val="clear" w:color="auto" w:fill="FFFFFF"/>
        </w:rPr>
        <w:t>(1), pp.11-18.</w:t>
      </w:r>
    </w:p>
    <w:p w14:paraId="760E148D"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Institute for Healthcare Improvement (2025a) Patient safety resources. Available at: </w:t>
      </w:r>
      <w:hyperlink r:id="rId10" w:history="1">
        <w:r w:rsidRPr="00A72093">
          <w:rPr>
            <w:rStyle w:val="Hyperlink"/>
            <w:rFonts w:ascii="Arial" w:hAnsi="Arial" w:cs="Arial"/>
            <w:color w:val="auto"/>
            <w:sz w:val="24"/>
            <w:szCs w:val="24"/>
          </w:rPr>
          <w:t>https://www.ihi.org/topics/patientsafety/Pages/default.aspx</w:t>
        </w:r>
      </w:hyperlink>
      <w:r w:rsidRPr="00A72093">
        <w:rPr>
          <w:rFonts w:ascii="Arial" w:hAnsi="Arial" w:cs="Arial"/>
          <w:sz w:val="24"/>
          <w:szCs w:val="24"/>
        </w:rPr>
        <w:t xml:space="preserve">   </w:t>
      </w:r>
    </w:p>
    <w:p w14:paraId="15376B0C"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Khan, A.N., Wang, Y., Khan, N.A. and Ahmad, A., (2025). Digital leadership enhances employee empowerment, techno-work engagement, and sustainability: SEM analysis in public healthcare. </w:t>
      </w:r>
      <w:r w:rsidRPr="00A72093">
        <w:rPr>
          <w:rFonts w:ascii="Arial" w:hAnsi="Arial" w:cs="Arial"/>
          <w:i/>
          <w:iCs/>
          <w:sz w:val="24"/>
          <w:szCs w:val="24"/>
          <w:shd w:val="clear" w:color="auto" w:fill="FFFFFF"/>
        </w:rPr>
        <w:t>INQUIRY: The Journal of Health Care Organization, Provision, and Financing</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62</w:t>
      </w:r>
      <w:r w:rsidRPr="00A72093">
        <w:rPr>
          <w:rFonts w:ascii="Arial" w:hAnsi="Arial" w:cs="Arial"/>
          <w:sz w:val="24"/>
          <w:szCs w:val="24"/>
          <w:shd w:val="clear" w:color="auto" w:fill="FFFFFF"/>
        </w:rPr>
        <w:t>, p.00469580251317653.</w:t>
      </w:r>
    </w:p>
    <w:p w14:paraId="0A126EB9"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Khan, K.I., Jamil, B., Muhammad, M., Mohsin, S., Khan, A.H. and Javed, M.Q., (2025). Gender inequality in healthcare leadership: the challenges women face in breaking through the glass ceiling. </w:t>
      </w:r>
      <w:r w:rsidRPr="00A72093">
        <w:rPr>
          <w:rFonts w:ascii="Arial" w:hAnsi="Arial" w:cs="Arial"/>
          <w:i/>
          <w:iCs/>
          <w:sz w:val="24"/>
          <w:szCs w:val="24"/>
          <w:shd w:val="clear" w:color="auto" w:fill="FFFFFF"/>
        </w:rPr>
        <w:t>BMC Health Services Research</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p.190.</w:t>
      </w:r>
    </w:p>
    <w:p w14:paraId="002E6E00" w14:textId="77777777" w:rsidR="00B66DB6" w:rsidRPr="00A72093" w:rsidRDefault="00B66DB6" w:rsidP="00B66DB6">
      <w:pPr>
        <w:spacing w:line="360" w:lineRule="auto"/>
        <w:jc w:val="both"/>
        <w:rPr>
          <w:rFonts w:ascii="Arial" w:hAnsi="Arial" w:cs="Arial"/>
          <w:sz w:val="24"/>
          <w:szCs w:val="24"/>
          <w:shd w:val="clear" w:color="auto" w:fill="FFFFFF"/>
        </w:rPr>
      </w:pPr>
      <w:proofErr w:type="spellStart"/>
      <w:r w:rsidRPr="00A72093">
        <w:rPr>
          <w:rFonts w:ascii="Arial" w:hAnsi="Arial" w:cs="Arial"/>
          <w:sz w:val="24"/>
          <w:szCs w:val="24"/>
          <w:shd w:val="clear" w:color="auto" w:fill="FFFFFF"/>
        </w:rPr>
        <w:t>Kludacz</w:t>
      </w:r>
      <w:proofErr w:type="spellEnd"/>
      <w:r w:rsidRPr="00A72093">
        <w:rPr>
          <w:rFonts w:ascii="Arial" w:hAnsi="Arial" w:cs="Arial"/>
          <w:sz w:val="24"/>
          <w:szCs w:val="24"/>
          <w:shd w:val="clear" w:color="auto" w:fill="FFFFFF"/>
        </w:rPr>
        <w:t xml:space="preserve">-Alessandri, M., Hawrysz, L., </w:t>
      </w:r>
      <w:proofErr w:type="spellStart"/>
      <w:r w:rsidRPr="00A72093">
        <w:rPr>
          <w:rFonts w:ascii="Arial" w:hAnsi="Arial" w:cs="Arial"/>
          <w:sz w:val="24"/>
          <w:szCs w:val="24"/>
          <w:shd w:val="clear" w:color="auto" w:fill="FFFFFF"/>
        </w:rPr>
        <w:t>Żak</w:t>
      </w:r>
      <w:proofErr w:type="spellEnd"/>
      <w:r w:rsidRPr="00A72093">
        <w:rPr>
          <w:rFonts w:ascii="Arial" w:hAnsi="Arial" w:cs="Arial"/>
          <w:sz w:val="24"/>
          <w:szCs w:val="24"/>
          <w:shd w:val="clear" w:color="auto" w:fill="FFFFFF"/>
        </w:rPr>
        <w:t>, K. and Zhang, W., (2025). The impact of digital transformational leadership on digital intensity among primary healthcare entities: a moderated mediation model. </w:t>
      </w:r>
      <w:r w:rsidRPr="00A72093">
        <w:rPr>
          <w:rFonts w:ascii="Arial" w:hAnsi="Arial" w:cs="Arial"/>
          <w:i/>
          <w:iCs/>
          <w:sz w:val="24"/>
          <w:szCs w:val="24"/>
          <w:shd w:val="clear" w:color="auto" w:fill="FFFFFF"/>
        </w:rPr>
        <w:t>BMC Health Services Research</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p.117.</w:t>
      </w:r>
    </w:p>
    <w:p w14:paraId="103EB1B9"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Kyambade, M. and Namatovu, A., (2025). Health-care leaders’ perspectives on AI implementation in Uganda: overcoming barriers, driving innovation and strategic considerations. </w:t>
      </w:r>
      <w:r w:rsidRPr="00A72093">
        <w:rPr>
          <w:rFonts w:ascii="Arial" w:hAnsi="Arial" w:cs="Arial"/>
          <w:i/>
          <w:iCs/>
          <w:sz w:val="24"/>
          <w:szCs w:val="24"/>
          <w:shd w:val="clear" w:color="auto" w:fill="FFFFFF"/>
        </w:rPr>
        <w:t>Leadership in Health Services</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38</w:t>
      </w:r>
      <w:r w:rsidRPr="00A72093">
        <w:rPr>
          <w:rFonts w:ascii="Arial" w:hAnsi="Arial" w:cs="Arial"/>
          <w:sz w:val="24"/>
          <w:szCs w:val="24"/>
          <w:shd w:val="clear" w:color="auto" w:fill="FFFFFF"/>
        </w:rPr>
        <w:t>(3), pp.442-463.</w:t>
      </w:r>
    </w:p>
    <w:p w14:paraId="5034B0C4"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Kyambade, M. and Namatovu, A., (2025). Pleasurable emotional states in health-care organizations: the mediation role of employee wellbeing on transformational leadership and job satisfaction. </w:t>
      </w:r>
      <w:r w:rsidRPr="00A72093">
        <w:rPr>
          <w:rFonts w:ascii="Arial" w:hAnsi="Arial" w:cs="Arial"/>
          <w:i/>
          <w:iCs/>
          <w:sz w:val="24"/>
          <w:szCs w:val="24"/>
          <w:shd w:val="clear" w:color="auto" w:fill="FFFFFF"/>
        </w:rPr>
        <w:t>Leadership in Health Services</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38</w:t>
      </w:r>
      <w:r w:rsidRPr="00A72093">
        <w:rPr>
          <w:rFonts w:ascii="Arial" w:hAnsi="Arial" w:cs="Arial"/>
          <w:sz w:val="24"/>
          <w:szCs w:val="24"/>
          <w:shd w:val="clear" w:color="auto" w:fill="FFFFFF"/>
        </w:rPr>
        <w:t>(2), pp.299-317.</w:t>
      </w:r>
    </w:p>
    <w:p w14:paraId="106E3E02"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Mousa, S.K., Fernandez</w:t>
      </w:r>
      <w:r w:rsidRPr="00A72093">
        <w:rPr>
          <w:rFonts w:ascii="Cambria Math" w:hAnsi="Cambria Math" w:cs="Cambria Math"/>
          <w:sz w:val="24"/>
          <w:szCs w:val="24"/>
          <w:shd w:val="clear" w:color="auto" w:fill="FFFFFF"/>
        </w:rPr>
        <w:t>‐</w:t>
      </w:r>
      <w:proofErr w:type="spellStart"/>
      <w:r w:rsidRPr="00A72093">
        <w:rPr>
          <w:rFonts w:ascii="Arial" w:hAnsi="Arial" w:cs="Arial"/>
          <w:sz w:val="24"/>
          <w:szCs w:val="24"/>
          <w:shd w:val="clear" w:color="auto" w:fill="FFFFFF"/>
        </w:rPr>
        <w:t>Crehuet</w:t>
      </w:r>
      <w:proofErr w:type="spellEnd"/>
      <w:r w:rsidRPr="00A72093">
        <w:rPr>
          <w:rFonts w:ascii="Arial" w:hAnsi="Arial" w:cs="Arial"/>
          <w:sz w:val="24"/>
          <w:szCs w:val="24"/>
          <w:shd w:val="clear" w:color="auto" w:fill="FFFFFF"/>
        </w:rPr>
        <w:t xml:space="preserve">, J.M. and </w:t>
      </w:r>
      <w:proofErr w:type="spellStart"/>
      <w:r w:rsidRPr="00A72093">
        <w:rPr>
          <w:rFonts w:ascii="Arial" w:hAnsi="Arial" w:cs="Arial"/>
          <w:sz w:val="24"/>
          <w:szCs w:val="24"/>
          <w:shd w:val="clear" w:color="auto" w:fill="FFFFFF"/>
        </w:rPr>
        <w:t>Thaher</w:t>
      </w:r>
      <w:proofErr w:type="spellEnd"/>
      <w:r w:rsidRPr="00A72093">
        <w:rPr>
          <w:rFonts w:ascii="Arial" w:hAnsi="Arial" w:cs="Arial"/>
          <w:sz w:val="24"/>
          <w:szCs w:val="24"/>
          <w:shd w:val="clear" w:color="auto" w:fill="FFFFFF"/>
        </w:rPr>
        <w:t xml:space="preserve">, Y.A.Y., (2025). Advancing sustainable performance in healthcare: mediating roles of green HRM and green </w:t>
      </w:r>
      <w:r w:rsidRPr="00A72093">
        <w:rPr>
          <w:rFonts w:ascii="Arial" w:hAnsi="Arial" w:cs="Arial"/>
          <w:sz w:val="24"/>
          <w:szCs w:val="24"/>
          <w:shd w:val="clear" w:color="auto" w:fill="FFFFFF"/>
        </w:rPr>
        <w:lastRenderedPageBreak/>
        <w:t>innovation under green transformational leadership. </w:t>
      </w:r>
      <w:r w:rsidRPr="00A72093">
        <w:rPr>
          <w:rFonts w:ascii="Arial" w:hAnsi="Arial" w:cs="Arial"/>
          <w:i/>
          <w:iCs/>
          <w:sz w:val="24"/>
          <w:szCs w:val="24"/>
          <w:shd w:val="clear" w:color="auto" w:fill="FFFFFF"/>
        </w:rPr>
        <w:t>Business Strategy and the Environment</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34</w:t>
      </w:r>
      <w:r w:rsidRPr="00A72093">
        <w:rPr>
          <w:rFonts w:ascii="Arial" w:hAnsi="Arial" w:cs="Arial"/>
          <w:sz w:val="24"/>
          <w:szCs w:val="24"/>
          <w:shd w:val="clear" w:color="auto" w:fill="FFFFFF"/>
        </w:rPr>
        <w:t>(5), pp.5260-5282.</w:t>
      </w:r>
    </w:p>
    <w:p w14:paraId="704D8081"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National Quality Board (2025a) Quality and governance in healthcare. Available at: </w:t>
      </w:r>
      <w:hyperlink r:id="rId11" w:tgtFrame="_new" w:history="1">
        <w:r w:rsidRPr="00A72093">
          <w:rPr>
            <w:rStyle w:val="Hyperlink"/>
            <w:rFonts w:ascii="Arial" w:hAnsi="Arial" w:cs="Arial"/>
            <w:color w:val="auto"/>
            <w:sz w:val="24"/>
            <w:szCs w:val="24"/>
          </w:rPr>
          <w:t>https://www.england.nhs.uk/ourwork/part-rel/nqb/</w:t>
        </w:r>
      </w:hyperlink>
      <w:r w:rsidRPr="00A72093">
        <w:rPr>
          <w:rFonts w:ascii="Arial" w:hAnsi="Arial" w:cs="Arial"/>
          <w:sz w:val="24"/>
          <w:szCs w:val="24"/>
        </w:rPr>
        <w:t xml:space="preserve">  </w:t>
      </w:r>
    </w:p>
    <w:p w14:paraId="6847D46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(2025a) Patient safety data 2025–26. Available at: </w:t>
      </w:r>
      <w:hyperlink r:id="rId12" w:tgtFrame="_new" w:history="1">
        <w:r w:rsidRPr="00A72093">
          <w:rPr>
            <w:rStyle w:val="Hyperlink"/>
            <w:rFonts w:ascii="Arial" w:hAnsi="Arial" w:cs="Arial"/>
            <w:color w:val="auto"/>
            <w:sz w:val="24"/>
            <w:szCs w:val="24"/>
          </w:rPr>
          <w:t>https://www.england.nhs.uk/statistics/statistical-work-areas/patient-safety-data/2025-26/</w:t>
        </w:r>
      </w:hyperlink>
      <w:r w:rsidRPr="00A72093">
        <w:rPr>
          <w:rFonts w:ascii="Arial" w:hAnsi="Arial" w:cs="Arial"/>
          <w:sz w:val="24"/>
          <w:szCs w:val="24"/>
        </w:rPr>
        <w:t xml:space="preserve">  </w:t>
      </w:r>
    </w:p>
    <w:p w14:paraId="26ABE02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(2025b) Patient safety reporting systems. Available at: </w:t>
      </w:r>
      <w:hyperlink r:id="rId13" w:tgtFrame="_new" w:history="1">
        <w:r w:rsidRPr="00A72093">
          <w:rPr>
            <w:rStyle w:val="Hyperlink"/>
            <w:rFonts w:ascii="Arial" w:hAnsi="Arial" w:cs="Arial"/>
            <w:color w:val="auto"/>
            <w:sz w:val="24"/>
            <w:szCs w:val="24"/>
          </w:rPr>
          <w:t>https://www.england.nhs.uk/statistics/statistical-work-areas/patient-safety-data/</w:t>
        </w:r>
      </w:hyperlink>
      <w:r w:rsidRPr="00A72093">
        <w:rPr>
          <w:rFonts w:ascii="Arial" w:hAnsi="Arial" w:cs="Arial"/>
          <w:sz w:val="24"/>
          <w:szCs w:val="24"/>
        </w:rPr>
        <w:t xml:space="preserve">  </w:t>
      </w:r>
    </w:p>
    <w:p w14:paraId="2AC36AF3"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(2025c) National medical examiner reports. Available at: </w:t>
      </w:r>
      <w:hyperlink r:id="rId14" w:tgtFrame="_new" w:history="1">
        <w:r w:rsidRPr="00A72093">
          <w:rPr>
            <w:rStyle w:val="Hyperlink"/>
            <w:rFonts w:ascii="Arial" w:hAnsi="Arial" w:cs="Arial"/>
            <w:color w:val="auto"/>
            <w:sz w:val="24"/>
            <w:szCs w:val="24"/>
          </w:rPr>
          <w:t>https://www.england.nhs.uk/publication/national-medical-examiner-reports/</w:t>
        </w:r>
      </w:hyperlink>
      <w:r w:rsidRPr="00A72093">
        <w:rPr>
          <w:rFonts w:ascii="Arial" w:hAnsi="Arial" w:cs="Arial"/>
          <w:sz w:val="24"/>
          <w:szCs w:val="24"/>
        </w:rPr>
        <w:t xml:space="preserve">  </w:t>
      </w:r>
    </w:p>
    <w:p w14:paraId="25EAAEE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(2025d) Patient safety incident data Q1 2025–26. Available at: </w:t>
      </w:r>
      <w:hyperlink r:id="rId15" w:tgtFrame="_new" w:history="1">
        <w:r w:rsidRPr="00A72093">
          <w:rPr>
            <w:rStyle w:val="Hyperlink"/>
            <w:rFonts w:ascii="Arial" w:hAnsi="Arial" w:cs="Arial"/>
            <w:color w:val="auto"/>
            <w:sz w:val="24"/>
            <w:szCs w:val="24"/>
          </w:rPr>
          <w:t>https://www.england.nhs.uk/statistics/statistical-work-areas/patient-safety-data/2025-26/q1/</w:t>
        </w:r>
      </w:hyperlink>
      <w:r w:rsidRPr="00A72093">
        <w:rPr>
          <w:rFonts w:ascii="Arial" w:hAnsi="Arial" w:cs="Arial"/>
          <w:sz w:val="24"/>
          <w:szCs w:val="24"/>
        </w:rPr>
        <w:t xml:space="preserve">  </w:t>
      </w:r>
    </w:p>
    <w:p w14:paraId="374426A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(2025e) NHS patient safety strategy. Available at: </w:t>
      </w:r>
      <w:hyperlink r:id="rId16" w:tgtFrame="_new" w:history="1">
        <w:r w:rsidRPr="00A72093">
          <w:rPr>
            <w:rStyle w:val="Hyperlink"/>
            <w:rFonts w:ascii="Arial" w:hAnsi="Arial" w:cs="Arial"/>
            <w:color w:val="auto"/>
            <w:sz w:val="24"/>
            <w:szCs w:val="24"/>
          </w:rPr>
          <w:t>https://www.england.nhs.uk/patient-safety/the-nhs-patient-safety-strategy/</w:t>
        </w:r>
      </w:hyperlink>
      <w:r w:rsidRPr="00A72093">
        <w:rPr>
          <w:rFonts w:ascii="Arial" w:hAnsi="Arial" w:cs="Arial"/>
          <w:sz w:val="24"/>
          <w:szCs w:val="24"/>
        </w:rPr>
        <w:t xml:space="preserve"> </w:t>
      </w:r>
    </w:p>
    <w:p w14:paraId="4C8C0653"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(2025f) Digital transformation in healthcare. Available at: </w:t>
      </w:r>
      <w:hyperlink r:id="rId17" w:tgtFrame="_new" w:history="1">
        <w:r w:rsidRPr="00A72093">
          <w:rPr>
            <w:rStyle w:val="Hyperlink"/>
            <w:rFonts w:ascii="Arial" w:hAnsi="Arial" w:cs="Arial"/>
            <w:color w:val="auto"/>
            <w:sz w:val="24"/>
            <w:szCs w:val="24"/>
          </w:rPr>
          <w:t>https://www.england.nhs.uk/digitaltechnology/</w:t>
        </w:r>
      </w:hyperlink>
      <w:r w:rsidRPr="00A72093">
        <w:rPr>
          <w:rFonts w:ascii="Arial" w:hAnsi="Arial" w:cs="Arial"/>
          <w:sz w:val="24"/>
          <w:szCs w:val="24"/>
        </w:rPr>
        <w:t xml:space="preserve">  </w:t>
      </w:r>
    </w:p>
    <w:p w14:paraId="32DB6B54"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England (2025g) Learning from patient safety events service. Available at: </w:t>
      </w:r>
      <w:hyperlink r:id="rId18" w:history="1">
        <w:r w:rsidRPr="00A72093">
          <w:rPr>
            <w:rStyle w:val="Hyperlink"/>
            <w:rFonts w:ascii="Arial" w:hAnsi="Arial" w:cs="Arial"/>
            <w:color w:val="auto"/>
            <w:sz w:val="24"/>
            <w:szCs w:val="24"/>
          </w:rPr>
          <w:t>https://www.england.nhs.uk/patient-safety/lfpse/</w:t>
        </w:r>
      </w:hyperlink>
      <w:r w:rsidRPr="00A72093">
        <w:rPr>
          <w:rFonts w:ascii="Arial" w:hAnsi="Arial" w:cs="Arial"/>
          <w:sz w:val="24"/>
          <w:szCs w:val="24"/>
        </w:rPr>
        <w:t xml:space="preserve">   </w:t>
      </w:r>
    </w:p>
    <w:p w14:paraId="26B152CE"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NHS Leadership Academy (2025a) Healthcare leadership model. Available at: </w:t>
      </w:r>
      <w:hyperlink r:id="rId19" w:tgtFrame="_new" w:history="1">
        <w:r w:rsidRPr="00A72093">
          <w:rPr>
            <w:rStyle w:val="Hyperlink"/>
            <w:rFonts w:ascii="Arial" w:hAnsi="Arial" w:cs="Arial"/>
            <w:color w:val="auto"/>
            <w:sz w:val="24"/>
            <w:szCs w:val="24"/>
          </w:rPr>
          <w:t>https://www.leadershipacademy.nhs.uk/resources/healthcare-leadership-model/</w:t>
        </w:r>
      </w:hyperlink>
      <w:r w:rsidRPr="00A72093">
        <w:rPr>
          <w:rFonts w:ascii="Arial" w:hAnsi="Arial" w:cs="Arial"/>
          <w:sz w:val="24"/>
          <w:szCs w:val="24"/>
        </w:rPr>
        <w:t xml:space="preserve">  </w:t>
      </w:r>
    </w:p>
    <w:p w14:paraId="7BC261C7"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OECD (2025a) Patient safety indicators. Available at: </w:t>
      </w:r>
      <w:hyperlink r:id="rId20" w:history="1">
        <w:r w:rsidRPr="00A72093">
          <w:rPr>
            <w:rStyle w:val="Hyperlink"/>
            <w:rFonts w:ascii="Arial" w:hAnsi="Arial" w:cs="Arial"/>
            <w:color w:val="auto"/>
            <w:sz w:val="24"/>
            <w:szCs w:val="24"/>
          </w:rPr>
          <w:t>https://www.oecd.org/health/health-systems/patient-safety.htm</w:t>
        </w:r>
      </w:hyperlink>
      <w:r w:rsidRPr="00A72093">
        <w:rPr>
          <w:rFonts w:ascii="Arial" w:hAnsi="Arial" w:cs="Arial"/>
          <w:sz w:val="24"/>
          <w:szCs w:val="24"/>
        </w:rPr>
        <w:t xml:space="preserve">   </w:t>
      </w:r>
    </w:p>
    <w:p w14:paraId="6B2E114B"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OECD (2025b) Health systems performance. Available at: </w:t>
      </w:r>
      <w:hyperlink r:id="rId21" w:tgtFrame="_new" w:history="1">
        <w:r w:rsidRPr="00A72093">
          <w:rPr>
            <w:rStyle w:val="Hyperlink"/>
            <w:rFonts w:ascii="Arial" w:hAnsi="Arial" w:cs="Arial"/>
            <w:color w:val="auto"/>
            <w:sz w:val="24"/>
            <w:szCs w:val="24"/>
          </w:rPr>
          <w:t>https://www.oecd.org/health/health-systems/</w:t>
        </w:r>
      </w:hyperlink>
      <w:r w:rsidRPr="00A72093">
        <w:rPr>
          <w:rFonts w:ascii="Arial" w:hAnsi="Arial" w:cs="Arial"/>
          <w:sz w:val="24"/>
          <w:szCs w:val="24"/>
        </w:rPr>
        <w:t xml:space="preserve">  </w:t>
      </w:r>
    </w:p>
    <w:p w14:paraId="615A49C7"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lastRenderedPageBreak/>
        <w:t>Phillipson, J., Pinto, A.C., Kingsley-Smith, H., Krachler, N., McGivern, G. and Lyons, O., (2025). Leadership training in healthcare: a systematic umbrella review. </w:t>
      </w:r>
      <w:r w:rsidRPr="00A72093">
        <w:rPr>
          <w:rFonts w:ascii="Arial" w:hAnsi="Arial" w:cs="Arial"/>
          <w:i/>
          <w:iCs/>
          <w:sz w:val="24"/>
          <w:szCs w:val="24"/>
          <w:shd w:val="clear" w:color="auto" w:fill="FFFFFF"/>
        </w:rPr>
        <w:t>BMJ leader</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9</w:t>
      </w:r>
      <w:r w:rsidRPr="00A72093">
        <w:rPr>
          <w:rFonts w:ascii="Arial" w:hAnsi="Arial" w:cs="Arial"/>
          <w:sz w:val="24"/>
          <w:szCs w:val="24"/>
          <w:shd w:val="clear" w:color="auto" w:fill="FFFFFF"/>
        </w:rPr>
        <w:t>(4), p.e001269.</w:t>
      </w:r>
    </w:p>
    <w:p w14:paraId="5FCD47E9"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Rafi’i, M.R., Hanif, S.A.M. and Bin Daud, F., (2025). Exploring the link between healthcare organizational culture and provider work satisfaction: a systematic review. </w:t>
      </w:r>
      <w:r w:rsidRPr="00A72093">
        <w:rPr>
          <w:rFonts w:ascii="Arial" w:hAnsi="Arial" w:cs="Arial"/>
          <w:i/>
          <w:iCs/>
          <w:sz w:val="24"/>
          <w:szCs w:val="24"/>
          <w:shd w:val="clear" w:color="auto" w:fill="FFFFFF"/>
        </w:rPr>
        <w:t>BMC health services research</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p.904.</w:t>
      </w:r>
    </w:p>
    <w:p w14:paraId="614C8FB5"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 xml:space="preserve">Saleh, M.S.M., Abdelwahid, A.E.E.A., </w:t>
      </w:r>
      <w:proofErr w:type="spellStart"/>
      <w:r w:rsidRPr="00A72093">
        <w:rPr>
          <w:rFonts w:ascii="Arial" w:hAnsi="Arial" w:cs="Arial"/>
          <w:sz w:val="24"/>
          <w:szCs w:val="24"/>
          <w:shd w:val="clear" w:color="auto" w:fill="FFFFFF"/>
        </w:rPr>
        <w:t>Elsabahy</w:t>
      </w:r>
      <w:proofErr w:type="spellEnd"/>
      <w:r w:rsidRPr="00A72093">
        <w:rPr>
          <w:rFonts w:ascii="Arial" w:hAnsi="Arial" w:cs="Arial"/>
          <w:sz w:val="24"/>
          <w:szCs w:val="24"/>
          <w:shd w:val="clear" w:color="auto" w:fill="FFFFFF"/>
        </w:rPr>
        <w:t xml:space="preserve">, H.E., </w:t>
      </w:r>
      <w:proofErr w:type="spellStart"/>
      <w:r w:rsidRPr="00A72093">
        <w:rPr>
          <w:rFonts w:ascii="Arial" w:hAnsi="Arial" w:cs="Arial"/>
          <w:sz w:val="24"/>
          <w:szCs w:val="24"/>
          <w:shd w:val="clear" w:color="auto" w:fill="FFFFFF"/>
        </w:rPr>
        <w:t>Eltahan</w:t>
      </w:r>
      <w:proofErr w:type="spellEnd"/>
      <w:r w:rsidRPr="00A72093">
        <w:rPr>
          <w:rFonts w:ascii="Arial" w:hAnsi="Arial" w:cs="Arial"/>
          <w:sz w:val="24"/>
          <w:szCs w:val="24"/>
          <w:shd w:val="clear" w:color="auto" w:fill="FFFFFF"/>
        </w:rPr>
        <w:t>, A.A. and Ata, A.A., (2025). Visionary leadership: the mediating role of organizational support on nurse interns’ creativity and organizational effectiveness. </w:t>
      </w:r>
      <w:r w:rsidRPr="00A72093">
        <w:rPr>
          <w:rFonts w:ascii="Arial" w:hAnsi="Arial" w:cs="Arial"/>
          <w:i/>
          <w:iCs/>
          <w:sz w:val="24"/>
          <w:szCs w:val="24"/>
          <w:shd w:val="clear" w:color="auto" w:fill="FFFFFF"/>
        </w:rPr>
        <w:t>BMC nursing</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24</w:t>
      </w:r>
      <w:r w:rsidRPr="00A72093">
        <w:rPr>
          <w:rFonts w:ascii="Arial" w:hAnsi="Arial" w:cs="Arial"/>
          <w:sz w:val="24"/>
          <w:szCs w:val="24"/>
          <w:shd w:val="clear" w:color="auto" w:fill="FFFFFF"/>
        </w:rPr>
        <w:t>(1), p.400.</w:t>
      </w:r>
    </w:p>
    <w:p w14:paraId="5131F954" w14:textId="77777777" w:rsidR="00B66DB6" w:rsidRPr="00A72093" w:rsidRDefault="00B66DB6" w:rsidP="00B66DB6">
      <w:pPr>
        <w:spacing w:line="360" w:lineRule="auto"/>
        <w:jc w:val="both"/>
        <w:rPr>
          <w:rFonts w:ascii="Arial" w:hAnsi="Arial" w:cs="Arial"/>
          <w:sz w:val="24"/>
          <w:szCs w:val="24"/>
          <w:shd w:val="clear" w:color="auto" w:fill="FFFFFF"/>
        </w:rPr>
      </w:pPr>
      <w:r w:rsidRPr="00A72093">
        <w:rPr>
          <w:rFonts w:ascii="Arial" w:hAnsi="Arial" w:cs="Arial"/>
          <w:sz w:val="24"/>
          <w:szCs w:val="24"/>
          <w:shd w:val="clear" w:color="auto" w:fill="FFFFFF"/>
        </w:rPr>
        <w:t>Svensson, I. and von Knorring, M., (2025). Connecting distributed leadership and leadership-as-practice to increase understanding of leadership as distributed in healthcare practice. </w:t>
      </w:r>
      <w:r w:rsidRPr="00A72093">
        <w:rPr>
          <w:rFonts w:ascii="Arial" w:hAnsi="Arial" w:cs="Arial"/>
          <w:i/>
          <w:iCs/>
          <w:sz w:val="24"/>
          <w:szCs w:val="24"/>
          <w:shd w:val="clear" w:color="auto" w:fill="FFFFFF"/>
        </w:rPr>
        <w:t>Journal of change management</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25</w:t>
      </w:r>
      <w:r w:rsidRPr="00A72093">
        <w:rPr>
          <w:rFonts w:ascii="Arial" w:hAnsi="Arial" w:cs="Arial"/>
          <w:sz w:val="24"/>
          <w:szCs w:val="24"/>
          <w:shd w:val="clear" w:color="auto" w:fill="FFFFFF"/>
        </w:rPr>
        <w:t>(1), pp.11-30.</w:t>
      </w:r>
    </w:p>
    <w:p w14:paraId="0536FEE9"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Guardian (2025a) Patient record errors in England. Available at: </w:t>
      </w:r>
      <w:hyperlink r:id="rId22" w:tgtFrame="_new" w:history="1">
        <w:r w:rsidRPr="00A72093">
          <w:rPr>
            <w:rStyle w:val="Hyperlink"/>
            <w:rFonts w:ascii="Arial" w:hAnsi="Arial" w:cs="Arial"/>
            <w:color w:val="auto"/>
            <w:sz w:val="24"/>
            <w:szCs w:val="24"/>
          </w:rPr>
          <w:t>https://www.theguardian.com/society/2025/may/01/one-in-four-patients-in-england-find-errors-in-medical-records-watchdog-says</w:t>
        </w:r>
      </w:hyperlink>
      <w:r w:rsidRPr="00A72093">
        <w:rPr>
          <w:rFonts w:ascii="Arial" w:hAnsi="Arial" w:cs="Arial"/>
          <w:sz w:val="24"/>
          <w:szCs w:val="24"/>
        </w:rPr>
        <w:t xml:space="preserve">  </w:t>
      </w:r>
    </w:p>
    <w:p w14:paraId="29DDD9A2"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Guardian (2025b) NHS negligence liabilities and safety concerns. Available at: </w:t>
      </w:r>
      <w:hyperlink r:id="rId23" w:tgtFrame="_new" w:history="1">
        <w:r w:rsidRPr="00A72093">
          <w:rPr>
            <w:rStyle w:val="Hyperlink"/>
            <w:rFonts w:ascii="Arial" w:hAnsi="Arial" w:cs="Arial"/>
            <w:color w:val="auto"/>
            <w:sz w:val="24"/>
            <w:szCs w:val="24"/>
          </w:rPr>
          <w:t>https://www.theguardian.com/society/2025/may/14/nhs-medical-negligence-liabilities-hit-582bn-amid-calls-to-improve-patient-safety</w:t>
        </w:r>
      </w:hyperlink>
      <w:r w:rsidRPr="00A72093">
        <w:rPr>
          <w:rFonts w:ascii="Arial" w:hAnsi="Arial" w:cs="Arial"/>
          <w:sz w:val="24"/>
          <w:szCs w:val="24"/>
        </w:rPr>
        <w:t xml:space="preserve">  </w:t>
      </w:r>
    </w:p>
    <w:p w14:paraId="3EF2DD0A"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King’s Fund (2025a) Patient safety and leadership. Available at: </w:t>
      </w:r>
      <w:hyperlink r:id="rId24" w:history="1">
        <w:r w:rsidRPr="00A72093">
          <w:rPr>
            <w:rStyle w:val="Hyperlink"/>
            <w:rFonts w:ascii="Arial" w:hAnsi="Arial" w:cs="Arial"/>
            <w:color w:val="auto"/>
            <w:sz w:val="24"/>
            <w:szCs w:val="24"/>
          </w:rPr>
          <w:t>https://www.kingsfund.org.uk/projects/patient-safety</w:t>
        </w:r>
      </w:hyperlink>
      <w:r w:rsidRPr="00A72093">
        <w:rPr>
          <w:rFonts w:ascii="Arial" w:hAnsi="Arial" w:cs="Arial"/>
          <w:sz w:val="24"/>
          <w:szCs w:val="24"/>
        </w:rPr>
        <w:t xml:space="preserve">   </w:t>
      </w:r>
    </w:p>
    <w:p w14:paraId="0616A386"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The Times (2026a) NHS digital and paper record challenges. Available at: </w:t>
      </w:r>
      <w:hyperlink r:id="rId25" w:tgtFrame="_new" w:history="1">
        <w:r w:rsidRPr="00A72093">
          <w:rPr>
            <w:rStyle w:val="Hyperlink"/>
            <w:rFonts w:ascii="Arial" w:hAnsi="Arial" w:cs="Arial"/>
            <w:color w:val="auto"/>
            <w:sz w:val="24"/>
            <w:szCs w:val="24"/>
          </w:rPr>
          <w:t>https://www.thetimes.com/uk/healthcare/article/nhs-paper-storage-digital-waste-filing-paper-7gq83b20b</w:t>
        </w:r>
      </w:hyperlink>
      <w:r w:rsidRPr="00A72093">
        <w:rPr>
          <w:rFonts w:ascii="Arial" w:hAnsi="Arial" w:cs="Arial"/>
          <w:sz w:val="24"/>
          <w:szCs w:val="24"/>
        </w:rPr>
        <w:t xml:space="preserve">  </w:t>
      </w:r>
    </w:p>
    <w:p w14:paraId="2D8C0BD2" w14:textId="77777777" w:rsidR="00B66DB6" w:rsidRPr="00A72093" w:rsidRDefault="00B66DB6" w:rsidP="00B66DB6">
      <w:pPr>
        <w:spacing w:line="360" w:lineRule="auto"/>
        <w:jc w:val="both"/>
        <w:rPr>
          <w:rFonts w:ascii="Arial" w:hAnsi="Arial" w:cs="Arial"/>
          <w:sz w:val="24"/>
          <w:szCs w:val="24"/>
          <w:shd w:val="clear" w:color="auto" w:fill="FFFFFF"/>
        </w:rPr>
      </w:pPr>
      <w:proofErr w:type="spellStart"/>
      <w:r w:rsidRPr="00A72093">
        <w:rPr>
          <w:rFonts w:ascii="Arial" w:hAnsi="Arial" w:cs="Arial"/>
          <w:sz w:val="24"/>
          <w:szCs w:val="24"/>
          <w:shd w:val="clear" w:color="auto" w:fill="FFFFFF"/>
        </w:rPr>
        <w:t>Tsekouropoulos</w:t>
      </w:r>
      <w:proofErr w:type="spellEnd"/>
      <w:r w:rsidRPr="00A72093">
        <w:rPr>
          <w:rFonts w:ascii="Arial" w:hAnsi="Arial" w:cs="Arial"/>
          <w:sz w:val="24"/>
          <w:szCs w:val="24"/>
          <w:shd w:val="clear" w:color="auto" w:fill="FFFFFF"/>
        </w:rPr>
        <w:t>, G., Vasileiou, A., Hoxha, G., Theocharis, D., Theodoridou, E. and Grigoriadis, T., (2025). Leadership 4.0: navigating the challenges of the digital transformation in healthcare and beyond. </w:t>
      </w:r>
      <w:r w:rsidRPr="00A72093">
        <w:rPr>
          <w:rFonts w:ascii="Arial" w:hAnsi="Arial" w:cs="Arial"/>
          <w:i/>
          <w:iCs/>
          <w:sz w:val="24"/>
          <w:szCs w:val="24"/>
          <w:shd w:val="clear" w:color="auto" w:fill="FFFFFF"/>
        </w:rPr>
        <w:t>Administrative sciences</w:t>
      </w:r>
      <w:r w:rsidRPr="00A72093">
        <w:rPr>
          <w:rFonts w:ascii="Arial" w:hAnsi="Arial" w:cs="Arial"/>
          <w:sz w:val="24"/>
          <w:szCs w:val="24"/>
          <w:shd w:val="clear" w:color="auto" w:fill="FFFFFF"/>
        </w:rPr>
        <w:t>, </w:t>
      </w:r>
      <w:r w:rsidRPr="00A72093">
        <w:rPr>
          <w:rFonts w:ascii="Arial" w:hAnsi="Arial" w:cs="Arial"/>
          <w:i/>
          <w:iCs/>
          <w:sz w:val="24"/>
          <w:szCs w:val="24"/>
          <w:shd w:val="clear" w:color="auto" w:fill="FFFFFF"/>
        </w:rPr>
        <w:t>15</w:t>
      </w:r>
      <w:r w:rsidRPr="00A72093">
        <w:rPr>
          <w:rFonts w:ascii="Arial" w:hAnsi="Arial" w:cs="Arial"/>
          <w:sz w:val="24"/>
          <w:szCs w:val="24"/>
          <w:shd w:val="clear" w:color="auto" w:fill="FFFFFF"/>
        </w:rPr>
        <w:t>(6), p.194.</w:t>
      </w:r>
    </w:p>
    <w:p w14:paraId="70AE3D58"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(2025a) Patient safety fact sheet. Available at: </w:t>
      </w:r>
      <w:hyperlink r:id="rId26" w:tgtFrame="_new" w:history="1">
        <w:r w:rsidRPr="00A72093">
          <w:rPr>
            <w:rStyle w:val="Hyperlink"/>
            <w:rFonts w:ascii="Arial" w:hAnsi="Arial" w:cs="Arial"/>
            <w:color w:val="auto"/>
            <w:sz w:val="24"/>
            <w:szCs w:val="24"/>
          </w:rPr>
          <w:t>https://www.who.int/news-room/fact-sheets/detail/patient-safety</w:t>
        </w:r>
      </w:hyperlink>
      <w:r w:rsidRPr="00A72093">
        <w:rPr>
          <w:rFonts w:ascii="Arial" w:hAnsi="Arial" w:cs="Arial"/>
          <w:sz w:val="24"/>
          <w:szCs w:val="24"/>
        </w:rPr>
        <w:t xml:space="preserve">  </w:t>
      </w:r>
    </w:p>
    <w:p w14:paraId="677452CD"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lastRenderedPageBreak/>
        <w:t xml:space="preserve">World Health Organization (2025b) Patient safety overview. Available at: </w:t>
      </w:r>
      <w:hyperlink r:id="rId27" w:tgtFrame="_new" w:history="1">
        <w:r w:rsidRPr="00A72093">
          <w:rPr>
            <w:rStyle w:val="Hyperlink"/>
            <w:rFonts w:ascii="Arial" w:hAnsi="Arial" w:cs="Arial"/>
            <w:color w:val="auto"/>
            <w:sz w:val="24"/>
            <w:szCs w:val="24"/>
          </w:rPr>
          <w:t>https://www.who.int/health-topics/patient-safety/</w:t>
        </w:r>
      </w:hyperlink>
      <w:r w:rsidRPr="00A72093">
        <w:rPr>
          <w:rFonts w:ascii="Arial" w:hAnsi="Arial" w:cs="Arial"/>
          <w:sz w:val="24"/>
          <w:szCs w:val="24"/>
        </w:rPr>
        <w:t xml:space="preserve">  </w:t>
      </w:r>
    </w:p>
    <w:p w14:paraId="749969CC"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(2025c) Quality health services fact sheet. Available at: </w:t>
      </w:r>
      <w:hyperlink r:id="rId28" w:tgtFrame="_new" w:history="1">
        <w:r w:rsidRPr="00A72093">
          <w:rPr>
            <w:rStyle w:val="Hyperlink"/>
            <w:rFonts w:ascii="Arial" w:hAnsi="Arial" w:cs="Arial"/>
            <w:color w:val="auto"/>
            <w:sz w:val="24"/>
            <w:szCs w:val="24"/>
          </w:rPr>
          <w:t>https://www.who.int/news-room/fact-sheets/detail/quality-health-services</w:t>
        </w:r>
      </w:hyperlink>
      <w:r w:rsidRPr="00A72093">
        <w:rPr>
          <w:rFonts w:ascii="Arial" w:hAnsi="Arial" w:cs="Arial"/>
          <w:sz w:val="24"/>
          <w:szCs w:val="24"/>
        </w:rPr>
        <w:t xml:space="preserve">  </w:t>
      </w:r>
    </w:p>
    <w:p w14:paraId="3C7CA375"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(2025d) Global patient safety action plan. Available at: </w:t>
      </w:r>
      <w:hyperlink r:id="rId29" w:tgtFrame="_new" w:history="1">
        <w:r w:rsidRPr="00A72093">
          <w:rPr>
            <w:rStyle w:val="Hyperlink"/>
            <w:rFonts w:ascii="Arial" w:hAnsi="Arial" w:cs="Arial"/>
            <w:color w:val="auto"/>
            <w:sz w:val="24"/>
            <w:szCs w:val="24"/>
          </w:rPr>
          <w:t>https://www.who.int/teams/integrated-health-services/patient-safety/policy/global-patient-safety-action-plan</w:t>
        </w:r>
      </w:hyperlink>
      <w:r w:rsidRPr="00A72093">
        <w:rPr>
          <w:rFonts w:ascii="Arial" w:hAnsi="Arial" w:cs="Arial"/>
          <w:sz w:val="24"/>
          <w:szCs w:val="24"/>
        </w:rPr>
        <w:t xml:space="preserve">  </w:t>
      </w:r>
    </w:p>
    <w:p w14:paraId="14978C29"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(2025e) Medication without harm initiative. Available at: </w:t>
      </w:r>
      <w:hyperlink r:id="rId30" w:tgtFrame="_new" w:history="1">
        <w:r w:rsidRPr="00A72093">
          <w:rPr>
            <w:rStyle w:val="Hyperlink"/>
            <w:rFonts w:ascii="Arial" w:hAnsi="Arial" w:cs="Arial"/>
            <w:color w:val="auto"/>
            <w:sz w:val="24"/>
            <w:szCs w:val="24"/>
          </w:rPr>
          <w:t>https://www.who.int/initiatives/medication-without-harm</w:t>
        </w:r>
      </w:hyperlink>
      <w:r w:rsidRPr="00A72093">
        <w:rPr>
          <w:rFonts w:ascii="Arial" w:hAnsi="Arial" w:cs="Arial"/>
          <w:sz w:val="24"/>
          <w:szCs w:val="24"/>
        </w:rPr>
        <w:t xml:space="preserve"> </w:t>
      </w:r>
    </w:p>
    <w:p w14:paraId="14E8AD68" w14:textId="77777777" w:rsidR="00B66DB6" w:rsidRPr="00A72093" w:rsidRDefault="00B66DB6" w:rsidP="00B66DB6">
      <w:pPr>
        <w:spacing w:line="360" w:lineRule="auto"/>
        <w:jc w:val="both"/>
        <w:rPr>
          <w:rFonts w:ascii="Arial" w:hAnsi="Arial" w:cs="Arial"/>
          <w:sz w:val="24"/>
          <w:szCs w:val="24"/>
        </w:rPr>
      </w:pPr>
      <w:r w:rsidRPr="00A72093">
        <w:rPr>
          <w:rFonts w:ascii="Arial" w:hAnsi="Arial" w:cs="Arial"/>
          <w:sz w:val="24"/>
          <w:szCs w:val="24"/>
        </w:rPr>
        <w:t xml:space="preserve">World Health Organization (2025f) Systems thinking for health systems strengthening. Available at: </w:t>
      </w:r>
      <w:hyperlink r:id="rId31" w:history="1">
        <w:r w:rsidRPr="00A72093">
          <w:rPr>
            <w:rStyle w:val="Hyperlink"/>
            <w:rFonts w:ascii="Arial" w:hAnsi="Arial" w:cs="Arial"/>
            <w:color w:val="auto"/>
            <w:sz w:val="24"/>
            <w:szCs w:val="24"/>
          </w:rPr>
          <w:t>https://www.who.int/publications/i/item/systems-thinking-for-health-systems-strengthening</w:t>
        </w:r>
      </w:hyperlink>
      <w:r w:rsidRPr="00A72093">
        <w:rPr>
          <w:rFonts w:ascii="Arial" w:hAnsi="Arial" w:cs="Arial"/>
          <w:sz w:val="24"/>
          <w:szCs w:val="24"/>
        </w:rPr>
        <w:t xml:space="preserve">   </w:t>
      </w:r>
    </w:p>
    <w:p w14:paraId="3D511E36" w14:textId="77777777" w:rsidR="00B74D1E" w:rsidRPr="00A72093" w:rsidRDefault="00B74D1E" w:rsidP="007F4539">
      <w:pPr>
        <w:spacing w:line="360" w:lineRule="auto"/>
        <w:jc w:val="both"/>
        <w:rPr>
          <w:rFonts w:ascii="Arial" w:hAnsi="Arial" w:cs="Arial"/>
          <w:b/>
          <w:sz w:val="24"/>
          <w:szCs w:val="24"/>
        </w:rPr>
      </w:pPr>
    </w:p>
    <w:sectPr w:rsidR="00B74D1E" w:rsidRPr="00A72093">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69C36" w14:textId="77777777" w:rsidR="00DC14F0" w:rsidRDefault="00DC14F0" w:rsidP="00A72093">
      <w:pPr>
        <w:spacing w:after="0" w:line="240" w:lineRule="auto"/>
      </w:pPr>
      <w:r>
        <w:separator/>
      </w:r>
    </w:p>
  </w:endnote>
  <w:endnote w:type="continuationSeparator" w:id="0">
    <w:p w14:paraId="330EA14F" w14:textId="77777777" w:rsidR="00DC14F0" w:rsidRDefault="00DC14F0" w:rsidP="00A72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C5E9" w14:textId="77777777" w:rsidR="00E7476F" w:rsidRDefault="00E74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2006622068"/>
      <w:docPartObj>
        <w:docPartGallery w:val="Page Numbers (Bottom of Page)"/>
        <w:docPartUnique/>
      </w:docPartObj>
    </w:sdtPr>
    <w:sdtEndPr>
      <w:rPr>
        <w:noProof/>
      </w:rPr>
    </w:sdtEndPr>
    <w:sdtContent>
      <w:p w14:paraId="0CEEA4A8" w14:textId="77777777" w:rsidR="00A72093" w:rsidRPr="00A72093" w:rsidRDefault="00A72093">
        <w:pPr>
          <w:pStyle w:val="Footer"/>
          <w:jc w:val="right"/>
          <w:rPr>
            <w:rFonts w:ascii="Arial" w:hAnsi="Arial" w:cs="Arial"/>
            <w:sz w:val="24"/>
            <w:szCs w:val="24"/>
          </w:rPr>
        </w:pPr>
        <w:r w:rsidRPr="00A72093">
          <w:rPr>
            <w:rFonts w:ascii="Arial" w:hAnsi="Arial" w:cs="Arial"/>
            <w:sz w:val="24"/>
            <w:szCs w:val="24"/>
          </w:rPr>
          <w:fldChar w:fldCharType="begin"/>
        </w:r>
        <w:r w:rsidRPr="00A72093">
          <w:rPr>
            <w:rFonts w:ascii="Arial" w:hAnsi="Arial" w:cs="Arial"/>
            <w:sz w:val="24"/>
            <w:szCs w:val="24"/>
          </w:rPr>
          <w:instrText xml:space="preserve"> PAGE   \* MERGEFORMAT </w:instrText>
        </w:r>
        <w:r w:rsidRPr="00A72093">
          <w:rPr>
            <w:rFonts w:ascii="Arial" w:hAnsi="Arial" w:cs="Arial"/>
            <w:sz w:val="24"/>
            <w:szCs w:val="24"/>
          </w:rPr>
          <w:fldChar w:fldCharType="separate"/>
        </w:r>
        <w:r w:rsidR="00E7476F">
          <w:rPr>
            <w:rFonts w:ascii="Arial" w:hAnsi="Arial" w:cs="Arial"/>
            <w:noProof/>
            <w:sz w:val="24"/>
            <w:szCs w:val="24"/>
          </w:rPr>
          <w:t>1</w:t>
        </w:r>
        <w:r w:rsidRPr="00A72093">
          <w:rPr>
            <w:rFonts w:ascii="Arial" w:hAnsi="Arial" w:cs="Arial"/>
            <w:noProof/>
            <w:sz w:val="24"/>
            <w:szCs w:val="24"/>
          </w:rPr>
          <w:fldChar w:fldCharType="end"/>
        </w:r>
      </w:p>
    </w:sdtContent>
  </w:sdt>
  <w:p w14:paraId="3A2F787B" w14:textId="77777777" w:rsidR="00A72093" w:rsidRPr="00A72093" w:rsidRDefault="00A72093">
    <w:pPr>
      <w:pStyle w:val="Footer"/>
      <w:rPr>
        <w:rFonts w:ascii="Arial" w:hAnsi="Arial" w:cs="Arial"/>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32B0" w14:textId="77777777" w:rsidR="00E7476F" w:rsidRDefault="00E74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E0887" w14:textId="77777777" w:rsidR="00DC14F0" w:rsidRDefault="00DC14F0" w:rsidP="00A72093">
      <w:pPr>
        <w:spacing w:after="0" w:line="240" w:lineRule="auto"/>
      </w:pPr>
      <w:r>
        <w:separator/>
      </w:r>
    </w:p>
  </w:footnote>
  <w:footnote w:type="continuationSeparator" w:id="0">
    <w:p w14:paraId="57036D9F" w14:textId="77777777" w:rsidR="00DC14F0" w:rsidRDefault="00DC14F0" w:rsidP="00A72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1AF32" w14:textId="77777777" w:rsidR="00E7476F" w:rsidRDefault="00E74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ACA59" w14:textId="7ABE66AE" w:rsidR="007F75EA" w:rsidRDefault="00E7476F">
    <w:pPr>
      <w:pStyle w:val="Header"/>
    </w:pPr>
    <w:r>
      <w:rPr>
        <w:noProof/>
        <w:lang w:val="en-US" w:bidi="gu-IN"/>
      </w:rPr>
      <w:drawing>
        <wp:inline distT="0" distB="0" distL="0" distR="0" wp14:anchorId="0B6BB059" wp14:editId="36CAF865">
          <wp:extent cx="2186940" cy="830580"/>
          <wp:effectExtent l="0" t="0" r="3810" b="7620"/>
          <wp:docPr id="3" name="Picture 3"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ogo Vector - (.SVG + .PNG) - Tukuz.C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6940" cy="830580"/>
                  </a:xfrm>
                  <a:prstGeom prst="rect">
                    <a:avLst/>
                  </a:prstGeom>
                  <a:noFill/>
                  <a:ln>
                    <a:noFill/>
                  </a:ln>
                </pic:spPr>
              </pic:pic>
            </a:graphicData>
          </a:graphic>
        </wp:inline>
      </w:drawing>
    </w:r>
  </w:p>
  <w:p w14:paraId="33F9FB84" w14:textId="77777777" w:rsidR="007F75EA" w:rsidRDefault="007F75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7934C" w14:textId="77777777" w:rsidR="00E7476F" w:rsidRDefault="00E747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4D1E"/>
    <w:rsid w:val="000819B0"/>
    <w:rsid w:val="001B271D"/>
    <w:rsid w:val="002717BF"/>
    <w:rsid w:val="003B6825"/>
    <w:rsid w:val="0044149F"/>
    <w:rsid w:val="004513B5"/>
    <w:rsid w:val="004860BC"/>
    <w:rsid w:val="00525F3C"/>
    <w:rsid w:val="00626449"/>
    <w:rsid w:val="00666EFB"/>
    <w:rsid w:val="007F4539"/>
    <w:rsid w:val="007F75EA"/>
    <w:rsid w:val="00832C44"/>
    <w:rsid w:val="00943F12"/>
    <w:rsid w:val="00A72093"/>
    <w:rsid w:val="00A96C24"/>
    <w:rsid w:val="00AE75B3"/>
    <w:rsid w:val="00B33111"/>
    <w:rsid w:val="00B66DB6"/>
    <w:rsid w:val="00B74D1E"/>
    <w:rsid w:val="00BE2E83"/>
    <w:rsid w:val="00C12C3B"/>
    <w:rsid w:val="00CA3781"/>
    <w:rsid w:val="00CA382F"/>
    <w:rsid w:val="00D73251"/>
    <w:rsid w:val="00D748D5"/>
    <w:rsid w:val="00D86566"/>
    <w:rsid w:val="00DA79AA"/>
    <w:rsid w:val="00DC14F0"/>
    <w:rsid w:val="00E1716F"/>
    <w:rsid w:val="00E7476F"/>
    <w:rsid w:val="00F013C2"/>
    <w:rsid w:val="00F21A8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164"/>
  <w15:docId w15:val="{04CC3403-7A7F-4D50-8401-0BC31B9F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74D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4D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A79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D1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B74D1E"/>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B74D1E"/>
    <w:rPr>
      <w:b/>
      <w:bCs/>
    </w:rPr>
  </w:style>
  <w:style w:type="paragraph" w:styleId="NormalWeb">
    <w:name w:val="Normal (Web)"/>
    <w:basedOn w:val="Normal"/>
    <w:uiPriority w:val="99"/>
    <w:unhideWhenUsed/>
    <w:rsid w:val="00B74D1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cursor-pointer">
    <w:name w:val="cursor-pointer"/>
    <w:basedOn w:val="DefaultParagraphFont"/>
    <w:rsid w:val="00D748D5"/>
  </w:style>
  <w:style w:type="paragraph" w:customStyle="1" w:styleId="pdq2pgselectionanchorcontainer">
    <w:name w:val="pdq2pg_selectionanchorcontainer"/>
    <w:basedOn w:val="Normal"/>
    <w:rsid w:val="007F453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B66DB6"/>
    <w:rPr>
      <w:color w:val="0000FF"/>
      <w:u w:val="single"/>
    </w:rPr>
  </w:style>
  <w:style w:type="paragraph" w:styleId="TOCHeading">
    <w:name w:val="TOC Heading"/>
    <w:basedOn w:val="Heading1"/>
    <w:next w:val="Normal"/>
    <w:uiPriority w:val="39"/>
    <w:unhideWhenUsed/>
    <w:qFormat/>
    <w:rsid w:val="00A72093"/>
    <w:pPr>
      <w:outlineLvl w:val="9"/>
    </w:pPr>
    <w:rPr>
      <w:lang w:val="en-US"/>
    </w:rPr>
  </w:style>
  <w:style w:type="paragraph" w:styleId="TOC1">
    <w:name w:val="toc 1"/>
    <w:basedOn w:val="Normal"/>
    <w:next w:val="Normal"/>
    <w:autoRedefine/>
    <w:uiPriority w:val="39"/>
    <w:unhideWhenUsed/>
    <w:rsid w:val="00A72093"/>
    <w:pPr>
      <w:spacing w:after="100"/>
    </w:pPr>
  </w:style>
  <w:style w:type="paragraph" w:styleId="TOC2">
    <w:name w:val="toc 2"/>
    <w:basedOn w:val="Normal"/>
    <w:next w:val="Normal"/>
    <w:autoRedefine/>
    <w:uiPriority w:val="39"/>
    <w:unhideWhenUsed/>
    <w:rsid w:val="00A72093"/>
    <w:pPr>
      <w:spacing w:after="100"/>
      <w:ind w:left="220"/>
    </w:pPr>
  </w:style>
  <w:style w:type="paragraph" w:styleId="Header">
    <w:name w:val="header"/>
    <w:basedOn w:val="Normal"/>
    <w:link w:val="HeaderChar"/>
    <w:uiPriority w:val="99"/>
    <w:unhideWhenUsed/>
    <w:rsid w:val="00A72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093"/>
    <w:rPr>
      <w:lang w:val="en-GB"/>
    </w:rPr>
  </w:style>
  <w:style w:type="paragraph" w:styleId="Footer">
    <w:name w:val="footer"/>
    <w:basedOn w:val="Normal"/>
    <w:link w:val="FooterChar"/>
    <w:uiPriority w:val="99"/>
    <w:unhideWhenUsed/>
    <w:rsid w:val="00A72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093"/>
    <w:rPr>
      <w:lang w:val="en-GB"/>
    </w:rPr>
  </w:style>
  <w:style w:type="paragraph" w:styleId="ListParagraph">
    <w:name w:val="List Paragraph"/>
    <w:basedOn w:val="Normal"/>
    <w:uiPriority w:val="34"/>
    <w:qFormat/>
    <w:rsid w:val="00525F3C"/>
    <w:pPr>
      <w:ind w:left="720"/>
      <w:contextualSpacing/>
    </w:pPr>
  </w:style>
  <w:style w:type="paragraph" w:styleId="BalloonText">
    <w:name w:val="Balloon Text"/>
    <w:basedOn w:val="Normal"/>
    <w:link w:val="BalloonTextChar"/>
    <w:uiPriority w:val="99"/>
    <w:semiHidden/>
    <w:unhideWhenUsed/>
    <w:rsid w:val="007F75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5EA"/>
    <w:rPr>
      <w:rFonts w:ascii="Tahoma" w:hAnsi="Tahoma" w:cs="Tahoma"/>
      <w:sz w:val="16"/>
      <w:szCs w:val="16"/>
      <w:lang w:val="en-GB"/>
    </w:rPr>
  </w:style>
  <w:style w:type="character" w:customStyle="1" w:styleId="Heading3Char">
    <w:name w:val="Heading 3 Char"/>
    <w:basedOn w:val="DefaultParagraphFont"/>
    <w:link w:val="Heading3"/>
    <w:uiPriority w:val="9"/>
    <w:semiHidden/>
    <w:rsid w:val="00DA79AA"/>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68053">
      <w:bodyDiv w:val="1"/>
      <w:marLeft w:val="0"/>
      <w:marRight w:val="0"/>
      <w:marTop w:val="0"/>
      <w:marBottom w:val="0"/>
      <w:divBdr>
        <w:top w:val="none" w:sz="0" w:space="0" w:color="auto"/>
        <w:left w:val="none" w:sz="0" w:space="0" w:color="auto"/>
        <w:bottom w:val="none" w:sz="0" w:space="0" w:color="auto"/>
        <w:right w:val="none" w:sz="0" w:space="0" w:color="auto"/>
      </w:divBdr>
      <w:divsChild>
        <w:div w:id="2029215030">
          <w:marLeft w:val="0"/>
          <w:marRight w:val="0"/>
          <w:marTop w:val="0"/>
          <w:marBottom w:val="0"/>
          <w:divBdr>
            <w:top w:val="none" w:sz="0" w:space="0" w:color="auto"/>
            <w:left w:val="none" w:sz="0" w:space="0" w:color="auto"/>
            <w:bottom w:val="none" w:sz="0" w:space="0" w:color="auto"/>
            <w:right w:val="none" w:sz="0" w:space="0" w:color="auto"/>
          </w:divBdr>
          <w:divsChild>
            <w:div w:id="1387336308">
              <w:marLeft w:val="0"/>
              <w:marRight w:val="0"/>
              <w:marTop w:val="0"/>
              <w:marBottom w:val="0"/>
              <w:divBdr>
                <w:top w:val="none" w:sz="0" w:space="0" w:color="auto"/>
                <w:left w:val="none" w:sz="0" w:space="0" w:color="auto"/>
                <w:bottom w:val="none" w:sz="0" w:space="0" w:color="auto"/>
                <w:right w:val="none" w:sz="0" w:space="0" w:color="auto"/>
              </w:divBdr>
              <w:divsChild>
                <w:div w:id="167911035">
                  <w:marLeft w:val="0"/>
                  <w:marRight w:val="0"/>
                  <w:marTop w:val="0"/>
                  <w:marBottom w:val="0"/>
                  <w:divBdr>
                    <w:top w:val="none" w:sz="0" w:space="0" w:color="auto"/>
                    <w:left w:val="none" w:sz="0" w:space="0" w:color="auto"/>
                    <w:bottom w:val="none" w:sz="0" w:space="0" w:color="auto"/>
                    <w:right w:val="none" w:sz="0" w:space="0" w:color="auto"/>
                  </w:divBdr>
                  <w:divsChild>
                    <w:div w:id="128084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128298">
      <w:bodyDiv w:val="1"/>
      <w:marLeft w:val="0"/>
      <w:marRight w:val="0"/>
      <w:marTop w:val="0"/>
      <w:marBottom w:val="0"/>
      <w:divBdr>
        <w:top w:val="none" w:sz="0" w:space="0" w:color="auto"/>
        <w:left w:val="none" w:sz="0" w:space="0" w:color="auto"/>
        <w:bottom w:val="none" w:sz="0" w:space="0" w:color="auto"/>
        <w:right w:val="none" w:sz="0" w:space="0" w:color="auto"/>
      </w:divBdr>
    </w:div>
    <w:div w:id="1432896377">
      <w:bodyDiv w:val="1"/>
      <w:marLeft w:val="0"/>
      <w:marRight w:val="0"/>
      <w:marTop w:val="0"/>
      <w:marBottom w:val="0"/>
      <w:divBdr>
        <w:top w:val="none" w:sz="0" w:space="0" w:color="auto"/>
        <w:left w:val="none" w:sz="0" w:space="0" w:color="auto"/>
        <w:bottom w:val="none" w:sz="0" w:space="0" w:color="auto"/>
        <w:right w:val="none" w:sz="0" w:space="0" w:color="auto"/>
      </w:divBdr>
    </w:div>
    <w:div w:id="2144155820">
      <w:bodyDiv w:val="1"/>
      <w:marLeft w:val="0"/>
      <w:marRight w:val="0"/>
      <w:marTop w:val="0"/>
      <w:marBottom w:val="0"/>
      <w:divBdr>
        <w:top w:val="none" w:sz="0" w:space="0" w:color="auto"/>
        <w:left w:val="none" w:sz="0" w:space="0" w:color="auto"/>
        <w:bottom w:val="none" w:sz="0" w:space="0" w:color="auto"/>
        <w:right w:val="none" w:sz="0" w:space="0" w:color="auto"/>
      </w:divBdr>
      <w:divsChild>
        <w:div w:id="1118911642">
          <w:marLeft w:val="0"/>
          <w:marRight w:val="0"/>
          <w:marTop w:val="0"/>
          <w:marBottom w:val="0"/>
          <w:divBdr>
            <w:top w:val="none" w:sz="0" w:space="0" w:color="auto"/>
            <w:left w:val="none" w:sz="0" w:space="0" w:color="auto"/>
            <w:bottom w:val="none" w:sz="0" w:space="0" w:color="auto"/>
            <w:right w:val="none" w:sz="0" w:space="0" w:color="auto"/>
          </w:divBdr>
          <w:divsChild>
            <w:div w:id="1845198318">
              <w:marLeft w:val="0"/>
              <w:marRight w:val="0"/>
              <w:marTop w:val="0"/>
              <w:marBottom w:val="0"/>
              <w:divBdr>
                <w:top w:val="none" w:sz="0" w:space="0" w:color="auto"/>
                <w:left w:val="none" w:sz="0" w:space="0" w:color="auto"/>
                <w:bottom w:val="none" w:sz="0" w:space="0" w:color="auto"/>
                <w:right w:val="none" w:sz="0" w:space="0" w:color="auto"/>
              </w:divBdr>
              <w:divsChild>
                <w:div w:id="2068605719">
                  <w:marLeft w:val="0"/>
                  <w:marRight w:val="0"/>
                  <w:marTop w:val="0"/>
                  <w:marBottom w:val="0"/>
                  <w:divBdr>
                    <w:top w:val="none" w:sz="0" w:space="0" w:color="auto"/>
                    <w:left w:val="none" w:sz="0" w:space="0" w:color="auto"/>
                    <w:bottom w:val="none" w:sz="0" w:space="0" w:color="auto"/>
                    <w:right w:val="none" w:sz="0" w:space="0" w:color="auto"/>
                  </w:divBdr>
                  <w:divsChild>
                    <w:div w:id="5598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statistics/statistical-work-areas/patient-safety-data/" TargetMode="External"/><Relationship Id="rId18" Type="http://schemas.openxmlformats.org/officeDocument/2006/relationships/hyperlink" Target="https://www.england.nhs.uk/patient-safety/lfpse/" TargetMode="External"/><Relationship Id="rId26" Type="http://schemas.openxmlformats.org/officeDocument/2006/relationships/hyperlink" Target="https://www.who.int/news-room/fact-sheets/detail/patient-safety?utm_source=chatgpt.com" TargetMode="External"/><Relationship Id="rId39" Type="http://schemas.openxmlformats.org/officeDocument/2006/relationships/theme" Target="theme/theme1.xml"/><Relationship Id="rId21" Type="http://schemas.openxmlformats.org/officeDocument/2006/relationships/hyperlink" Target="https://www.oecd.org/health/health-systems/" TargetMode="External"/><Relationship Id="rId34" Type="http://schemas.openxmlformats.org/officeDocument/2006/relationships/footer" Target="footer1.xml"/><Relationship Id="rId7" Type="http://schemas.openxmlformats.org/officeDocument/2006/relationships/hyperlink" Target="https://qualitysafety.bmj.com/" TargetMode="External"/><Relationship Id="rId12" Type="http://schemas.openxmlformats.org/officeDocument/2006/relationships/hyperlink" Target="https://www.england.nhs.uk/statistics/statistical-work-areas/patient-safety-data/2025-26/" TargetMode="External"/><Relationship Id="rId17" Type="http://schemas.openxmlformats.org/officeDocument/2006/relationships/hyperlink" Target="https://www.england.nhs.uk/digitaltechnology/" TargetMode="External"/><Relationship Id="rId25" Type="http://schemas.openxmlformats.org/officeDocument/2006/relationships/hyperlink" Target="https://www.thetimes.com/uk/healthcare/article/nhs-paper-storage-digital-waste-filing-paper-7gq83b20b"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ngland.nhs.uk/patient-safety/the-nhs-patient-safety-strategy/" TargetMode="External"/><Relationship Id="rId20" Type="http://schemas.openxmlformats.org/officeDocument/2006/relationships/hyperlink" Target="https://www.oecd.org/health/health-systems/patient-safety.htm" TargetMode="External"/><Relationship Id="rId29" Type="http://schemas.openxmlformats.org/officeDocument/2006/relationships/hyperlink" Target="https://www.who.int/teams/integrated-health-services/patient-safety/policy/global-patient-safety-action-pla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ourwork/part-rel/nqb/" TargetMode="External"/><Relationship Id="rId24" Type="http://schemas.openxmlformats.org/officeDocument/2006/relationships/hyperlink" Target="https://www.kingsfund.org.uk/projects/patient-safety"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www.england.nhs.uk/statistics/statistical-work-areas/patient-safety-data/2025-26/q1/" TargetMode="External"/><Relationship Id="rId23" Type="http://schemas.openxmlformats.org/officeDocument/2006/relationships/hyperlink" Target="https://www.theguardian.com/society/2025/may/14/nhs-medical-negligence-liabilities-hit-582bn-amid-calls-to-improve-patient-safety" TargetMode="External"/><Relationship Id="rId28" Type="http://schemas.openxmlformats.org/officeDocument/2006/relationships/hyperlink" Target="https://www.who.int/news-room/fact-sheets/detail/quality-health-services?utm_source=chatgpt.com" TargetMode="External"/><Relationship Id="rId36" Type="http://schemas.openxmlformats.org/officeDocument/2006/relationships/header" Target="header3.xml"/><Relationship Id="rId10" Type="http://schemas.openxmlformats.org/officeDocument/2006/relationships/hyperlink" Target="https://www.ihi.org/topics/patientsafety/Pages/default.aspx" TargetMode="External"/><Relationship Id="rId19" Type="http://schemas.openxmlformats.org/officeDocument/2006/relationships/hyperlink" Target="https://www.leadershipacademy.nhs.uk/resources/healthcare-leadership-model/" TargetMode="External"/><Relationship Id="rId31" Type="http://schemas.openxmlformats.org/officeDocument/2006/relationships/hyperlink" Target="https://www.who.int/publications/i/item/systems-thinking-for-health-systems-strengthening" TargetMode="External"/><Relationship Id="rId4" Type="http://schemas.openxmlformats.org/officeDocument/2006/relationships/footnotes" Target="footnotes.xml"/><Relationship Id="rId9" Type="http://schemas.openxmlformats.org/officeDocument/2006/relationships/hyperlink" Target="https://www.ft.com/content/f94a71ee-0c42-4839-9521-e7866975fa72" TargetMode="External"/><Relationship Id="rId14" Type="http://schemas.openxmlformats.org/officeDocument/2006/relationships/hyperlink" Target="https://www.england.nhs.uk/publication/national-medical-examiner-reports/" TargetMode="External"/><Relationship Id="rId22" Type="http://schemas.openxmlformats.org/officeDocument/2006/relationships/hyperlink" Target="https://www.theguardian.com/society/2025/may/01/one-in-four-patients-in-england-find-errors-in-medical-records-watchdog-says" TargetMode="External"/><Relationship Id="rId27" Type="http://schemas.openxmlformats.org/officeDocument/2006/relationships/hyperlink" Target="https://www.who.int/health-topics/patient-safety/?utm_source=chatgpt.com" TargetMode="External"/><Relationship Id="rId30" Type="http://schemas.openxmlformats.org/officeDocument/2006/relationships/hyperlink" Target="https://www.who.int/initiatives/medication-without-harm?utm_source=chatgpt.com" TargetMode="External"/><Relationship Id="rId35" Type="http://schemas.openxmlformats.org/officeDocument/2006/relationships/footer" Target="footer2.xml"/><Relationship Id="rId8" Type="http://schemas.openxmlformats.org/officeDocument/2006/relationships/hyperlink" Target="https://www.cqc.org.uk/guidance-providers/regulations-enforcement/regulation-12-safe-care-treatment" TargetMode="External"/><Relationship Id="rId3"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7257</Words>
  <Characters>41366</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dhruviprajapati2992@gmail.com</cp:lastModifiedBy>
  <cp:revision>2</cp:revision>
  <dcterms:created xsi:type="dcterms:W3CDTF">2026-08-11T11:35:00Z</dcterms:created>
  <dcterms:modified xsi:type="dcterms:W3CDTF">2026-08-11T11:35:00Z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27fb7f4d-a295-4e47-a7bc-ff30847515b5</vt:lpwstr>
  </property>
</Properties>
</file>