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B69B6" w14:textId="2F5145B4" w:rsidR="004F092A" w:rsidRDefault="004F092A" w:rsidP="009D531E">
      <w:pPr>
        <w:spacing w:line="360" w:lineRule="auto"/>
        <w:rPr>
          <w:rFonts w:ascii="Arial" w:hAnsi="Arial" w:cs="Arial"/>
          <w:b/>
        </w:rPr>
      </w:pPr>
      <w:r w:rsidRPr="004F092A">
        <w:rPr>
          <w:rFonts w:ascii="Arial" w:hAnsi="Arial" w:cs="Arial"/>
          <w:b/>
        </w:rPr>
        <w:t xml:space="preserve">Ai Declaration: </w:t>
      </w:r>
    </w:p>
    <w:p w14:paraId="41AA62B3" w14:textId="1AFF51CE" w:rsidR="0008183A" w:rsidRPr="009B2527" w:rsidRDefault="0008183A" w:rsidP="0008183A">
      <w:pPr>
        <w:pStyle w:val="ListParagraph"/>
        <w:numPr>
          <w:ilvl w:val="0"/>
          <w:numId w:val="21"/>
        </w:numPr>
        <w:spacing w:line="360" w:lineRule="auto"/>
        <w:rPr>
          <w:rFonts w:ascii="Arial" w:hAnsi="Arial" w:cs="Arial"/>
          <w:bCs/>
        </w:rPr>
      </w:pPr>
      <w:r w:rsidRPr="009B2527">
        <w:rPr>
          <w:rFonts w:ascii="Arial" w:hAnsi="Arial" w:cs="Arial"/>
          <w:bCs/>
        </w:rPr>
        <w:t xml:space="preserve">I used </w:t>
      </w:r>
      <w:r w:rsidR="00D474A4" w:rsidRPr="009B2527">
        <w:rPr>
          <w:rFonts w:ascii="Arial" w:hAnsi="Arial" w:cs="Arial"/>
          <w:bCs/>
        </w:rPr>
        <w:t>Grammarly</w:t>
      </w:r>
      <w:r w:rsidR="00D80C42" w:rsidRPr="009B2527">
        <w:rPr>
          <w:rFonts w:ascii="Arial" w:hAnsi="Arial" w:cs="Arial"/>
          <w:bCs/>
        </w:rPr>
        <w:t>’</w:t>
      </w:r>
      <w:r w:rsidR="00D474A4" w:rsidRPr="009B2527">
        <w:rPr>
          <w:rFonts w:ascii="Arial" w:hAnsi="Arial" w:cs="Arial"/>
          <w:bCs/>
        </w:rPr>
        <w:t>s</w:t>
      </w:r>
      <w:r w:rsidR="009F2A46" w:rsidRPr="009B2527">
        <w:rPr>
          <w:rFonts w:ascii="Arial" w:hAnsi="Arial" w:cs="Arial"/>
          <w:bCs/>
        </w:rPr>
        <w:t xml:space="preserve"> free automatic</w:t>
      </w:r>
      <w:r w:rsidR="00D80C42" w:rsidRPr="009B2527">
        <w:rPr>
          <w:rFonts w:ascii="Arial" w:hAnsi="Arial" w:cs="Arial"/>
          <w:bCs/>
        </w:rPr>
        <w:t xml:space="preserve"> editor for spelling and grammar check.</w:t>
      </w:r>
    </w:p>
    <w:p w14:paraId="5189C672" w14:textId="42C1BFFE" w:rsidR="00AA421C" w:rsidRPr="009B2527" w:rsidRDefault="00581539" w:rsidP="0008183A">
      <w:pPr>
        <w:pStyle w:val="ListParagraph"/>
        <w:numPr>
          <w:ilvl w:val="0"/>
          <w:numId w:val="21"/>
        </w:numPr>
        <w:spacing w:line="360" w:lineRule="auto"/>
        <w:rPr>
          <w:rFonts w:ascii="Arial" w:hAnsi="Arial" w:cs="Arial"/>
          <w:bCs/>
        </w:rPr>
      </w:pPr>
      <w:r w:rsidRPr="009B2527">
        <w:rPr>
          <w:rFonts w:ascii="Arial" w:hAnsi="Arial" w:cs="Arial"/>
          <w:bCs/>
        </w:rPr>
        <w:t>I have used ChatGPT</w:t>
      </w:r>
      <w:r w:rsidR="00B81BD0" w:rsidRPr="009B2527">
        <w:rPr>
          <w:rFonts w:ascii="Arial" w:hAnsi="Arial" w:cs="Arial"/>
          <w:bCs/>
        </w:rPr>
        <w:t xml:space="preserve"> to understand </w:t>
      </w:r>
      <w:r w:rsidR="009834D5" w:rsidRPr="009B2527">
        <w:rPr>
          <w:rFonts w:ascii="Arial" w:hAnsi="Arial" w:cs="Arial"/>
          <w:bCs/>
        </w:rPr>
        <w:t>what a skeleton argument is</w:t>
      </w:r>
      <w:r w:rsidR="00CA4D9E" w:rsidRPr="009B2527">
        <w:rPr>
          <w:rFonts w:ascii="Arial" w:hAnsi="Arial" w:cs="Arial"/>
          <w:bCs/>
        </w:rPr>
        <w:t>:</w:t>
      </w:r>
      <w:r w:rsidR="007C473A" w:rsidRPr="009B2527">
        <w:rPr>
          <w:rFonts w:ascii="Arial" w:hAnsi="Arial" w:cs="Arial"/>
          <w:bCs/>
        </w:rPr>
        <w:t xml:space="preserve"> “ Can you explain what a skeleton argument is for Land Law?”</w:t>
      </w:r>
    </w:p>
    <w:p w14:paraId="43B7153F" w14:textId="77777777" w:rsidR="004F092A" w:rsidRDefault="004F092A" w:rsidP="009D531E">
      <w:pPr>
        <w:spacing w:line="360" w:lineRule="auto"/>
        <w:rPr>
          <w:rFonts w:ascii="Arial" w:hAnsi="Arial" w:cs="Arial"/>
          <w:bCs/>
        </w:rPr>
      </w:pPr>
    </w:p>
    <w:p w14:paraId="0955A03F" w14:textId="4CE336B8" w:rsidR="002F7D75" w:rsidRPr="009D531E" w:rsidRDefault="002F7D75" w:rsidP="009D531E">
      <w:pPr>
        <w:spacing w:line="360" w:lineRule="auto"/>
        <w:rPr>
          <w:rFonts w:ascii="Arial" w:hAnsi="Arial" w:cs="Arial"/>
          <w:bCs/>
        </w:rPr>
      </w:pPr>
      <w:r w:rsidRPr="009D531E">
        <w:rPr>
          <w:rFonts w:ascii="Arial" w:hAnsi="Arial" w:cs="Arial"/>
          <w:bCs/>
        </w:rPr>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5347CF6E"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00395A18">
        <w:rPr>
          <w:rFonts w:ascii="Arial" w:eastAsiaTheme="majorEastAsia" w:hAnsi="Arial" w:cs="Arial"/>
          <w:b/>
          <w:bCs/>
          <w:lang w:bidi="ta-IN"/>
        </w:rPr>
        <w:t>the Defendant, Jennifer William</w:t>
      </w:r>
      <w:r w:rsidR="004E456B">
        <w:rPr>
          <w:rFonts w:ascii="Arial" w:eastAsiaTheme="majorEastAsia" w:hAnsi="Arial" w:cs="Arial"/>
          <w:b/>
          <w:bCs/>
          <w:lang w:bidi="ta-IN"/>
        </w:rPr>
        <w:t>s</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Pr="009D531E" w:rsidRDefault="005F216E" w:rsidP="009D531E">
      <w:pPr>
        <w:pStyle w:val="Heading1"/>
      </w:pPr>
      <w:r w:rsidRPr="009D531E">
        <w:t>Introduction</w:t>
      </w:r>
    </w:p>
    <w:p w14:paraId="62083873" w14:textId="28739D01" w:rsidR="00A40C37" w:rsidRDefault="00A40C37" w:rsidP="009D531E">
      <w:pPr>
        <w:pStyle w:val="Heading2"/>
        <w:rPr>
          <w:color w:val="000000" w:themeColor="text1"/>
        </w:rPr>
      </w:pPr>
      <w:r w:rsidRPr="00C91AF2">
        <w:rPr>
          <w:color w:val="000000" w:themeColor="text1"/>
        </w:rPr>
        <w:t xml:space="preserve">The Defendant’s position </w:t>
      </w:r>
      <w:r w:rsidR="001C328D" w:rsidRPr="00C91AF2">
        <w:rPr>
          <w:color w:val="000000" w:themeColor="text1"/>
        </w:rPr>
        <w:t>in response to the Claimant’s claim for a beneficial interest</w:t>
      </w:r>
      <w:r w:rsidR="000E0EDB" w:rsidRPr="00C91AF2">
        <w:rPr>
          <w:color w:val="000000" w:themeColor="text1"/>
        </w:rPr>
        <w:t xml:space="preserve"> in the property at 14 Oak Lane is outlined</w:t>
      </w:r>
      <w:r w:rsidR="00C91AF2" w:rsidRPr="00C91AF2">
        <w:rPr>
          <w:color w:val="000000" w:themeColor="text1"/>
        </w:rPr>
        <w:t xml:space="preserve"> in this Skeleton Argument.</w:t>
      </w:r>
      <w:r w:rsidR="00247123">
        <w:rPr>
          <w:color w:val="000000" w:themeColor="text1"/>
        </w:rPr>
        <w:t xml:space="preserve"> The defendant asks the court to re</w:t>
      </w:r>
      <w:r w:rsidR="00220742">
        <w:rPr>
          <w:color w:val="000000" w:themeColor="text1"/>
        </w:rPr>
        <w:t>consider</w:t>
      </w:r>
      <w:r w:rsidR="00247123">
        <w:rPr>
          <w:color w:val="000000" w:themeColor="text1"/>
        </w:rPr>
        <w:t xml:space="preserve"> the claim on the grounds that the circumstances do not support either an estoppel of right or a </w:t>
      </w:r>
      <w:r w:rsidR="00220742">
        <w:rPr>
          <w:color w:val="000000" w:themeColor="text1"/>
        </w:rPr>
        <w:t>constructive</w:t>
      </w:r>
      <w:r w:rsidR="00247123">
        <w:rPr>
          <w:color w:val="000000" w:themeColor="text1"/>
        </w:rPr>
        <w:t xml:space="preserve"> </w:t>
      </w:r>
      <w:r w:rsidR="00220742">
        <w:rPr>
          <w:color w:val="000000" w:themeColor="text1"/>
        </w:rPr>
        <w:t>trust</w:t>
      </w:r>
      <w:r w:rsidR="00247123">
        <w:rPr>
          <w:color w:val="000000" w:themeColor="text1"/>
        </w:rPr>
        <w:t xml:space="preserve"> </w:t>
      </w:r>
      <w:r w:rsidR="00220742">
        <w:rPr>
          <w:color w:val="000000" w:themeColor="text1"/>
        </w:rPr>
        <w:t>based</w:t>
      </w:r>
      <w:r w:rsidR="00247123">
        <w:rPr>
          <w:color w:val="000000" w:themeColor="text1"/>
        </w:rPr>
        <w:t xml:space="preserve"> </w:t>
      </w:r>
      <w:r w:rsidR="00220742">
        <w:rPr>
          <w:color w:val="000000" w:themeColor="text1"/>
        </w:rPr>
        <w:t>on a shared purpose</w:t>
      </w:r>
      <w:r w:rsidR="00247123">
        <w:rPr>
          <w:color w:val="000000" w:themeColor="text1"/>
        </w:rPr>
        <w:t>.</w:t>
      </w:r>
    </w:p>
    <w:p w14:paraId="74F9E44B" w14:textId="77777777" w:rsidR="00EB2928" w:rsidRPr="00EB2928" w:rsidRDefault="00EB2928" w:rsidP="00EB2928"/>
    <w:p w14:paraId="3C1C9900" w14:textId="79ADFEE4" w:rsidR="000D2437" w:rsidRDefault="000D2437" w:rsidP="009D531E">
      <w:pPr>
        <w:pStyle w:val="Heading2"/>
        <w:rPr>
          <w:color w:val="000000" w:themeColor="text1"/>
        </w:rPr>
      </w:pPr>
      <w:r>
        <w:rPr>
          <w:color w:val="000000" w:themeColor="text1"/>
        </w:rPr>
        <w:t>The defendant requests an order confirming</w:t>
      </w:r>
      <w:r w:rsidR="00EF2E48">
        <w:rPr>
          <w:color w:val="000000" w:themeColor="text1"/>
        </w:rPr>
        <w:t xml:space="preserve"> her exclusive beneficial and legal ownership of the property</w:t>
      </w:r>
      <w:r w:rsidR="008C08BC">
        <w:rPr>
          <w:color w:val="000000" w:themeColor="text1"/>
        </w:rPr>
        <w:t>. The claiman</w:t>
      </w:r>
      <w:r w:rsidR="00551214">
        <w:rPr>
          <w:color w:val="000000" w:themeColor="text1"/>
        </w:rPr>
        <w:t>t</w:t>
      </w:r>
      <w:r w:rsidR="008C08BC">
        <w:rPr>
          <w:color w:val="000000" w:themeColor="text1"/>
        </w:rPr>
        <w:t xml:space="preserve"> is unable to provide an</w:t>
      </w:r>
      <w:r w:rsidR="00551214">
        <w:rPr>
          <w:color w:val="000000" w:themeColor="text1"/>
        </w:rPr>
        <w:t>y</w:t>
      </w:r>
      <w:r w:rsidR="008C08BC">
        <w:rPr>
          <w:color w:val="000000" w:themeColor="text1"/>
        </w:rPr>
        <w:t xml:space="preserve"> evidence of a clear</w:t>
      </w:r>
      <w:r w:rsidR="00D363B0">
        <w:rPr>
          <w:color w:val="000000" w:themeColor="text1"/>
        </w:rPr>
        <w:t xml:space="preserve"> enough guarantee or harm to support propriet</w:t>
      </w:r>
      <w:r w:rsidR="00551214">
        <w:rPr>
          <w:color w:val="000000" w:themeColor="text1"/>
        </w:rPr>
        <w:t>ary estoppel, nor can they show any clear or suggested shared desire to share ownership</w:t>
      </w:r>
    </w:p>
    <w:p w14:paraId="79B7C6DD" w14:textId="77777777" w:rsidR="009B2527" w:rsidRDefault="009B2527" w:rsidP="009B2527"/>
    <w:p w14:paraId="4D177A36" w14:textId="77777777" w:rsidR="009B2527" w:rsidRDefault="009B2527" w:rsidP="009B2527"/>
    <w:p w14:paraId="6DE7295B" w14:textId="77777777" w:rsidR="009B2527" w:rsidRPr="009B2527" w:rsidRDefault="009B2527" w:rsidP="009B2527"/>
    <w:p w14:paraId="74D96C8C" w14:textId="77777777" w:rsidR="005F216E" w:rsidRPr="009D531E" w:rsidRDefault="005F216E" w:rsidP="009D531E">
      <w:pPr>
        <w:pStyle w:val="Heading1"/>
      </w:pPr>
      <w:r w:rsidRPr="009D531E">
        <w:lastRenderedPageBreak/>
        <w:t>The issues</w:t>
      </w:r>
    </w:p>
    <w:p w14:paraId="4E446F84" w14:textId="77777777" w:rsidR="00665447" w:rsidRDefault="001D3BE9" w:rsidP="009D531E">
      <w:pPr>
        <w:pStyle w:val="Heading2"/>
        <w:rPr>
          <w:color w:val="000000"/>
        </w:rPr>
      </w:pPr>
      <w:r>
        <w:rPr>
          <w:color w:val="000000"/>
        </w:rPr>
        <w:t xml:space="preserve">The Court </w:t>
      </w:r>
      <w:r w:rsidR="00504425">
        <w:rPr>
          <w:color w:val="000000"/>
        </w:rPr>
        <w:t>must</w:t>
      </w:r>
      <w:r>
        <w:rPr>
          <w:color w:val="000000"/>
        </w:rPr>
        <w:t xml:space="preserve"> decide</w:t>
      </w:r>
      <w:r w:rsidR="00DF39E6">
        <w:rPr>
          <w:color w:val="000000"/>
        </w:rPr>
        <w:t xml:space="preserve"> two matters: </w:t>
      </w:r>
    </w:p>
    <w:p w14:paraId="17ABD795" w14:textId="0C810FB6" w:rsidR="001D3BE9" w:rsidRDefault="00625597" w:rsidP="00665447">
      <w:pPr>
        <w:pStyle w:val="Heading2"/>
        <w:numPr>
          <w:ilvl w:val="0"/>
          <w:numId w:val="17"/>
        </w:numPr>
        <w:rPr>
          <w:color w:val="000000"/>
        </w:rPr>
      </w:pPr>
      <w:r>
        <w:rPr>
          <w:color w:val="000000"/>
        </w:rPr>
        <w:t>Whether a. constructive trust with a shared intention grants the claimant a benefi</w:t>
      </w:r>
      <w:r w:rsidR="00A72B48">
        <w:rPr>
          <w:color w:val="000000"/>
        </w:rPr>
        <w:t>cial</w:t>
      </w:r>
      <w:r>
        <w:rPr>
          <w:color w:val="000000"/>
        </w:rPr>
        <w:t xml:space="preserve"> interest</w:t>
      </w:r>
      <w:r w:rsidR="00A72B48">
        <w:rPr>
          <w:color w:val="000000"/>
        </w:rPr>
        <w:t>.</w:t>
      </w:r>
    </w:p>
    <w:p w14:paraId="67F63F50" w14:textId="17D7C827" w:rsidR="002678B0" w:rsidRPr="000D51C6" w:rsidRDefault="00421597" w:rsidP="002678B0">
      <w:pPr>
        <w:pStyle w:val="ListParagraph"/>
        <w:numPr>
          <w:ilvl w:val="0"/>
          <w:numId w:val="17"/>
        </w:numPr>
        <w:rPr>
          <w:rFonts w:ascii="Arial" w:hAnsi="Arial" w:cs="Arial"/>
        </w:rPr>
      </w:pPr>
      <w:r w:rsidRPr="001F0520">
        <w:rPr>
          <w:rFonts w:ascii="Arial" w:hAnsi="Arial" w:cs="Arial"/>
        </w:rPr>
        <w:t>If a proprietary estoppel occurs, she may be en</w:t>
      </w:r>
      <w:r w:rsidR="001F0520" w:rsidRPr="001F0520">
        <w:rPr>
          <w:rFonts w:ascii="Arial" w:hAnsi="Arial" w:cs="Arial"/>
        </w:rPr>
        <w:t>titled to a share</w:t>
      </w:r>
    </w:p>
    <w:p w14:paraId="5520ACEB" w14:textId="77777777" w:rsidR="002678B0" w:rsidRPr="002678B0" w:rsidRDefault="002678B0" w:rsidP="002678B0"/>
    <w:p w14:paraId="3E7DCF87" w14:textId="355B6987" w:rsidR="009E15CB" w:rsidRPr="00807D55" w:rsidRDefault="0008721A" w:rsidP="00807D55">
      <w:pPr>
        <w:pStyle w:val="Heading2"/>
        <w:rPr>
          <w:sz w:val="28"/>
          <w:szCs w:val="28"/>
        </w:rPr>
      </w:pPr>
      <w:r w:rsidRPr="00807D55">
        <w:rPr>
          <w:color w:val="000000"/>
        </w:rPr>
        <w:t>The disputed facts include whether the £5,000 payment was connected to purchasing, whether household contributions suggest</w:t>
      </w:r>
      <w:r w:rsidR="00381627" w:rsidRPr="00807D55">
        <w:rPr>
          <w:color w:val="000000"/>
        </w:rPr>
        <w:t xml:space="preserve"> a shared intention, whether the Defendant gave any ownership guarantees, and whether the claimant’s action went beyond simple </w:t>
      </w:r>
      <w:r w:rsidR="00650104" w:rsidRPr="00807D55">
        <w:rPr>
          <w:color w:val="000000"/>
        </w:rPr>
        <w:t>cohabitation. The defendant disputes the existence of either proprietary estoppel or constructi</w:t>
      </w:r>
      <w:r w:rsidR="00807D55" w:rsidRPr="00807D55">
        <w:rPr>
          <w:color w:val="000000"/>
        </w:rPr>
        <w:t>ve trust.</w:t>
      </w:r>
    </w:p>
    <w:p w14:paraId="7B2205B7" w14:textId="77777777" w:rsidR="005F216E" w:rsidRPr="009D531E" w:rsidRDefault="005F216E" w:rsidP="009D531E">
      <w:pPr>
        <w:pStyle w:val="Heading1"/>
      </w:pPr>
      <w:r w:rsidRPr="009D531E">
        <w:t>The facts</w:t>
      </w:r>
    </w:p>
    <w:p w14:paraId="63423B6F" w14:textId="1E844A9B" w:rsidR="005F216E" w:rsidRPr="00F04DE8" w:rsidRDefault="00F04DE8" w:rsidP="00F04DE8">
      <w:pPr>
        <w:pStyle w:val="Heading2"/>
        <w:spacing w:before="360"/>
        <w:rPr>
          <w:color w:val="000000"/>
          <w:sz w:val="20"/>
          <w:szCs w:val="22"/>
        </w:rPr>
      </w:pPr>
      <w:r w:rsidRPr="00F04DE8">
        <w:rPr>
          <w:rFonts w:cs="Arial"/>
          <w:color w:val="000000"/>
          <w:szCs w:val="24"/>
        </w:rPr>
        <w:t>Before cohabitation, the defendant bought 14 Oak Lane under her own name. Neither the deposit nor the mortgage was ever paid for by the claimant. Through a joint account that was only used for living expenses, the claimant regularly paid for food, utilities, and daycare. The defendant claims that the £5,000 payment was made during a challenging financial time and was meant to support the household rather than the purchase. Ownership was never a topic for discussion. The claimant claims she “assumed” they would share everything, but there is no evidence that this was their purpose. The defendant’s evidence demonstrates that no proprietary rights were considered and that funds were kept apart</w:t>
      </w:r>
    </w:p>
    <w:p w14:paraId="020D26B5"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Claim arising under a constructive trust</w:t>
      </w:r>
    </w:p>
    <w:p w14:paraId="37E43624" w14:textId="77777777" w:rsidR="00F04DE8" w:rsidRDefault="005F216E" w:rsidP="009D531E">
      <w:pPr>
        <w:pStyle w:val="Heading1"/>
      </w:pPr>
      <w:r w:rsidRPr="009D531E">
        <w:t>The law</w:t>
      </w:r>
    </w:p>
    <w:p w14:paraId="678539B8" w14:textId="77777777" w:rsidR="00457A0B" w:rsidRDefault="00C04055" w:rsidP="00F04DE8">
      <w:pPr>
        <w:pStyle w:val="Heading2"/>
        <w:rPr>
          <w:color w:val="000000" w:themeColor="text1"/>
        </w:rPr>
      </w:pPr>
      <w:r w:rsidRPr="00905592">
        <w:rPr>
          <w:color w:val="000000" w:themeColor="text1"/>
        </w:rPr>
        <w:t>According to Stack</w:t>
      </w:r>
      <w:r w:rsidR="001C790A" w:rsidRPr="00905592">
        <w:rPr>
          <w:color w:val="000000" w:themeColor="text1"/>
        </w:rPr>
        <w:t xml:space="preserve"> v Dowden and Jones v Kernott, in situ</w:t>
      </w:r>
      <w:r w:rsidR="007D0C75" w:rsidRPr="00905592">
        <w:rPr>
          <w:color w:val="000000" w:themeColor="text1"/>
        </w:rPr>
        <w:t>ations involvi</w:t>
      </w:r>
      <w:r w:rsidR="003A1DF4" w:rsidRPr="00905592">
        <w:rPr>
          <w:color w:val="000000" w:themeColor="text1"/>
        </w:rPr>
        <w:t>ng the sole legal ownership</w:t>
      </w:r>
      <w:r w:rsidR="0072498F" w:rsidRPr="00905592">
        <w:rPr>
          <w:color w:val="000000" w:themeColor="text1"/>
        </w:rPr>
        <w:t>, the claimant must show a shared common purpose that she would have a beneficial interest</w:t>
      </w:r>
      <w:r w:rsidR="001F520B" w:rsidRPr="00905592">
        <w:rPr>
          <w:color w:val="000000" w:themeColor="text1"/>
        </w:rPr>
        <w:t>.</w:t>
      </w:r>
      <w:r w:rsidR="00AA6BA9" w:rsidRPr="00905592">
        <w:rPr>
          <w:color w:val="000000" w:themeColor="text1"/>
        </w:rPr>
        <w:t xml:space="preserve"> (Citylawtutors, 2025).</w:t>
      </w:r>
      <w:r w:rsidR="005E0719" w:rsidRPr="00905592">
        <w:rPr>
          <w:color w:val="000000" w:themeColor="text1"/>
        </w:rPr>
        <w:t xml:space="preserve"> According to Grant v</w:t>
      </w:r>
      <w:r w:rsidR="007E35AF" w:rsidRPr="00905592">
        <w:rPr>
          <w:color w:val="000000" w:themeColor="text1"/>
        </w:rPr>
        <w:t xml:space="preserve"> Edwards and Eves v Eves, this purpose must be demonstrated either by a)</w:t>
      </w:r>
      <w:r w:rsidR="00804C2B" w:rsidRPr="00905592">
        <w:rPr>
          <w:color w:val="000000" w:themeColor="text1"/>
        </w:rPr>
        <w:t xml:space="preserve"> </w:t>
      </w:r>
      <w:r w:rsidR="00804C2B" w:rsidRPr="00905592">
        <w:rPr>
          <w:color w:val="000000" w:themeColor="text1"/>
        </w:rPr>
        <w:lastRenderedPageBreak/>
        <w:t>direct conversations or b) inference from behav</w:t>
      </w:r>
      <w:r w:rsidR="00905592" w:rsidRPr="00905592">
        <w:rPr>
          <w:color w:val="000000" w:themeColor="text1"/>
        </w:rPr>
        <w:t>iour “unequivocally referable” to the property. Unilateral belief is not enough. (UOLLB, 2024).</w:t>
      </w:r>
      <w:r w:rsidR="00457A0B">
        <w:rPr>
          <w:color w:val="000000" w:themeColor="text1"/>
        </w:rPr>
        <w:t xml:space="preserve"> </w:t>
      </w:r>
    </w:p>
    <w:p w14:paraId="2AA4C657" w14:textId="77777777" w:rsidR="004713FE" w:rsidRDefault="00457A0B" w:rsidP="00457A0B">
      <w:pPr>
        <w:pStyle w:val="Heading2"/>
        <w:numPr>
          <w:ilvl w:val="0"/>
          <w:numId w:val="0"/>
        </w:numPr>
        <w:ind w:left="680"/>
        <w:rPr>
          <w:color w:val="000000" w:themeColor="text1"/>
        </w:rPr>
      </w:pPr>
      <w:r>
        <w:rPr>
          <w:color w:val="000000" w:themeColor="text1"/>
        </w:rPr>
        <w:t xml:space="preserve">According to </w:t>
      </w:r>
      <w:r w:rsidR="00B75E8D">
        <w:rPr>
          <w:color w:val="000000" w:themeColor="text1"/>
        </w:rPr>
        <w:t>Burns v Burns, household or domestic contributions, such as paying for electricity, daycare, or basic living expen</w:t>
      </w:r>
      <w:r w:rsidR="00CD31B6">
        <w:rPr>
          <w:color w:val="000000" w:themeColor="text1"/>
        </w:rPr>
        <w:t>ses, typically do not reflect a shared desire. (FJG</w:t>
      </w:r>
      <w:r w:rsidR="001D3C18">
        <w:rPr>
          <w:color w:val="000000" w:themeColor="text1"/>
        </w:rPr>
        <w:t>, 2025). According to James v Thomas, courts are cautious</w:t>
      </w:r>
      <w:r w:rsidR="003C073D">
        <w:rPr>
          <w:color w:val="000000" w:themeColor="text1"/>
        </w:rPr>
        <w:t xml:space="preserve"> when applying purpose from marital arrang</w:t>
      </w:r>
      <w:r w:rsidR="00FB0163">
        <w:rPr>
          <w:color w:val="000000" w:themeColor="text1"/>
        </w:rPr>
        <w:t>e</w:t>
      </w:r>
      <w:r w:rsidR="003C073D">
        <w:rPr>
          <w:color w:val="000000" w:themeColor="text1"/>
        </w:rPr>
        <w:t>ments because they understand that actions taken out of love or conven</w:t>
      </w:r>
      <w:r w:rsidR="00555A1F">
        <w:rPr>
          <w:color w:val="000000" w:themeColor="text1"/>
        </w:rPr>
        <w:t>ience do not constitu</w:t>
      </w:r>
      <w:r w:rsidR="00FB0163">
        <w:rPr>
          <w:color w:val="000000" w:themeColor="text1"/>
        </w:rPr>
        <w:t>t</w:t>
      </w:r>
      <w:r w:rsidR="00555A1F">
        <w:rPr>
          <w:color w:val="000000" w:themeColor="text1"/>
        </w:rPr>
        <w:t>e financial contributio</w:t>
      </w:r>
      <w:r w:rsidR="00FB0163">
        <w:rPr>
          <w:color w:val="000000" w:themeColor="text1"/>
        </w:rPr>
        <w:t>ns. (Casemine, 2023)</w:t>
      </w:r>
      <w:r w:rsidR="00C84DD1">
        <w:rPr>
          <w:color w:val="000000" w:themeColor="text1"/>
        </w:rPr>
        <w:t>.</w:t>
      </w:r>
      <w:r w:rsidR="00933D2B">
        <w:rPr>
          <w:color w:val="000000" w:themeColor="text1"/>
        </w:rPr>
        <w:t xml:space="preserve"> </w:t>
      </w:r>
    </w:p>
    <w:p w14:paraId="708FA5B6" w14:textId="5D088DD6" w:rsidR="00E415F3" w:rsidRPr="001130D8" w:rsidRDefault="00933D2B" w:rsidP="001130D8">
      <w:pPr>
        <w:pStyle w:val="Heading2"/>
        <w:numPr>
          <w:ilvl w:val="0"/>
          <w:numId w:val="0"/>
        </w:numPr>
        <w:ind w:left="680"/>
        <w:rPr>
          <w:color w:val="000000" w:themeColor="text1"/>
        </w:rPr>
      </w:pPr>
      <w:r>
        <w:rPr>
          <w:color w:val="000000" w:themeColor="text1"/>
        </w:rPr>
        <w:t>According to Lloyds Bank v R</w:t>
      </w:r>
      <w:r w:rsidR="00721224">
        <w:rPr>
          <w:color w:val="000000" w:themeColor="text1"/>
        </w:rPr>
        <w:t>osset</w:t>
      </w:r>
      <w:r w:rsidR="005A32E9">
        <w:rPr>
          <w:color w:val="000000" w:themeColor="text1"/>
        </w:rPr>
        <w:t>, contributions must be directly related to the purchase</w:t>
      </w:r>
      <w:r w:rsidR="004713FE">
        <w:rPr>
          <w:color w:val="000000" w:themeColor="text1"/>
        </w:rPr>
        <w:t>, mortgage, or major improvement of the property. (</w:t>
      </w:r>
      <w:proofErr w:type="spellStart"/>
      <w:r w:rsidR="004713FE">
        <w:rPr>
          <w:color w:val="000000" w:themeColor="text1"/>
        </w:rPr>
        <w:t>Vlex</w:t>
      </w:r>
      <w:proofErr w:type="spellEnd"/>
      <w:r w:rsidR="004713FE">
        <w:rPr>
          <w:color w:val="000000" w:themeColor="text1"/>
        </w:rPr>
        <w:t>, 2025).</w:t>
      </w:r>
      <w:r w:rsidR="0090365C">
        <w:rPr>
          <w:color w:val="000000" w:themeColor="text1"/>
        </w:rPr>
        <w:t xml:space="preserve"> According to Geary v </w:t>
      </w:r>
      <w:proofErr w:type="spellStart"/>
      <w:r w:rsidR="0090365C">
        <w:rPr>
          <w:color w:val="000000" w:themeColor="text1"/>
        </w:rPr>
        <w:t>Rankie</w:t>
      </w:r>
      <w:proofErr w:type="spellEnd"/>
      <w:r w:rsidR="0090365C">
        <w:rPr>
          <w:color w:val="000000" w:themeColor="text1"/>
        </w:rPr>
        <w:t>, a contribution that just makes it possible for the legal owner to ful</w:t>
      </w:r>
      <w:r w:rsidR="00CF124B">
        <w:rPr>
          <w:color w:val="000000" w:themeColor="text1"/>
        </w:rPr>
        <w:t>fil financial responsibilities is insufficient. There is no disagreement about the leg</w:t>
      </w:r>
      <w:r w:rsidR="001130D8">
        <w:rPr>
          <w:color w:val="000000" w:themeColor="text1"/>
        </w:rPr>
        <w:t>islation; the problem is how it should be applied. (IPSA, 2022).</w:t>
      </w:r>
    </w:p>
    <w:p w14:paraId="0808BE11" w14:textId="77777777" w:rsidR="005F216E" w:rsidRPr="009D531E" w:rsidRDefault="005F216E" w:rsidP="009D531E">
      <w:pPr>
        <w:pStyle w:val="Heading1"/>
      </w:pPr>
      <w:r w:rsidRPr="009D531E">
        <w:t xml:space="preserve">Submissions </w:t>
      </w:r>
    </w:p>
    <w:p w14:paraId="6F5860F6" w14:textId="00E9CEFD" w:rsidR="00500E0B" w:rsidRPr="009828C9" w:rsidRDefault="00500E0B" w:rsidP="009D531E">
      <w:pPr>
        <w:pStyle w:val="Heading2"/>
        <w:rPr>
          <w:color w:val="000000" w:themeColor="text1"/>
        </w:rPr>
      </w:pPr>
      <w:r w:rsidRPr="009828C9">
        <w:rPr>
          <w:color w:val="000000" w:themeColor="text1"/>
        </w:rPr>
        <w:t>The claimant is unable to meet the standard of proving a shared intention. There is no proof that beneficial ownership was specifically discussed. The claimant claims that she “assumed” a shared ownership</w:t>
      </w:r>
      <w:r w:rsidR="007F43A4" w:rsidRPr="009828C9">
        <w:rPr>
          <w:color w:val="000000" w:themeColor="text1"/>
        </w:rPr>
        <w:t xml:space="preserve"> model based on her own expectations rather than a common or stated desire with the defendant.</w:t>
      </w:r>
    </w:p>
    <w:p w14:paraId="1B48F354" w14:textId="32FC90E6" w:rsidR="00F463F8" w:rsidRDefault="008514BC" w:rsidP="007257DD">
      <w:pPr>
        <w:pStyle w:val="Heading2"/>
        <w:numPr>
          <w:ilvl w:val="0"/>
          <w:numId w:val="0"/>
        </w:numPr>
        <w:ind w:left="680"/>
        <w:rPr>
          <w:color w:val="000000" w:themeColor="text1"/>
        </w:rPr>
      </w:pPr>
      <w:r w:rsidRPr="00F463F8">
        <w:rPr>
          <w:color w:val="000000" w:themeColor="text1"/>
        </w:rPr>
        <w:t>The £5,000 contribution does not imply any purpose. This was a donation</w:t>
      </w:r>
      <w:r w:rsidR="006E221D" w:rsidRPr="00F463F8">
        <w:rPr>
          <w:color w:val="000000" w:themeColor="text1"/>
        </w:rPr>
        <w:t xml:space="preserve"> to shared living expenses during a period of financial hardship, according to the evidence</w:t>
      </w:r>
      <w:r w:rsidR="00F463F8" w:rsidRPr="00F463F8">
        <w:rPr>
          <w:color w:val="000000" w:themeColor="text1"/>
        </w:rPr>
        <w:t>. It had no impact on the mortgage arrangement, was not paid to the conveyancer, and was not offered as a deposit contribution. According to Burns v Burns, supporting or indirect contributions are not enough. (FJG, 2025).</w:t>
      </w:r>
    </w:p>
    <w:p w14:paraId="1F4F02D8" w14:textId="77777777" w:rsidR="008D2B09" w:rsidRDefault="003D266B" w:rsidP="007257DD">
      <w:pPr>
        <w:pStyle w:val="Heading2"/>
        <w:numPr>
          <w:ilvl w:val="0"/>
          <w:numId w:val="0"/>
        </w:numPr>
        <w:ind w:left="680"/>
        <w:rPr>
          <w:color w:val="000000" w:themeColor="text1"/>
        </w:rPr>
      </w:pPr>
      <w:r>
        <w:rPr>
          <w:color w:val="000000" w:themeColor="text1"/>
        </w:rPr>
        <w:t xml:space="preserve">According to </w:t>
      </w:r>
      <w:r w:rsidR="000F6367">
        <w:rPr>
          <w:color w:val="000000" w:themeColor="text1"/>
        </w:rPr>
        <w:t xml:space="preserve">FJG (2025) and </w:t>
      </w:r>
      <w:r w:rsidR="001B3EEF">
        <w:rPr>
          <w:color w:val="000000" w:themeColor="text1"/>
        </w:rPr>
        <w:t>IPSA (2022)</w:t>
      </w:r>
      <w:r w:rsidR="00F67DD3">
        <w:rPr>
          <w:color w:val="000000" w:themeColor="text1"/>
        </w:rPr>
        <w:t>,</w:t>
      </w:r>
      <w:r w:rsidR="00B006A0">
        <w:rPr>
          <w:color w:val="000000" w:themeColor="text1"/>
        </w:rPr>
        <w:t xml:space="preserve"> the claimant’s reliance on contributions into the joint account and home bills is unsuccessful. These payments were not applied to the property’s capital value or the mortgage. </w:t>
      </w:r>
      <w:r w:rsidR="00B006A0">
        <w:rPr>
          <w:color w:val="000000" w:themeColor="text1"/>
        </w:rPr>
        <w:lastRenderedPageBreak/>
        <w:t>Their chara</w:t>
      </w:r>
      <w:r w:rsidR="008D2B09">
        <w:rPr>
          <w:color w:val="000000" w:themeColor="text1"/>
        </w:rPr>
        <w:t>c</w:t>
      </w:r>
      <w:r w:rsidR="00B006A0">
        <w:rPr>
          <w:color w:val="000000" w:themeColor="text1"/>
        </w:rPr>
        <w:t>ter and intent match the kinds of contributions that were repeat</w:t>
      </w:r>
      <w:r w:rsidR="005A4C24">
        <w:rPr>
          <w:color w:val="000000" w:themeColor="text1"/>
        </w:rPr>
        <w:t>edly turned down in Burns v</w:t>
      </w:r>
      <w:r w:rsidR="00AB5D70">
        <w:rPr>
          <w:color w:val="000000" w:themeColor="text1"/>
        </w:rPr>
        <w:t xml:space="preserve"> </w:t>
      </w:r>
      <w:r w:rsidR="008D2B09">
        <w:rPr>
          <w:color w:val="000000" w:themeColor="text1"/>
        </w:rPr>
        <w:t>Burns and Geary v Rankine.</w:t>
      </w:r>
    </w:p>
    <w:p w14:paraId="72C7AAB0" w14:textId="680E9F26" w:rsidR="009828C9" w:rsidRPr="00220742" w:rsidRDefault="008D2B09" w:rsidP="00220742">
      <w:pPr>
        <w:pStyle w:val="Heading2"/>
        <w:numPr>
          <w:ilvl w:val="0"/>
          <w:numId w:val="0"/>
        </w:numPr>
        <w:ind w:left="680"/>
        <w:rPr>
          <w:color w:val="000000" w:themeColor="text1"/>
        </w:rPr>
      </w:pPr>
      <w:r>
        <w:rPr>
          <w:color w:val="000000" w:themeColor="text1"/>
        </w:rPr>
        <w:t xml:space="preserve"> </w:t>
      </w:r>
      <w:r w:rsidR="00637986">
        <w:rPr>
          <w:color w:val="000000" w:themeColor="text1"/>
        </w:rPr>
        <w:t>The</w:t>
      </w:r>
      <w:r w:rsidR="004611F0">
        <w:rPr>
          <w:color w:val="000000" w:themeColor="text1"/>
        </w:rPr>
        <w:t xml:space="preserve"> </w:t>
      </w:r>
      <w:r w:rsidR="00637986">
        <w:rPr>
          <w:color w:val="000000" w:themeColor="text1"/>
        </w:rPr>
        <w:t>parties’</w:t>
      </w:r>
      <w:r w:rsidR="004611F0">
        <w:rPr>
          <w:color w:val="000000" w:themeColor="text1"/>
        </w:rPr>
        <w:t xml:space="preserve"> </w:t>
      </w:r>
      <w:r w:rsidR="00637986">
        <w:rPr>
          <w:color w:val="000000" w:themeColor="text1"/>
        </w:rPr>
        <w:t>financial</w:t>
      </w:r>
      <w:r w:rsidR="004611F0">
        <w:rPr>
          <w:color w:val="000000" w:themeColor="text1"/>
        </w:rPr>
        <w:t xml:space="preserve"> </w:t>
      </w:r>
      <w:r w:rsidR="00637986">
        <w:rPr>
          <w:color w:val="000000" w:themeColor="text1"/>
        </w:rPr>
        <w:t>arrangement</w:t>
      </w:r>
      <w:r w:rsidR="004611F0">
        <w:rPr>
          <w:color w:val="000000" w:themeColor="text1"/>
        </w:rPr>
        <w:t>s strongly</w:t>
      </w:r>
      <w:r w:rsidR="00EA4977">
        <w:rPr>
          <w:color w:val="000000" w:themeColor="text1"/>
        </w:rPr>
        <w:t xml:space="preserve"> reject </w:t>
      </w:r>
      <w:r w:rsidR="00637986">
        <w:rPr>
          <w:color w:val="000000" w:themeColor="text1"/>
        </w:rPr>
        <w:t>an</w:t>
      </w:r>
      <w:r w:rsidR="00EA4977">
        <w:rPr>
          <w:color w:val="000000" w:themeColor="text1"/>
        </w:rPr>
        <w:t xml:space="preserve">y </w:t>
      </w:r>
      <w:r w:rsidR="00637986">
        <w:rPr>
          <w:color w:val="000000" w:themeColor="text1"/>
        </w:rPr>
        <w:t>desir</w:t>
      </w:r>
      <w:r w:rsidR="00EA4977">
        <w:rPr>
          <w:color w:val="000000" w:themeColor="text1"/>
        </w:rPr>
        <w:t xml:space="preserve">e </w:t>
      </w:r>
      <w:r w:rsidR="00637986">
        <w:rPr>
          <w:color w:val="000000" w:themeColor="text1"/>
        </w:rPr>
        <w:t>to</w:t>
      </w:r>
      <w:r w:rsidR="00EA4977">
        <w:rPr>
          <w:color w:val="000000" w:themeColor="text1"/>
        </w:rPr>
        <w:t xml:space="preserve"> </w:t>
      </w:r>
      <w:r w:rsidR="00637986">
        <w:rPr>
          <w:color w:val="000000" w:themeColor="text1"/>
        </w:rPr>
        <w:t>share</w:t>
      </w:r>
      <w:r w:rsidR="00EA4977">
        <w:rPr>
          <w:color w:val="000000" w:themeColor="text1"/>
        </w:rPr>
        <w:t xml:space="preserve"> </w:t>
      </w:r>
      <w:r w:rsidR="00637986">
        <w:rPr>
          <w:color w:val="000000" w:themeColor="text1"/>
        </w:rPr>
        <w:t>ownership</w:t>
      </w:r>
      <w:r w:rsidR="00EA4977">
        <w:rPr>
          <w:color w:val="000000" w:themeColor="text1"/>
        </w:rPr>
        <w:t>. (GOV.UK, 2024). The Claimant never requested visibility</w:t>
      </w:r>
      <w:r w:rsidR="00EF5116">
        <w:rPr>
          <w:color w:val="000000" w:themeColor="text1"/>
        </w:rPr>
        <w:t xml:space="preserve"> into or access to the Defendant’s separate mortgage account. According to Stack v Dowden, financial separation is a significant indi</w:t>
      </w:r>
      <w:r w:rsidR="00924C05">
        <w:rPr>
          <w:color w:val="000000" w:themeColor="text1"/>
        </w:rPr>
        <w:t>cator of separate ownership. (Citylawtutors, 2025).</w:t>
      </w:r>
      <w:r w:rsidR="000F0376">
        <w:rPr>
          <w:color w:val="000000" w:themeColor="text1"/>
        </w:rPr>
        <w:t xml:space="preserve"> </w:t>
      </w:r>
    </w:p>
    <w:p w14:paraId="07741E18" w14:textId="77777777" w:rsidR="0073618B" w:rsidRDefault="00C339E7" w:rsidP="0073618B">
      <w:pPr>
        <w:pStyle w:val="Heading2"/>
        <w:numPr>
          <w:ilvl w:val="0"/>
          <w:numId w:val="0"/>
        </w:numPr>
        <w:ind w:left="680"/>
        <w:rPr>
          <w:color w:val="000000" w:themeColor="text1"/>
        </w:rPr>
      </w:pPr>
      <w:r w:rsidRPr="00C339E7">
        <w:rPr>
          <w:color w:val="000000" w:themeColor="text1"/>
        </w:rPr>
        <w:t xml:space="preserve">Expressions </w:t>
      </w:r>
      <w:r>
        <w:rPr>
          <w:color w:val="000000" w:themeColor="text1"/>
        </w:rPr>
        <w:t>like “this is our home” do not provide evidence of a shared ownership intention. In James v Thomas, the court ruled that relational language about a shared life or future goals does not imply private purpose. (Casemine, 2023).</w:t>
      </w:r>
      <w:r w:rsidR="0073618B">
        <w:rPr>
          <w:color w:val="000000" w:themeColor="text1"/>
        </w:rPr>
        <w:t xml:space="preserve"> </w:t>
      </w:r>
    </w:p>
    <w:p w14:paraId="2CD633CF" w14:textId="77777777" w:rsidR="00E3594E" w:rsidRDefault="0073618B" w:rsidP="0073618B">
      <w:pPr>
        <w:pStyle w:val="Heading2"/>
        <w:numPr>
          <w:ilvl w:val="0"/>
          <w:numId w:val="0"/>
        </w:numPr>
        <w:ind w:left="680"/>
        <w:rPr>
          <w:color w:val="000000" w:themeColor="text1"/>
        </w:rPr>
      </w:pPr>
      <w:r>
        <w:rPr>
          <w:color w:val="000000" w:themeColor="text1"/>
        </w:rPr>
        <w:t>The claimant may argue that shared ownership is implied by the dynamics of the partnership, the time of living together, and joint parenting. Relationship factors, however</w:t>
      </w:r>
      <w:r w:rsidR="000153A8">
        <w:rPr>
          <w:color w:val="000000" w:themeColor="text1"/>
        </w:rPr>
        <w:t>, are unable to close evidential gaps in cases when the legal test requires evidence of a specific ownership purpose.</w:t>
      </w:r>
      <w:r w:rsidR="009D7C78">
        <w:rPr>
          <w:color w:val="000000" w:themeColor="text1"/>
        </w:rPr>
        <w:t xml:space="preserve"> (GOV.UK</w:t>
      </w:r>
      <w:r w:rsidR="00EB39F6">
        <w:rPr>
          <w:color w:val="000000" w:themeColor="text1"/>
        </w:rPr>
        <w:t>,2024).</w:t>
      </w:r>
      <w:r w:rsidR="00E3594E">
        <w:rPr>
          <w:color w:val="000000" w:themeColor="text1"/>
        </w:rPr>
        <w:t xml:space="preserve"> </w:t>
      </w:r>
    </w:p>
    <w:p w14:paraId="7B785BB0" w14:textId="783A67BE" w:rsidR="00E3594E" w:rsidRPr="001F0522" w:rsidRDefault="00E3594E" w:rsidP="001F0522">
      <w:pPr>
        <w:pStyle w:val="Heading2"/>
        <w:numPr>
          <w:ilvl w:val="0"/>
          <w:numId w:val="0"/>
        </w:numPr>
        <w:ind w:left="680"/>
        <w:rPr>
          <w:color w:val="000000" w:themeColor="text1"/>
        </w:rPr>
      </w:pPr>
      <w:r>
        <w:rPr>
          <w:color w:val="000000" w:themeColor="text1"/>
        </w:rPr>
        <w:t>It is insufficient and not suitably referable to the ac</w:t>
      </w:r>
      <w:r w:rsidR="006E0719">
        <w:rPr>
          <w:color w:val="000000" w:themeColor="text1"/>
        </w:rPr>
        <w:t>quisition, even if the Court were to establish some kind of harm. A</w:t>
      </w:r>
      <w:r w:rsidR="001F0522">
        <w:rPr>
          <w:color w:val="000000" w:themeColor="text1"/>
        </w:rPr>
        <w:t xml:space="preserve"> constructive trust cannot be created by harm in the absence of a demonstrated shared aim; therefore, the allegation must be false.</w:t>
      </w:r>
    </w:p>
    <w:p w14:paraId="22F84A5B" w14:textId="77777777" w:rsidR="005F216E" w:rsidRPr="009D531E" w:rsidRDefault="005F216E" w:rsidP="009D531E">
      <w:pPr>
        <w:pStyle w:val="Heading1"/>
      </w:pPr>
      <w:r w:rsidRPr="009D531E">
        <w:t xml:space="preserve">Conclusions </w:t>
      </w:r>
    </w:p>
    <w:p w14:paraId="14C9FBB6" w14:textId="12BD6303" w:rsidR="00D21098" w:rsidRPr="00674F24" w:rsidRDefault="00D21098" w:rsidP="009D531E">
      <w:pPr>
        <w:pStyle w:val="Heading2"/>
        <w:rPr>
          <w:color w:val="000000" w:themeColor="text1"/>
        </w:rPr>
      </w:pPr>
      <w:r w:rsidRPr="00674F24">
        <w:rPr>
          <w:color w:val="000000" w:themeColor="text1"/>
        </w:rPr>
        <w:t xml:space="preserve">The claimant is unable to prove a meaningful harm or a shared purpose. The defendant continues to be the only beneficial and legal owner, and no constructive </w:t>
      </w:r>
      <w:r w:rsidR="00674F24" w:rsidRPr="00674F24">
        <w:rPr>
          <w:color w:val="000000" w:themeColor="text1"/>
        </w:rPr>
        <w:t>trust develops.</w:t>
      </w:r>
    </w:p>
    <w:p w14:paraId="3FA2DFDB" w14:textId="77777777" w:rsidR="005F216E" w:rsidRPr="009D531E" w:rsidRDefault="005F216E" w:rsidP="00674F24">
      <w:pPr>
        <w:pStyle w:val="Heading1"/>
        <w:numPr>
          <w:ilvl w:val="0"/>
          <w:numId w:val="0"/>
        </w:numPr>
        <w:rPr>
          <w:rStyle w:val="SubtleEmphasis"/>
          <w:b/>
          <w:iCs w:val="0"/>
        </w:rPr>
      </w:pPr>
      <w:r w:rsidRPr="009D531E">
        <w:rPr>
          <w:rStyle w:val="SubtleEmphasis"/>
          <w:b/>
          <w:iCs w:val="0"/>
        </w:rPr>
        <w:t xml:space="preserve">Claim arising under a proprietary estoppel </w:t>
      </w:r>
    </w:p>
    <w:p w14:paraId="6672ADB9" w14:textId="77777777" w:rsidR="005F216E" w:rsidRPr="009D531E" w:rsidRDefault="005F216E" w:rsidP="009D531E">
      <w:pPr>
        <w:pStyle w:val="Heading1"/>
      </w:pPr>
      <w:r w:rsidRPr="009D531E">
        <w:t xml:space="preserve">The law </w:t>
      </w:r>
    </w:p>
    <w:p w14:paraId="3FAA26FD" w14:textId="77777777" w:rsidR="006A4635" w:rsidRDefault="00F45FD6" w:rsidP="00F45FD6">
      <w:pPr>
        <w:pStyle w:val="Heading2"/>
        <w:rPr>
          <w:color w:val="000000" w:themeColor="text1"/>
        </w:rPr>
      </w:pPr>
      <w:r w:rsidRPr="00127808">
        <w:rPr>
          <w:color w:val="000000" w:themeColor="text1"/>
        </w:rPr>
        <w:t xml:space="preserve">Three requirements must be met for proprietary estoppel: 1) an unambiguous guarantee,2) reliance, and 3) harm sustained. (LexisNexis, 2025). In Thorner v Major, the court established that a claimant may rely on unofficial property guarantees, provided they are sufficiently explicit, the claimant acts in reliance </w:t>
      </w:r>
      <w:r w:rsidRPr="00127808">
        <w:rPr>
          <w:color w:val="000000" w:themeColor="text1"/>
        </w:rPr>
        <w:lastRenderedPageBreak/>
        <w:t xml:space="preserve">on them, and the claimant experiences a negative outcome. (Parliament.uk, 2024). </w:t>
      </w:r>
      <w:r w:rsidR="00E447BA">
        <w:rPr>
          <w:color w:val="000000" w:themeColor="text1"/>
        </w:rPr>
        <w:t>According to James v Th</w:t>
      </w:r>
      <w:r w:rsidR="00FB0BF1">
        <w:rPr>
          <w:color w:val="000000" w:themeColor="text1"/>
        </w:rPr>
        <w:t>omas, ambiguous or relational statements are insuff</w:t>
      </w:r>
      <w:r w:rsidR="00E548E2">
        <w:rPr>
          <w:color w:val="000000" w:themeColor="text1"/>
        </w:rPr>
        <w:t>icient. The guarantee must be specific to the property’s ownership or rights, not just general declarations of commitment.</w:t>
      </w:r>
      <w:r w:rsidR="00BC0D70">
        <w:rPr>
          <w:color w:val="000000" w:themeColor="text1"/>
        </w:rPr>
        <w:t xml:space="preserve"> (Casemine, 2023). </w:t>
      </w:r>
      <w:r w:rsidR="006A4635">
        <w:rPr>
          <w:color w:val="000000" w:themeColor="text1"/>
        </w:rPr>
        <w:t xml:space="preserve">                     </w:t>
      </w:r>
    </w:p>
    <w:p w14:paraId="226184FC" w14:textId="786B1653" w:rsidR="0040237B" w:rsidRPr="006A4635" w:rsidRDefault="00155226" w:rsidP="006A4635">
      <w:pPr>
        <w:pStyle w:val="Heading2"/>
        <w:numPr>
          <w:ilvl w:val="0"/>
          <w:numId w:val="0"/>
        </w:numPr>
        <w:ind w:left="680"/>
        <w:rPr>
          <w:color w:val="000000" w:themeColor="text1"/>
        </w:rPr>
      </w:pPr>
      <w:r>
        <w:rPr>
          <w:color w:val="000000" w:themeColor="text1"/>
        </w:rPr>
        <w:t xml:space="preserve">It must be demonstrated </w:t>
      </w:r>
      <w:r w:rsidR="00285FA3">
        <w:rPr>
          <w:color w:val="000000" w:themeColor="text1"/>
        </w:rPr>
        <w:t xml:space="preserve">that reliance comes from the </w:t>
      </w:r>
      <w:r w:rsidR="006A4635">
        <w:rPr>
          <w:color w:val="000000" w:themeColor="text1"/>
        </w:rPr>
        <w:t>guarantees</w:t>
      </w:r>
      <w:r w:rsidR="00285FA3">
        <w:rPr>
          <w:color w:val="000000" w:themeColor="text1"/>
        </w:rPr>
        <w:t xml:space="preserve"> rather than from</w:t>
      </w:r>
      <w:r w:rsidR="006B7EFD">
        <w:rPr>
          <w:color w:val="000000" w:themeColor="text1"/>
        </w:rPr>
        <w:t xml:space="preserve"> cohabitation or relationship expectations. For cohabiting couples, harm must be </w:t>
      </w:r>
      <w:r w:rsidR="00C311EF">
        <w:rPr>
          <w:color w:val="000000" w:themeColor="text1"/>
        </w:rPr>
        <w:t>significant and “out of the ordinary.” According to Jennings v Rice, if estoppel is shown, the remedy must be reasonable</w:t>
      </w:r>
      <w:r w:rsidR="00224158">
        <w:rPr>
          <w:color w:val="000000" w:themeColor="text1"/>
        </w:rPr>
        <w:t xml:space="preserve"> and offer just the bare minimum of equity to achieve justice. (Casemine, 2023</w:t>
      </w:r>
      <w:r w:rsidR="006A4635">
        <w:rPr>
          <w:color w:val="000000" w:themeColor="text1"/>
        </w:rPr>
        <w:t xml:space="preserve">b). </w:t>
      </w:r>
    </w:p>
    <w:p w14:paraId="3C3827A7" w14:textId="77777777" w:rsidR="005F216E" w:rsidRPr="009D531E" w:rsidRDefault="005F216E" w:rsidP="009D531E">
      <w:pPr>
        <w:pStyle w:val="Heading1"/>
      </w:pPr>
      <w:r w:rsidRPr="009D531E">
        <w:t xml:space="preserve">Submissions </w:t>
      </w:r>
    </w:p>
    <w:p w14:paraId="2638351B" w14:textId="77777777" w:rsidR="00DF2AE2" w:rsidRDefault="00DF2AE2" w:rsidP="00DF2AE2">
      <w:pPr>
        <w:pStyle w:val="Heading2"/>
        <w:rPr>
          <w:color w:val="000000" w:themeColor="text1"/>
        </w:rPr>
      </w:pPr>
      <w:r w:rsidRPr="006224C1">
        <w:rPr>
          <w:color w:val="000000" w:themeColor="text1"/>
        </w:rPr>
        <w:t>The defendant did not make any clear promises. The claimant relied upon promises, such as “this is our home” and “ we’re building a future together,” which are relational statements that reflect emotional connection rather than ownership.</w:t>
      </w:r>
      <w:r>
        <w:rPr>
          <w:color w:val="000000" w:themeColor="text1"/>
        </w:rPr>
        <w:t xml:space="preserve"> According to James v Thomas, these claims are too complicated and vague to qualify as ownership guarantees. (Casemine, 2023).                 </w:t>
      </w:r>
    </w:p>
    <w:p w14:paraId="555A19E9" w14:textId="77777777" w:rsidR="00DF2AE2" w:rsidRDefault="00DF2AE2" w:rsidP="00DF2AE2">
      <w:pPr>
        <w:pStyle w:val="Heading2"/>
        <w:numPr>
          <w:ilvl w:val="0"/>
          <w:numId w:val="0"/>
        </w:numPr>
        <w:ind w:left="680"/>
        <w:rPr>
          <w:color w:val="000000" w:themeColor="text1"/>
        </w:rPr>
      </w:pPr>
      <w:r>
        <w:rPr>
          <w:color w:val="000000" w:themeColor="text1"/>
        </w:rPr>
        <w:t xml:space="preserve">The claimant is unable to show reliance. She did not do anything that she would not have done in a long-term relationship. She never gave up her job, did not invest in improvements, did not contribute to the mortgage, and did not undertake any professional sacrifices. For estoppel, regular bill payments are not reliance.                                                                                                      </w:t>
      </w:r>
    </w:p>
    <w:p w14:paraId="7CA0E398" w14:textId="77777777" w:rsidR="00DF2AE2" w:rsidRDefault="00DF2AE2" w:rsidP="00DF2AE2">
      <w:pPr>
        <w:pStyle w:val="Heading2"/>
        <w:numPr>
          <w:ilvl w:val="0"/>
          <w:numId w:val="0"/>
        </w:numPr>
        <w:ind w:left="680"/>
        <w:rPr>
          <w:color w:val="000000" w:themeColor="text1"/>
        </w:rPr>
      </w:pPr>
      <w:r>
        <w:rPr>
          <w:color w:val="000000" w:themeColor="text1"/>
        </w:rPr>
        <w:t xml:space="preserve">The claimed detrimental effect is not sufficient to establish harm, as such effects are commonly encountered in everyday life. Ordinary cohabitation typically involves sharing daily expenses such as food, utility bills, and other living costs, which are standard aspects of such arrangements and do not necessarily indicate any form of harm or unintended consequences. (Weightmans, 2014). According to Casemine (2015) and IPSA (2022), the Courts in Geary v Rankine and Hopkins v Hopkins confirm that such routine household and living expenses, spent in the ordinary course of cohabitation, </w:t>
      </w:r>
      <w:r>
        <w:rPr>
          <w:color w:val="000000" w:themeColor="text1"/>
        </w:rPr>
        <w:lastRenderedPageBreak/>
        <w:t xml:space="preserve">do not amount to legally relevant detriment or harm capable of supporting a proprietary estoppel claim. </w:t>
      </w:r>
    </w:p>
    <w:p w14:paraId="43484A43" w14:textId="77777777" w:rsidR="00DF2AE2" w:rsidRDefault="00DF2AE2" w:rsidP="00DF2AE2">
      <w:pPr>
        <w:pStyle w:val="Heading2"/>
        <w:numPr>
          <w:ilvl w:val="0"/>
          <w:numId w:val="0"/>
        </w:numPr>
        <w:ind w:left="680"/>
        <w:rPr>
          <w:color w:val="000000" w:themeColor="text1"/>
        </w:rPr>
      </w:pPr>
      <w:r>
        <w:rPr>
          <w:color w:val="000000" w:themeColor="text1"/>
        </w:rPr>
        <w:t xml:space="preserve">A proprietary remedy cannot be justified by the £5,000 in detriment. Even if the Court determined that there was just a minor detriment. According to the Jennings v Rice proportionality rule, the remedy must be proportionate to the detriment. This kind of cash contribution is insufficient to support a beneficial interest in a significantly more valuable property. (Casemine,2023b).                                                                          </w:t>
      </w:r>
    </w:p>
    <w:p w14:paraId="4F69ADF4" w14:textId="7418B937" w:rsidR="000C6A65" w:rsidRPr="00DF2AE2" w:rsidRDefault="00DF2AE2" w:rsidP="00DF2AE2">
      <w:pPr>
        <w:pStyle w:val="Heading2"/>
        <w:numPr>
          <w:ilvl w:val="0"/>
          <w:numId w:val="0"/>
        </w:numPr>
        <w:ind w:left="680"/>
        <w:rPr>
          <w:color w:val="000000" w:themeColor="text1"/>
        </w:rPr>
      </w:pPr>
      <w:r>
        <w:rPr>
          <w:color w:val="000000" w:themeColor="text1"/>
        </w:rPr>
        <w:t>In the claimant’s case, regular household arrangements are unlawfully attempted to be converted into property rights. Such a change has no legal foundation unless there is proof of both considerable detriment and clear guarantees, neither of which is proved.</w:t>
      </w:r>
    </w:p>
    <w:p w14:paraId="0A9CE178" w14:textId="77777777" w:rsidR="005F216E" w:rsidRPr="009D531E" w:rsidRDefault="005F216E" w:rsidP="009D531E">
      <w:pPr>
        <w:pStyle w:val="Heading1"/>
      </w:pPr>
      <w:r w:rsidRPr="009D531E">
        <w:t xml:space="preserve">Conclusions </w:t>
      </w:r>
    </w:p>
    <w:p w14:paraId="3F826E65" w14:textId="74B70B0E" w:rsidR="005F216E" w:rsidRPr="00441F21" w:rsidRDefault="00921B25" w:rsidP="009D531E">
      <w:pPr>
        <w:pStyle w:val="Heading2"/>
        <w:rPr>
          <w:color w:val="000000" w:themeColor="text1"/>
        </w:rPr>
      </w:pPr>
      <w:r w:rsidRPr="00441F21">
        <w:rPr>
          <w:color w:val="000000" w:themeColor="text1"/>
        </w:rPr>
        <w:t xml:space="preserve">Proprietary estoppel fails since </w:t>
      </w:r>
      <w:r w:rsidR="00441F21" w:rsidRPr="00441F21">
        <w:rPr>
          <w:color w:val="000000" w:themeColor="text1"/>
        </w:rPr>
        <w:t>there is no clear assurance, reliance, or significant detriment, and the claimant has no equitable interest in the property.</w:t>
      </w:r>
    </w:p>
    <w:p w14:paraId="52F9839E" w14:textId="77777777" w:rsidR="005F216E" w:rsidRPr="009D531E" w:rsidRDefault="005F216E" w:rsidP="009D531E">
      <w:pPr>
        <w:pStyle w:val="Heading1"/>
      </w:pPr>
      <w:r w:rsidRPr="009D531E">
        <w:t xml:space="preserve">Overall conclusions </w:t>
      </w:r>
    </w:p>
    <w:p w14:paraId="493B1E3D" w14:textId="5416BA6A" w:rsidR="005F216E" w:rsidRPr="00F5702E" w:rsidRDefault="00C6792D" w:rsidP="009D531E">
      <w:pPr>
        <w:pStyle w:val="Heading2"/>
        <w:rPr>
          <w:color w:val="000000" w:themeColor="text1"/>
        </w:rPr>
      </w:pPr>
      <w:r w:rsidRPr="00F5702E">
        <w:rPr>
          <w:color w:val="000000" w:themeColor="text1"/>
        </w:rPr>
        <w:t>The claiman</w:t>
      </w:r>
      <w:r w:rsidR="007B1D7F" w:rsidRPr="00F5702E">
        <w:rPr>
          <w:color w:val="000000" w:themeColor="text1"/>
        </w:rPr>
        <w:t>t fails to demonstrate the elements of a proprietary estoppel</w:t>
      </w:r>
      <w:r w:rsidR="00CB3521" w:rsidRPr="00F5702E">
        <w:rPr>
          <w:color w:val="000000" w:themeColor="text1"/>
        </w:rPr>
        <w:t xml:space="preserve"> or a constructive trust. The defendant respectfully </w:t>
      </w:r>
      <w:r w:rsidR="003F783D" w:rsidRPr="00F5702E">
        <w:rPr>
          <w:color w:val="000000" w:themeColor="text1"/>
        </w:rPr>
        <w:t>requests that the claim be completely</w:t>
      </w:r>
      <w:r w:rsidR="00F5702E" w:rsidRPr="00F5702E">
        <w:rPr>
          <w:color w:val="000000" w:themeColor="text1"/>
        </w:rPr>
        <w:t xml:space="preserve"> dismissed and that the court verify her exclusive beneficial ownership of the property.</w:t>
      </w:r>
    </w:p>
    <w:p w14:paraId="3B1553C5" w14:textId="495300A1" w:rsidR="005F216E" w:rsidRDefault="009E464C" w:rsidP="00D62530">
      <w:pPr>
        <w:spacing w:line="360" w:lineRule="auto"/>
        <w:jc w:val="right"/>
        <w:rPr>
          <w:rFonts w:asciiTheme="majorHAnsi" w:hAnsiTheme="majorHAnsi" w:cstheme="majorHAnsi"/>
          <w:b/>
          <w:bCs/>
        </w:rPr>
      </w:pPr>
      <w:r>
        <w:rPr>
          <w:rFonts w:asciiTheme="majorHAnsi" w:hAnsiTheme="majorHAnsi" w:cstheme="majorHAnsi"/>
          <w:b/>
          <w:bCs/>
        </w:rPr>
        <w:t>Diana Demeterova</w:t>
      </w:r>
    </w:p>
    <w:p w14:paraId="0ADC9468" w14:textId="001EE4A5" w:rsidR="00D62530" w:rsidRPr="00D62530" w:rsidRDefault="009E464C" w:rsidP="00773A3C">
      <w:pPr>
        <w:spacing w:line="360" w:lineRule="auto"/>
        <w:jc w:val="right"/>
        <w:rPr>
          <w:rFonts w:asciiTheme="majorHAnsi" w:hAnsiTheme="majorHAnsi" w:cstheme="majorHAnsi"/>
          <w:b/>
          <w:bCs/>
        </w:rPr>
      </w:pPr>
      <w:r>
        <w:rPr>
          <w:rFonts w:asciiTheme="majorHAnsi" w:hAnsiTheme="majorHAnsi" w:cstheme="majorHAnsi"/>
          <w:b/>
          <w:bCs/>
        </w:rPr>
        <w:t>Defendant Represent</w:t>
      </w:r>
    </w:p>
    <w:p w14:paraId="7E25C8BA" w14:textId="13EA7EAF"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Date</w:t>
      </w:r>
      <w:r w:rsidR="00773A3C">
        <w:rPr>
          <w:rFonts w:asciiTheme="majorHAnsi" w:hAnsiTheme="majorHAnsi" w:cstheme="majorHAnsi"/>
          <w:b/>
          <w:bCs/>
        </w:rPr>
        <w:t>: 29.12.2025</w:t>
      </w:r>
    </w:p>
    <w:p w14:paraId="59D9D6F6" w14:textId="77777777" w:rsidR="00D62530" w:rsidRDefault="00D62530" w:rsidP="009D531E">
      <w:pPr>
        <w:spacing w:line="360" w:lineRule="auto"/>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Default="0003621E">
      <w:pPr>
        <w:rPr>
          <w:rFonts w:asciiTheme="minorHAnsi" w:hAnsiTheme="minorHAnsi" w:cstheme="minorHAnsi"/>
          <w:b/>
          <w:bCs/>
        </w:rPr>
      </w:pPr>
      <w:r w:rsidRPr="0003621E">
        <w:rPr>
          <w:rFonts w:asciiTheme="minorHAnsi" w:hAnsiTheme="minorHAnsi" w:cstheme="minorHAnsi"/>
          <w:b/>
          <w:bCs/>
        </w:rPr>
        <w:lastRenderedPageBreak/>
        <w:t>Case note</w:t>
      </w:r>
    </w:p>
    <w:p w14:paraId="6E60BBB7" w14:textId="77777777" w:rsidR="0003621E" w:rsidRDefault="0003621E">
      <w:pPr>
        <w:rPr>
          <w:rFonts w:asciiTheme="minorHAnsi" w:hAnsiTheme="minorHAnsi" w:cstheme="minorHAnsi"/>
          <w:b/>
          <w:bCs/>
        </w:rPr>
      </w:pPr>
    </w:p>
    <w:p w14:paraId="4F8C09E8" w14:textId="36A57213" w:rsidR="008912EA" w:rsidRPr="0051383F" w:rsidRDefault="008912EA"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Case Name</w:t>
      </w:r>
      <w:r w:rsidR="00E34995">
        <w:rPr>
          <w:rFonts w:asciiTheme="minorHAnsi" w:hAnsiTheme="minorHAnsi" w:cstheme="minorHAnsi"/>
          <w:b/>
          <w:bCs/>
          <w:color w:val="000000" w:themeColor="text1"/>
        </w:rPr>
        <w:t xml:space="preserve">: </w:t>
      </w:r>
      <w:r w:rsidR="00415FF6" w:rsidRPr="0051383F">
        <w:rPr>
          <w:rFonts w:asciiTheme="minorHAnsi" w:hAnsiTheme="minorHAnsi" w:cstheme="minorHAnsi"/>
          <w:b/>
          <w:bCs/>
          <w:color w:val="000000" w:themeColor="text1"/>
        </w:rPr>
        <w:t>James v Thomas</w:t>
      </w:r>
    </w:p>
    <w:p w14:paraId="2C61F804" w14:textId="041604FE" w:rsidR="008912EA" w:rsidRPr="0051383F" w:rsidRDefault="008912EA"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Citation</w:t>
      </w:r>
      <w:r w:rsidR="00E34995">
        <w:rPr>
          <w:rFonts w:asciiTheme="minorHAnsi" w:hAnsiTheme="minorHAnsi" w:cstheme="minorHAnsi"/>
          <w:b/>
          <w:bCs/>
          <w:color w:val="000000" w:themeColor="text1"/>
        </w:rPr>
        <w:t>:</w:t>
      </w:r>
      <w:r w:rsidR="00415FF6" w:rsidRPr="0051383F">
        <w:rPr>
          <w:rFonts w:asciiTheme="minorHAnsi" w:hAnsiTheme="minorHAnsi" w:cstheme="minorHAnsi"/>
          <w:b/>
          <w:bCs/>
          <w:color w:val="000000" w:themeColor="text1"/>
        </w:rPr>
        <w:t xml:space="preserve"> [2007] EWCA Civ 1212</w:t>
      </w:r>
    </w:p>
    <w:p w14:paraId="43A22AF8" w14:textId="62B070F1" w:rsidR="001A6CEE" w:rsidRPr="00483FF3" w:rsidRDefault="009A4560"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Court of Appeal (Civil Division)</w:t>
      </w:r>
    </w:p>
    <w:p w14:paraId="17C74CC6" w14:textId="77777777" w:rsidR="001A6CEE" w:rsidRPr="001A6CEE" w:rsidRDefault="001A6CEE" w:rsidP="008912EA">
      <w:pPr>
        <w:jc w:val="center"/>
        <w:rPr>
          <w:rFonts w:asciiTheme="minorHAnsi" w:hAnsiTheme="minorHAnsi" w:cstheme="minorHAnsi"/>
          <w:b/>
          <w:bCs/>
          <w:color w:val="002060"/>
        </w:rPr>
      </w:pPr>
    </w:p>
    <w:p w14:paraId="6BBE8D0D" w14:textId="77777777" w:rsidR="008912EA" w:rsidRDefault="008912EA" w:rsidP="008912EA">
      <w:pPr>
        <w:rPr>
          <w:rFonts w:asciiTheme="minorHAnsi" w:hAnsiTheme="minorHAnsi" w:cstheme="minorHAnsi"/>
          <w:b/>
          <w:bCs/>
        </w:rPr>
      </w:pPr>
      <w:r>
        <w:rPr>
          <w:rFonts w:asciiTheme="minorHAnsi" w:hAnsiTheme="minorHAnsi" w:cstheme="minorHAnsi"/>
          <w:b/>
          <w:bCs/>
        </w:rPr>
        <w:t>Parties</w:t>
      </w:r>
    </w:p>
    <w:p w14:paraId="5A375804" w14:textId="176D2FD1" w:rsidR="001A6CEE" w:rsidRPr="00483FF3" w:rsidRDefault="00483FF3" w:rsidP="00483FF3">
      <w:pPr>
        <w:spacing w:line="276" w:lineRule="auto"/>
        <w:rPr>
          <w:rFonts w:asciiTheme="minorHAnsi" w:hAnsiTheme="minorHAnsi" w:cstheme="minorHAnsi"/>
          <w:color w:val="000000" w:themeColor="text1"/>
        </w:rPr>
      </w:pPr>
      <w:r w:rsidRPr="00483FF3">
        <w:rPr>
          <w:rFonts w:asciiTheme="minorHAnsi" w:hAnsiTheme="minorHAnsi" w:cstheme="minorHAnsi"/>
          <w:color w:val="000000" w:themeColor="text1"/>
        </w:rPr>
        <w:t>Catherine James (Appellant)</w:t>
      </w:r>
    </w:p>
    <w:p w14:paraId="41F667AA" w14:textId="532B4928" w:rsidR="008912EA" w:rsidRPr="00483FF3" w:rsidRDefault="00483FF3" w:rsidP="00483FF3">
      <w:pPr>
        <w:spacing w:line="276" w:lineRule="auto"/>
        <w:rPr>
          <w:rFonts w:asciiTheme="minorHAnsi" w:hAnsiTheme="minorHAnsi" w:cstheme="minorHAnsi"/>
          <w:color w:val="000000" w:themeColor="text1"/>
        </w:rPr>
      </w:pPr>
      <w:r w:rsidRPr="00483FF3">
        <w:rPr>
          <w:rFonts w:asciiTheme="minorHAnsi" w:hAnsiTheme="minorHAnsi" w:cstheme="minorHAnsi"/>
          <w:color w:val="000000" w:themeColor="text1"/>
        </w:rPr>
        <w:t>Dylan Thomas (Respondent)</w:t>
      </w:r>
    </w:p>
    <w:p w14:paraId="76D08C93" w14:textId="77777777" w:rsidR="00483FF3" w:rsidRDefault="00483FF3" w:rsidP="008912EA">
      <w:pPr>
        <w:rPr>
          <w:rFonts w:asciiTheme="minorHAnsi" w:hAnsiTheme="minorHAnsi" w:cstheme="minorHAnsi"/>
          <w:b/>
          <w:bCs/>
        </w:rPr>
      </w:pPr>
    </w:p>
    <w:p w14:paraId="1A4CBE6D" w14:textId="5E641E97" w:rsidR="008912EA" w:rsidRDefault="008912EA" w:rsidP="008912EA">
      <w:pPr>
        <w:rPr>
          <w:rFonts w:asciiTheme="minorHAnsi" w:hAnsiTheme="minorHAnsi" w:cstheme="minorHAnsi"/>
          <w:b/>
          <w:bCs/>
        </w:rPr>
      </w:pPr>
      <w:r>
        <w:rPr>
          <w:rFonts w:asciiTheme="minorHAnsi" w:hAnsiTheme="minorHAnsi" w:cstheme="minorHAnsi"/>
          <w:b/>
          <w:bCs/>
        </w:rPr>
        <w:t>Procedural History</w:t>
      </w:r>
    </w:p>
    <w:p w14:paraId="60D4EF14" w14:textId="77777777" w:rsidR="003309AF" w:rsidRDefault="003309AF" w:rsidP="008912EA">
      <w:pPr>
        <w:rPr>
          <w:rFonts w:asciiTheme="minorHAnsi" w:hAnsiTheme="minorHAnsi" w:cstheme="minorHAnsi"/>
        </w:rPr>
      </w:pPr>
    </w:p>
    <w:p w14:paraId="56CFE898" w14:textId="58FB7ED7" w:rsidR="00B45659" w:rsidRPr="00B45659" w:rsidRDefault="003309AF" w:rsidP="008912EA">
      <w:pPr>
        <w:rPr>
          <w:rFonts w:asciiTheme="minorHAnsi" w:hAnsiTheme="minorHAnsi" w:cstheme="minorHAnsi"/>
        </w:rPr>
      </w:pPr>
      <w:r>
        <w:rPr>
          <w:rFonts w:asciiTheme="minorHAnsi" w:hAnsiTheme="minorHAnsi" w:cstheme="minorHAnsi"/>
        </w:rPr>
        <w:t>Initially</w:t>
      </w:r>
      <w:r w:rsidR="00B45659" w:rsidRPr="00B45659">
        <w:rPr>
          <w:rFonts w:asciiTheme="minorHAnsi" w:hAnsiTheme="minorHAnsi" w:cstheme="minorHAnsi"/>
        </w:rPr>
        <w:t>, the appellant’s grounds for proprietary estoppel and a constructive trust were rejected. The Court of Appeal rejected her appeal.</w:t>
      </w:r>
    </w:p>
    <w:p w14:paraId="6A47837C" w14:textId="77777777" w:rsidR="00E34995" w:rsidRPr="00202FC4" w:rsidRDefault="00E34995" w:rsidP="008912EA">
      <w:pPr>
        <w:rPr>
          <w:rFonts w:asciiTheme="minorHAnsi" w:hAnsiTheme="minorHAnsi" w:cstheme="minorHAnsi"/>
        </w:rPr>
      </w:pPr>
    </w:p>
    <w:p w14:paraId="6ABE88E2" w14:textId="77777777" w:rsidR="008912EA" w:rsidRDefault="008912EA" w:rsidP="008912EA">
      <w:pPr>
        <w:rPr>
          <w:rFonts w:asciiTheme="minorHAnsi" w:hAnsiTheme="minorHAnsi" w:cstheme="minorHAnsi"/>
          <w:b/>
          <w:bCs/>
        </w:rPr>
      </w:pPr>
      <w:r>
        <w:rPr>
          <w:rFonts w:asciiTheme="minorHAnsi" w:hAnsiTheme="minorHAnsi" w:cstheme="minorHAnsi"/>
          <w:b/>
          <w:bCs/>
        </w:rPr>
        <w:t>Material facts</w:t>
      </w:r>
    </w:p>
    <w:p w14:paraId="5760D64F" w14:textId="77777777" w:rsidR="003309AF" w:rsidRDefault="003309AF" w:rsidP="00313168">
      <w:pPr>
        <w:rPr>
          <w:rFonts w:asciiTheme="minorHAnsi" w:hAnsiTheme="minorHAnsi" w:cstheme="minorHAnsi"/>
        </w:rPr>
      </w:pPr>
    </w:p>
    <w:p w14:paraId="77E55724" w14:textId="282CBD24" w:rsidR="00313168" w:rsidRDefault="002779F1" w:rsidP="00313168">
      <w:pPr>
        <w:rPr>
          <w:rFonts w:asciiTheme="minorHAnsi" w:hAnsiTheme="minorHAnsi" w:cstheme="minorHAnsi"/>
        </w:rPr>
      </w:pPr>
      <w:r w:rsidRPr="009F69F6">
        <w:rPr>
          <w:rFonts w:asciiTheme="minorHAnsi" w:hAnsiTheme="minorHAnsi" w:cstheme="minorHAnsi"/>
        </w:rPr>
        <w:t>The respondent was the only owner</w:t>
      </w:r>
      <w:r w:rsidR="00FF1972" w:rsidRPr="009F69F6">
        <w:rPr>
          <w:rFonts w:asciiTheme="minorHAnsi" w:hAnsiTheme="minorHAnsi" w:cstheme="minorHAnsi"/>
        </w:rPr>
        <w:t xml:space="preserve"> of the</w:t>
      </w:r>
      <w:r w:rsidR="004E76A7" w:rsidRPr="009F69F6">
        <w:rPr>
          <w:rFonts w:asciiTheme="minorHAnsi" w:hAnsiTheme="minorHAnsi" w:cstheme="minorHAnsi"/>
        </w:rPr>
        <w:t xml:space="preserve"> property where the parties lived together for around eighteen years. The appellant </w:t>
      </w:r>
      <w:r w:rsidR="00223044" w:rsidRPr="009F69F6">
        <w:rPr>
          <w:rFonts w:asciiTheme="minorHAnsi" w:hAnsiTheme="minorHAnsi" w:cstheme="minorHAnsi"/>
        </w:rPr>
        <w:t>did not contribute any money towards the mortgage or purchase price. She relied on claims about their shared future and mutual gain while working extensively and</w:t>
      </w:r>
      <w:r w:rsidR="009F69F6" w:rsidRPr="009F69F6">
        <w:rPr>
          <w:rFonts w:asciiTheme="minorHAnsi" w:hAnsiTheme="minorHAnsi" w:cstheme="minorHAnsi"/>
        </w:rPr>
        <w:t xml:space="preserve"> often unpaid, in the respondent’s business. The ownership of the property was not specifically discussed.</w:t>
      </w:r>
    </w:p>
    <w:p w14:paraId="52A616C8" w14:textId="77777777" w:rsidR="009F69F6" w:rsidRPr="009F69F6" w:rsidRDefault="009F69F6" w:rsidP="00313168">
      <w:pPr>
        <w:rPr>
          <w:rFonts w:asciiTheme="minorHAnsi" w:hAnsiTheme="minorHAnsi" w:cstheme="minorHAnsi"/>
        </w:rPr>
      </w:pPr>
    </w:p>
    <w:p w14:paraId="68FF017D" w14:textId="1E6C8FB5" w:rsidR="00C35C72" w:rsidRDefault="008912EA" w:rsidP="008912EA">
      <w:pPr>
        <w:rPr>
          <w:rFonts w:asciiTheme="minorHAnsi" w:hAnsiTheme="minorHAnsi" w:cstheme="minorHAnsi"/>
          <w:b/>
          <w:bCs/>
        </w:rPr>
      </w:pPr>
      <w:r>
        <w:rPr>
          <w:rFonts w:asciiTheme="minorHAnsi" w:hAnsiTheme="minorHAnsi" w:cstheme="minorHAnsi"/>
          <w:b/>
          <w:bCs/>
        </w:rPr>
        <w:t xml:space="preserve">Legal </w:t>
      </w:r>
      <w:r w:rsidR="001A6CEE">
        <w:rPr>
          <w:rFonts w:asciiTheme="minorHAnsi" w:hAnsiTheme="minorHAnsi" w:cstheme="minorHAnsi"/>
          <w:b/>
          <w:bCs/>
        </w:rPr>
        <w:t>questions for the court</w:t>
      </w:r>
      <w:r>
        <w:rPr>
          <w:rFonts w:asciiTheme="minorHAnsi" w:hAnsiTheme="minorHAnsi" w:cstheme="minorHAnsi"/>
          <w:b/>
          <w:bCs/>
        </w:rPr>
        <w:t xml:space="preserve"> </w:t>
      </w:r>
    </w:p>
    <w:p w14:paraId="05C66C13" w14:textId="77777777" w:rsidR="003309AF" w:rsidRDefault="003309AF" w:rsidP="008912EA">
      <w:pPr>
        <w:rPr>
          <w:rFonts w:asciiTheme="minorHAnsi" w:hAnsiTheme="minorHAnsi" w:cstheme="minorHAnsi"/>
          <w:b/>
          <w:bCs/>
        </w:rPr>
      </w:pPr>
    </w:p>
    <w:p w14:paraId="3984B0C2" w14:textId="35E37C56" w:rsidR="00973BFB" w:rsidRPr="00D169EC" w:rsidRDefault="00973BFB" w:rsidP="00973BFB">
      <w:pPr>
        <w:pStyle w:val="ListParagraph"/>
        <w:numPr>
          <w:ilvl w:val="0"/>
          <w:numId w:val="20"/>
        </w:numPr>
        <w:rPr>
          <w:rFonts w:asciiTheme="minorHAnsi" w:hAnsiTheme="minorHAnsi" w:cstheme="minorHAnsi"/>
        </w:rPr>
      </w:pPr>
      <w:r w:rsidRPr="00D169EC">
        <w:rPr>
          <w:rFonts w:asciiTheme="minorHAnsi" w:hAnsiTheme="minorHAnsi" w:cstheme="minorHAnsi"/>
        </w:rPr>
        <w:t>Whether general relational statements may be enough to create a constructive trust by contributing to a shared aim.</w:t>
      </w:r>
    </w:p>
    <w:p w14:paraId="190F7908" w14:textId="4267B90E" w:rsidR="008912EA" w:rsidRPr="00D905A8" w:rsidRDefault="00973BFB" w:rsidP="008912EA">
      <w:pPr>
        <w:pStyle w:val="ListParagraph"/>
        <w:numPr>
          <w:ilvl w:val="0"/>
          <w:numId w:val="20"/>
        </w:numPr>
        <w:rPr>
          <w:rFonts w:asciiTheme="minorHAnsi" w:hAnsiTheme="minorHAnsi" w:cstheme="minorHAnsi"/>
        </w:rPr>
      </w:pPr>
      <w:r w:rsidRPr="00D169EC">
        <w:rPr>
          <w:rFonts w:asciiTheme="minorHAnsi" w:hAnsiTheme="minorHAnsi" w:cstheme="minorHAnsi"/>
        </w:rPr>
        <w:t xml:space="preserve">Whether such remarks and unpaid work might </w:t>
      </w:r>
      <w:r w:rsidR="00D169EC" w:rsidRPr="00D169EC">
        <w:rPr>
          <w:rFonts w:asciiTheme="minorHAnsi" w:hAnsiTheme="minorHAnsi" w:cstheme="minorHAnsi"/>
        </w:rPr>
        <w:t>result in property estoppel.</w:t>
      </w:r>
    </w:p>
    <w:p w14:paraId="6B20F962" w14:textId="77777777" w:rsidR="008912EA" w:rsidRDefault="008912EA" w:rsidP="008912EA">
      <w:pPr>
        <w:rPr>
          <w:rFonts w:asciiTheme="minorHAnsi" w:hAnsiTheme="minorHAnsi" w:cstheme="minorHAnsi"/>
          <w:color w:val="70AD47" w:themeColor="accent6"/>
        </w:rPr>
      </w:pPr>
    </w:p>
    <w:p w14:paraId="5C0D4EA2" w14:textId="54B97E92" w:rsidR="001A6CEE" w:rsidRDefault="001A6CEE" w:rsidP="001A6CEE">
      <w:pPr>
        <w:rPr>
          <w:rFonts w:asciiTheme="minorHAnsi" w:hAnsiTheme="minorHAnsi" w:cstheme="minorHAnsi"/>
          <w:b/>
          <w:bCs/>
        </w:rPr>
      </w:pPr>
      <w:r>
        <w:rPr>
          <w:rFonts w:asciiTheme="minorHAnsi" w:hAnsiTheme="minorHAnsi" w:cstheme="minorHAnsi"/>
          <w:b/>
          <w:bCs/>
        </w:rPr>
        <w:t>Appellant arguments</w:t>
      </w:r>
    </w:p>
    <w:p w14:paraId="261A59F1" w14:textId="77777777" w:rsidR="003309AF" w:rsidRDefault="003309AF" w:rsidP="001A6CEE">
      <w:pPr>
        <w:rPr>
          <w:rFonts w:asciiTheme="minorHAnsi" w:hAnsiTheme="minorHAnsi" w:cstheme="minorHAnsi"/>
        </w:rPr>
      </w:pPr>
    </w:p>
    <w:p w14:paraId="0D6CBC97" w14:textId="069891B4" w:rsidR="00416CF1" w:rsidRPr="006D6EC7" w:rsidRDefault="00416CF1" w:rsidP="001A6CEE">
      <w:pPr>
        <w:rPr>
          <w:rFonts w:asciiTheme="minorHAnsi" w:hAnsiTheme="minorHAnsi" w:cstheme="minorHAnsi"/>
        </w:rPr>
      </w:pPr>
      <w:r w:rsidRPr="006D6EC7">
        <w:rPr>
          <w:rFonts w:asciiTheme="minorHAnsi" w:hAnsiTheme="minorHAnsi" w:cstheme="minorHAnsi"/>
        </w:rPr>
        <w:t>The appellant claimed that the respondent’s statement regarding “their</w:t>
      </w:r>
      <w:r w:rsidR="00D73655" w:rsidRPr="006D6EC7">
        <w:rPr>
          <w:rFonts w:asciiTheme="minorHAnsi" w:hAnsiTheme="minorHAnsi" w:cstheme="minorHAnsi"/>
        </w:rPr>
        <w:t xml:space="preserve"> future” and mutual gain amounted to guarantees of a propri</w:t>
      </w:r>
      <w:r w:rsidR="001B7ED1" w:rsidRPr="006D6EC7">
        <w:rPr>
          <w:rFonts w:asciiTheme="minorHAnsi" w:hAnsiTheme="minorHAnsi" w:cstheme="minorHAnsi"/>
        </w:rPr>
        <w:t xml:space="preserve">etary interest. She argued that a constructive trust or proprietary estoppel </w:t>
      </w:r>
      <w:r w:rsidR="003309AF">
        <w:rPr>
          <w:rFonts w:asciiTheme="minorHAnsi" w:hAnsiTheme="minorHAnsi" w:cstheme="minorHAnsi"/>
        </w:rPr>
        <w:t xml:space="preserve">had </w:t>
      </w:r>
      <w:r w:rsidR="001B7ED1" w:rsidRPr="006D6EC7">
        <w:rPr>
          <w:rFonts w:asciiTheme="minorHAnsi" w:hAnsiTheme="minorHAnsi" w:cstheme="minorHAnsi"/>
        </w:rPr>
        <w:t>resulted from her unpaid employment</w:t>
      </w:r>
      <w:r w:rsidR="006F6D59" w:rsidRPr="006D6EC7">
        <w:rPr>
          <w:rFonts w:asciiTheme="minorHAnsi" w:hAnsiTheme="minorHAnsi" w:cstheme="minorHAnsi"/>
        </w:rPr>
        <w:t xml:space="preserve"> in the respondent’s business, which </w:t>
      </w:r>
      <w:r w:rsidR="003309AF">
        <w:rPr>
          <w:rFonts w:asciiTheme="minorHAnsi" w:hAnsiTheme="minorHAnsi" w:cstheme="minorHAnsi"/>
        </w:rPr>
        <w:t>constituted</w:t>
      </w:r>
      <w:r w:rsidR="006F6D59" w:rsidRPr="006D6EC7">
        <w:rPr>
          <w:rFonts w:asciiTheme="minorHAnsi" w:hAnsiTheme="minorHAnsi" w:cstheme="minorHAnsi"/>
        </w:rPr>
        <w:t xml:space="preserve"> reliance and harm. </w:t>
      </w:r>
    </w:p>
    <w:p w14:paraId="72682E9E" w14:textId="2FFDAFE7" w:rsidR="00100ED0" w:rsidRPr="00416CF1" w:rsidRDefault="00100ED0" w:rsidP="001A6CEE">
      <w:pPr>
        <w:rPr>
          <w:rFonts w:ascii="-webkit-standard" w:hAnsi="-webkit-standard"/>
          <w:color w:val="000000"/>
          <w:sz w:val="25"/>
        </w:rPr>
      </w:pPr>
    </w:p>
    <w:p w14:paraId="1176F083" w14:textId="025AD9F5" w:rsidR="001A6CEE" w:rsidRDefault="001A6CEE" w:rsidP="001A6CEE">
      <w:pPr>
        <w:rPr>
          <w:rFonts w:asciiTheme="minorHAnsi" w:hAnsiTheme="minorHAnsi" w:cstheme="minorHAnsi"/>
          <w:b/>
          <w:bCs/>
        </w:rPr>
      </w:pPr>
      <w:r>
        <w:rPr>
          <w:rFonts w:asciiTheme="minorHAnsi" w:hAnsiTheme="minorHAnsi" w:cstheme="minorHAnsi"/>
          <w:b/>
          <w:bCs/>
        </w:rPr>
        <w:t>Respondent’s arguments</w:t>
      </w:r>
    </w:p>
    <w:p w14:paraId="12D1683C" w14:textId="77777777" w:rsidR="003309AF" w:rsidRDefault="003309AF" w:rsidP="001A6CEE">
      <w:pPr>
        <w:rPr>
          <w:rFonts w:asciiTheme="minorHAnsi" w:hAnsiTheme="minorHAnsi" w:cstheme="minorHAnsi"/>
        </w:rPr>
      </w:pPr>
    </w:p>
    <w:p w14:paraId="4909E702" w14:textId="7D070ED8" w:rsidR="005D7BDE" w:rsidRPr="003309AF" w:rsidRDefault="005D7BDE" w:rsidP="001A6CEE">
      <w:pPr>
        <w:rPr>
          <w:rFonts w:asciiTheme="minorHAnsi" w:hAnsiTheme="minorHAnsi" w:cstheme="minorHAnsi"/>
        </w:rPr>
      </w:pPr>
      <w:r w:rsidRPr="003309AF">
        <w:rPr>
          <w:rFonts w:asciiTheme="minorHAnsi" w:hAnsiTheme="minorHAnsi" w:cstheme="minorHAnsi"/>
        </w:rPr>
        <w:t>The respondent argued that the stated remarks lacked any private information</w:t>
      </w:r>
      <w:r w:rsidR="00BF62CE" w:rsidRPr="003309AF">
        <w:rPr>
          <w:rFonts w:asciiTheme="minorHAnsi" w:hAnsiTheme="minorHAnsi" w:cstheme="minorHAnsi"/>
        </w:rPr>
        <w:t xml:space="preserve"> and were vague relational claims. He argued that there was</w:t>
      </w:r>
      <w:r w:rsidR="00614720" w:rsidRPr="003309AF">
        <w:rPr>
          <w:rFonts w:asciiTheme="minorHAnsi" w:hAnsiTheme="minorHAnsi" w:cstheme="minorHAnsi"/>
        </w:rPr>
        <w:t xml:space="preserve"> insufficient evidence of purpose, reliance, or harm because the appellant’s work in the firm was done willingly within the partnership.</w:t>
      </w:r>
    </w:p>
    <w:p w14:paraId="3203BAD8" w14:textId="77777777" w:rsidR="00614720" w:rsidRDefault="00614720" w:rsidP="001A6CEE">
      <w:pPr>
        <w:rPr>
          <w:rFonts w:ascii="-webkit-standard" w:hAnsi="-webkit-standard"/>
          <w:color w:val="000000"/>
          <w:sz w:val="27"/>
          <w:szCs w:val="27"/>
        </w:rPr>
      </w:pPr>
    </w:p>
    <w:p w14:paraId="2F034DC2" w14:textId="2EDA5203" w:rsidR="001A6CEE" w:rsidRDefault="001A6CEE" w:rsidP="001A6CEE">
      <w:pPr>
        <w:rPr>
          <w:rFonts w:asciiTheme="minorHAnsi" w:hAnsiTheme="minorHAnsi" w:cstheme="minorHAnsi"/>
          <w:b/>
          <w:bCs/>
        </w:rPr>
      </w:pPr>
      <w:r>
        <w:rPr>
          <w:rFonts w:asciiTheme="minorHAnsi" w:hAnsiTheme="minorHAnsi" w:cstheme="minorHAnsi"/>
          <w:b/>
          <w:bCs/>
        </w:rPr>
        <w:t xml:space="preserve">Decision of </w:t>
      </w:r>
      <w:r w:rsidR="003309AF">
        <w:rPr>
          <w:rFonts w:asciiTheme="minorHAnsi" w:hAnsiTheme="minorHAnsi" w:cstheme="minorHAnsi"/>
          <w:b/>
          <w:bCs/>
        </w:rPr>
        <w:t xml:space="preserve">the </w:t>
      </w:r>
      <w:r>
        <w:rPr>
          <w:rFonts w:asciiTheme="minorHAnsi" w:hAnsiTheme="minorHAnsi" w:cstheme="minorHAnsi"/>
          <w:b/>
          <w:bCs/>
        </w:rPr>
        <w:t>court</w:t>
      </w:r>
    </w:p>
    <w:p w14:paraId="2CA2CFB5" w14:textId="77777777" w:rsidR="003309AF" w:rsidRDefault="003309AF" w:rsidP="001A6CEE">
      <w:pPr>
        <w:rPr>
          <w:rFonts w:asciiTheme="minorHAnsi" w:hAnsiTheme="minorHAnsi" w:cstheme="minorHAnsi"/>
        </w:rPr>
      </w:pPr>
    </w:p>
    <w:p w14:paraId="0B1C9E59" w14:textId="4CB3E69C" w:rsidR="003309AF" w:rsidRPr="003309AF" w:rsidRDefault="003309AF" w:rsidP="001A6CEE">
      <w:pPr>
        <w:rPr>
          <w:rFonts w:asciiTheme="minorHAnsi" w:hAnsiTheme="minorHAnsi" w:cstheme="minorHAnsi"/>
        </w:rPr>
      </w:pPr>
      <w:r w:rsidRPr="003309AF">
        <w:rPr>
          <w:rFonts w:asciiTheme="minorHAnsi" w:hAnsiTheme="minorHAnsi" w:cstheme="minorHAnsi"/>
        </w:rPr>
        <w:t xml:space="preserve">Appeal dismissed </w:t>
      </w:r>
    </w:p>
    <w:p w14:paraId="44F2D4BF" w14:textId="77777777" w:rsidR="003309AF" w:rsidRDefault="003309AF" w:rsidP="001A6CEE">
      <w:pPr>
        <w:rPr>
          <w:rFonts w:asciiTheme="minorHAnsi" w:hAnsiTheme="minorHAnsi" w:cstheme="minorHAnsi"/>
          <w:color w:val="70AD47" w:themeColor="accent6"/>
        </w:rPr>
      </w:pPr>
    </w:p>
    <w:p w14:paraId="46178BAA" w14:textId="77777777" w:rsidR="001A6CEE" w:rsidRDefault="001A6CEE" w:rsidP="008912EA">
      <w:pPr>
        <w:rPr>
          <w:rFonts w:asciiTheme="minorHAnsi" w:hAnsiTheme="minorHAnsi" w:cstheme="minorHAnsi"/>
        </w:rPr>
      </w:pPr>
    </w:p>
    <w:p w14:paraId="21C1A310" w14:textId="77777777" w:rsidR="00032155" w:rsidRDefault="00032155" w:rsidP="001A6CEE">
      <w:pPr>
        <w:rPr>
          <w:rFonts w:asciiTheme="minorHAnsi" w:hAnsiTheme="minorHAnsi" w:cstheme="minorHAnsi"/>
          <w:b/>
          <w:bCs/>
        </w:rPr>
      </w:pPr>
    </w:p>
    <w:p w14:paraId="1055E542" w14:textId="7EABD970" w:rsidR="001A6CEE" w:rsidRDefault="001A6CEE" w:rsidP="001A6CEE">
      <w:pPr>
        <w:rPr>
          <w:rFonts w:asciiTheme="minorHAnsi" w:hAnsiTheme="minorHAnsi" w:cstheme="minorHAnsi"/>
          <w:b/>
          <w:bCs/>
        </w:rPr>
      </w:pPr>
      <w:r>
        <w:rPr>
          <w:rFonts w:asciiTheme="minorHAnsi" w:hAnsiTheme="minorHAnsi" w:cstheme="minorHAnsi"/>
          <w:b/>
          <w:bCs/>
        </w:rPr>
        <w:lastRenderedPageBreak/>
        <w:t>Rule of law</w:t>
      </w:r>
    </w:p>
    <w:p w14:paraId="4FC55E4B" w14:textId="77777777" w:rsidR="00E8033F" w:rsidRDefault="00E8033F" w:rsidP="001A6CEE">
      <w:pPr>
        <w:rPr>
          <w:rFonts w:asciiTheme="minorHAnsi" w:hAnsiTheme="minorHAnsi" w:cstheme="minorHAnsi"/>
          <w:b/>
          <w:bCs/>
        </w:rPr>
      </w:pPr>
    </w:p>
    <w:p w14:paraId="033B1AC6" w14:textId="3DED32DF" w:rsidR="000E4A39" w:rsidRPr="00C6628D" w:rsidRDefault="000E4A39" w:rsidP="001A6CEE">
      <w:pPr>
        <w:rPr>
          <w:rFonts w:asciiTheme="minorHAnsi" w:hAnsiTheme="minorHAnsi" w:cstheme="minorHAnsi"/>
        </w:rPr>
      </w:pPr>
      <w:r w:rsidRPr="00C6628D">
        <w:rPr>
          <w:rFonts w:asciiTheme="minorHAnsi" w:hAnsiTheme="minorHAnsi" w:cstheme="minorHAnsi"/>
        </w:rPr>
        <w:t>Without specific guarantees about property rights, general remarks about shared life or goals for the future are insufficient to establish a common purpose, constructive trust or proprietary estoppel.</w:t>
      </w:r>
    </w:p>
    <w:p w14:paraId="20258E0C" w14:textId="77777777" w:rsidR="000E4A39" w:rsidRDefault="000E4A39" w:rsidP="001A6CEE">
      <w:pPr>
        <w:rPr>
          <w:rFonts w:asciiTheme="minorHAnsi" w:hAnsiTheme="minorHAnsi" w:cstheme="minorHAnsi"/>
          <w:color w:val="70AD47" w:themeColor="accent6"/>
        </w:rPr>
      </w:pPr>
    </w:p>
    <w:p w14:paraId="008C3387" w14:textId="0B1A599F" w:rsidR="001A6CEE" w:rsidRDefault="001A6CEE" w:rsidP="001A6CEE">
      <w:pPr>
        <w:rPr>
          <w:rFonts w:asciiTheme="minorHAnsi" w:hAnsiTheme="minorHAnsi" w:cstheme="minorHAnsi"/>
          <w:b/>
          <w:bCs/>
        </w:rPr>
      </w:pPr>
      <w:r>
        <w:rPr>
          <w:rFonts w:asciiTheme="minorHAnsi" w:hAnsiTheme="minorHAnsi" w:cstheme="minorHAnsi"/>
          <w:b/>
          <w:bCs/>
        </w:rPr>
        <w:t>Reasoning</w:t>
      </w:r>
    </w:p>
    <w:p w14:paraId="22B98C23" w14:textId="77777777" w:rsidR="00FB2AEE" w:rsidRDefault="00FB2AEE" w:rsidP="001A6CEE">
      <w:pPr>
        <w:rPr>
          <w:rFonts w:asciiTheme="minorHAnsi" w:hAnsiTheme="minorHAnsi" w:cstheme="minorHAnsi"/>
        </w:rPr>
      </w:pPr>
    </w:p>
    <w:p w14:paraId="58DBBD68" w14:textId="616A20F0" w:rsidR="00A57D4A" w:rsidRDefault="007E7277">
      <w:pPr>
        <w:rPr>
          <w:rFonts w:asciiTheme="minorHAnsi" w:hAnsiTheme="minorHAnsi" w:cstheme="minorHAnsi"/>
        </w:rPr>
      </w:pPr>
      <w:r w:rsidRPr="00FB2AEE">
        <w:rPr>
          <w:rFonts w:asciiTheme="minorHAnsi" w:hAnsiTheme="minorHAnsi" w:cstheme="minorHAnsi"/>
        </w:rPr>
        <w:t>According to the Court of Appeal, the Appellant was unable to</w:t>
      </w:r>
      <w:r w:rsidR="00163484" w:rsidRPr="00FB2AEE">
        <w:rPr>
          <w:rFonts w:asciiTheme="minorHAnsi" w:hAnsiTheme="minorHAnsi" w:cstheme="minorHAnsi"/>
        </w:rPr>
        <w:t xml:space="preserve"> prove that there was a shared purpose </w:t>
      </w:r>
      <w:r w:rsidR="00534C8F" w:rsidRPr="00FB2AEE">
        <w:rPr>
          <w:rFonts w:asciiTheme="minorHAnsi" w:hAnsiTheme="minorHAnsi" w:cstheme="minorHAnsi"/>
        </w:rPr>
        <w:t>about</w:t>
      </w:r>
      <w:r w:rsidR="00163484" w:rsidRPr="00FB2AEE">
        <w:rPr>
          <w:rFonts w:asciiTheme="minorHAnsi" w:hAnsiTheme="minorHAnsi" w:cstheme="minorHAnsi"/>
        </w:rPr>
        <w:t xml:space="preserve"> beneficial </w:t>
      </w:r>
      <w:r w:rsidR="00534C8F" w:rsidRPr="00FB2AEE">
        <w:rPr>
          <w:rFonts w:asciiTheme="minorHAnsi" w:hAnsiTheme="minorHAnsi" w:cstheme="minorHAnsi"/>
        </w:rPr>
        <w:t>ownership, directly or indirectly. The alleged comments were not relevant to property rights and were too vague. The Court stated that living together and making contributions</w:t>
      </w:r>
      <w:r w:rsidR="00CA2EF6" w:rsidRPr="00FB2AEE">
        <w:rPr>
          <w:rFonts w:asciiTheme="minorHAnsi" w:hAnsiTheme="minorHAnsi" w:cstheme="minorHAnsi"/>
        </w:rPr>
        <w:t xml:space="preserve"> out of love or commitment to a partnership do not establish equitable interests. Regarding proprietary estoppel</w:t>
      </w:r>
      <w:r w:rsidR="00A302B8" w:rsidRPr="00FB2AEE">
        <w:rPr>
          <w:rFonts w:asciiTheme="minorHAnsi" w:hAnsiTheme="minorHAnsi" w:cstheme="minorHAnsi"/>
        </w:rPr>
        <w:t>, the court determined that there was neither a clear guarantee nor any harm beyond what is usually expected in a domestic relationship.</w:t>
      </w:r>
      <w:r w:rsidR="0003398A" w:rsidRPr="00FB2AEE">
        <w:rPr>
          <w:rFonts w:asciiTheme="minorHAnsi" w:hAnsiTheme="minorHAnsi" w:cstheme="minorHAnsi"/>
        </w:rPr>
        <w:t xml:space="preserve"> Despite its importan</w:t>
      </w:r>
      <w:r w:rsidR="00FB2AEE" w:rsidRPr="00FB2AEE">
        <w:rPr>
          <w:rFonts w:asciiTheme="minorHAnsi" w:hAnsiTheme="minorHAnsi" w:cstheme="minorHAnsi"/>
        </w:rPr>
        <w:t>ce</w:t>
      </w:r>
      <w:r w:rsidR="0003398A" w:rsidRPr="00FB2AEE">
        <w:rPr>
          <w:rFonts w:asciiTheme="minorHAnsi" w:hAnsiTheme="minorHAnsi" w:cstheme="minorHAnsi"/>
        </w:rPr>
        <w:t>, the appellant’s unpaid work was not done in expectation of a guarantee</w:t>
      </w:r>
      <w:r w:rsidR="0096213A" w:rsidRPr="00FB2AEE">
        <w:rPr>
          <w:rFonts w:asciiTheme="minorHAnsi" w:hAnsiTheme="minorHAnsi" w:cstheme="minorHAnsi"/>
        </w:rPr>
        <w:t xml:space="preserve"> of property rights.</w:t>
      </w:r>
    </w:p>
    <w:p w14:paraId="70CB8AD3" w14:textId="77777777" w:rsidR="00220742" w:rsidRPr="00220742" w:rsidRDefault="00220742">
      <w:pPr>
        <w:rPr>
          <w:rFonts w:asciiTheme="minorHAnsi" w:hAnsiTheme="minorHAnsi" w:cstheme="minorHAnsi"/>
        </w:rPr>
      </w:pPr>
    </w:p>
    <w:p w14:paraId="2F87977C" w14:textId="77777777" w:rsidR="00A57D4A" w:rsidRDefault="00A57D4A"/>
    <w:p w14:paraId="7FCB4BAF" w14:textId="516D4FF6" w:rsidR="00A57D4A" w:rsidRPr="009D531E" w:rsidRDefault="00A57D4A" w:rsidP="00A57D4A">
      <w:pPr>
        <w:spacing w:line="360" w:lineRule="auto"/>
        <w:rPr>
          <w:rFonts w:ascii="Arial" w:hAnsi="Arial" w:cs="Arial"/>
          <w:color w:val="70AD47" w:themeColor="accent6"/>
        </w:rPr>
      </w:pPr>
      <w:r w:rsidRPr="009D531E">
        <w:rPr>
          <w:rFonts w:ascii="Arial" w:hAnsi="Arial" w:cs="Arial"/>
          <w:b/>
          <w:bCs/>
        </w:rPr>
        <w:t xml:space="preserve">Word count: </w:t>
      </w:r>
      <w:r w:rsidR="005E545B">
        <w:rPr>
          <w:rFonts w:ascii="Arial" w:hAnsi="Arial" w:cs="Arial"/>
          <w:b/>
          <w:bCs/>
        </w:rPr>
        <w:t>2</w:t>
      </w:r>
      <w:r w:rsidR="008D5940">
        <w:rPr>
          <w:rFonts w:ascii="Arial" w:hAnsi="Arial" w:cs="Arial"/>
          <w:b/>
          <w:bCs/>
        </w:rPr>
        <w:t>,</w:t>
      </w:r>
      <w:r w:rsidR="005E545B">
        <w:rPr>
          <w:rFonts w:ascii="Arial" w:hAnsi="Arial" w:cs="Arial"/>
          <w:b/>
          <w:bCs/>
        </w:rPr>
        <w:t>02</w:t>
      </w:r>
      <w:r w:rsidR="008D5940">
        <w:rPr>
          <w:rFonts w:ascii="Arial" w:hAnsi="Arial" w:cs="Arial"/>
          <w:b/>
          <w:bCs/>
        </w:rPr>
        <w:t xml:space="preserve">5 </w:t>
      </w:r>
    </w:p>
    <w:p w14:paraId="73A72906" w14:textId="00FE1C12" w:rsidR="001A6CEE" w:rsidRDefault="001A6CEE">
      <w:pPr>
        <w:rPr>
          <w:rFonts w:asciiTheme="majorHAnsi" w:eastAsiaTheme="majorEastAsia" w:hAnsiTheme="majorHAnsi" w:cstheme="majorBidi"/>
          <w:b/>
          <w:szCs w:val="40"/>
        </w:rPr>
      </w:pPr>
      <w:r>
        <w:br w:type="page"/>
      </w:r>
    </w:p>
    <w:p w14:paraId="242D97F0" w14:textId="7C89AFFB" w:rsidR="0057790B" w:rsidRDefault="005F216E" w:rsidP="0057790B">
      <w:pPr>
        <w:pStyle w:val="Heading1"/>
        <w:numPr>
          <w:ilvl w:val="0"/>
          <w:numId w:val="0"/>
        </w:numPr>
        <w:ind w:left="680" w:hanging="680"/>
      </w:pPr>
      <w:r w:rsidRPr="009D531E">
        <w:lastRenderedPageBreak/>
        <w:t>References</w:t>
      </w:r>
    </w:p>
    <w:p w14:paraId="1CC507BC" w14:textId="35ED41C9" w:rsidR="0057790B" w:rsidRPr="00436052" w:rsidRDefault="0057790B" w:rsidP="0057790B">
      <w:pPr>
        <w:rPr>
          <w:rFonts w:ascii="Arial" w:hAnsi="Arial" w:cs="Arial"/>
        </w:rPr>
      </w:pPr>
      <w:r w:rsidRPr="00436052">
        <w:rPr>
          <w:rFonts w:ascii="Arial" w:hAnsi="Arial" w:cs="Arial"/>
        </w:rPr>
        <w:t>Casemine (2015). Hopkins v Hopkins, [2015] EWHC 812</w:t>
      </w:r>
      <w:r w:rsidR="00266D51" w:rsidRPr="00436052">
        <w:rPr>
          <w:rFonts w:ascii="Arial" w:hAnsi="Arial" w:cs="Arial"/>
        </w:rPr>
        <w:t xml:space="preserve"> | England and Wales High Court, Judgement Law. Available at:</w:t>
      </w:r>
      <w:r w:rsidR="00436052" w:rsidRPr="00436052">
        <w:rPr>
          <w:rFonts w:ascii="Arial" w:hAnsi="Arial" w:cs="Arial"/>
        </w:rPr>
        <w:t xml:space="preserve"> </w:t>
      </w:r>
      <w:hyperlink r:id="rId8" w:history="1">
        <w:r w:rsidR="00436052" w:rsidRPr="00436052">
          <w:rPr>
            <w:rStyle w:val="Hyperlink"/>
            <w:rFonts w:ascii="Arial" w:hAnsi="Arial" w:cs="Arial"/>
          </w:rPr>
          <w:t>https://www.casemine.com/judgement/uk/5a8ff7cd60d03e7f57eb234d</w:t>
        </w:r>
      </w:hyperlink>
      <w:r w:rsidR="00436052" w:rsidRPr="00436052">
        <w:rPr>
          <w:rFonts w:ascii="Arial" w:hAnsi="Arial" w:cs="Arial"/>
        </w:rPr>
        <w:t xml:space="preserve"> (Accessed: 29.12.2025)</w:t>
      </w:r>
    </w:p>
    <w:p w14:paraId="598B8E58" w14:textId="77777777" w:rsidR="00436052" w:rsidRPr="0057790B" w:rsidRDefault="00436052" w:rsidP="0057790B"/>
    <w:p w14:paraId="76FB32B3" w14:textId="77777777" w:rsidR="002C1E8B" w:rsidRDefault="00AA7A99" w:rsidP="00744A17">
      <w:pPr>
        <w:rPr>
          <w:rFonts w:ascii="Arial" w:hAnsi="Arial" w:cs="Arial"/>
          <w:color w:val="000000" w:themeColor="text1"/>
        </w:rPr>
      </w:pPr>
      <w:r>
        <w:rPr>
          <w:rFonts w:ascii="Arial" w:hAnsi="Arial" w:cs="Arial"/>
          <w:color w:val="000000" w:themeColor="text1"/>
        </w:rPr>
        <w:t>Casemine</w:t>
      </w:r>
      <w:r w:rsidR="00CC4992">
        <w:rPr>
          <w:rFonts w:ascii="Arial" w:hAnsi="Arial" w:cs="Arial"/>
          <w:color w:val="000000" w:themeColor="text1"/>
        </w:rPr>
        <w:t xml:space="preserve"> (2023). James v Thomas, [2007] </w:t>
      </w:r>
      <w:r w:rsidR="009F1367">
        <w:rPr>
          <w:rFonts w:ascii="Arial" w:hAnsi="Arial" w:cs="Arial"/>
          <w:color w:val="000000" w:themeColor="text1"/>
        </w:rPr>
        <w:t>England and Wales Court of Appeal</w:t>
      </w:r>
      <w:r w:rsidR="00A90E70">
        <w:rPr>
          <w:rFonts w:ascii="Arial" w:hAnsi="Arial" w:cs="Arial"/>
          <w:color w:val="000000" w:themeColor="text1"/>
        </w:rPr>
        <w:t xml:space="preserve"> (Civil Divisi</w:t>
      </w:r>
      <w:r w:rsidR="00233A77">
        <w:rPr>
          <w:rFonts w:ascii="Arial" w:hAnsi="Arial" w:cs="Arial"/>
          <w:color w:val="000000" w:themeColor="text1"/>
        </w:rPr>
        <w:t xml:space="preserve">on). Available at: </w:t>
      </w:r>
      <w:hyperlink r:id="rId9" w:history="1">
        <w:r w:rsidR="00233A77" w:rsidRPr="00410F27">
          <w:rPr>
            <w:rStyle w:val="Hyperlink"/>
            <w:rFonts w:ascii="Arial" w:hAnsi="Arial" w:cs="Arial"/>
          </w:rPr>
          <w:t>https://www.casemine.com/judgement/uk/5a8ff7a260d03e7f57eb0881</w:t>
        </w:r>
      </w:hyperlink>
      <w:r w:rsidR="00233A77">
        <w:rPr>
          <w:rFonts w:ascii="Arial" w:hAnsi="Arial" w:cs="Arial"/>
          <w:color w:val="000000" w:themeColor="text1"/>
        </w:rPr>
        <w:t xml:space="preserve"> </w:t>
      </w:r>
    </w:p>
    <w:p w14:paraId="512F9772" w14:textId="1D459F0E" w:rsidR="00AA7A99" w:rsidRDefault="00233A77" w:rsidP="00744A17">
      <w:pPr>
        <w:rPr>
          <w:rFonts w:ascii="Arial" w:hAnsi="Arial" w:cs="Arial"/>
          <w:color w:val="000000" w:themeColor="text1"/>
        </w:rPr>
      </w:pPr>
      <w:r>
        <w:rPr>
          <w:rFonts w:ascii="Arial" w:hAnsi="Arial" w:cs="Arial"/>
          <w:color w:val="000000" w:themeColor="text1"/>
        </w:rPr>
        <w:t>(</w:t>
      </w:r>
      <w:r w:rsidR="002C1E8B">
        <w:rPr>
          <w:rFonts w:ascii="Arial" w:hAnsi="Arial" w:cs="Arial"/>
          <w:color w:val="000000" w:themeColor="text1"/>
        </w:rPr>
        <w:t>Accessed: 28.12.20250</w:t>
      </w:r>
    </w:p>
    <w:p w14:paraId="020E4DDA" w14:textId="77777777" w:rsidR="006A44CD" w:rsidRDefault="006A44CD" w:rsidP="00744A17">
      <w:pPr>
        <w:rPr>
          <w:rFonts w:ascii="Arial" w:hAnsi="Arial" w:cs="Arial"/>
          <w:color w:val="000000" w:themeColor="text1"/>
        </w:rPr>
      </w:pPr>
    </w:p>
    <w:p w14:paraId="1DFB66FA" w14:textId="4DC5597A" w:rsidR="006A44CD" w:rsidRDefault="006A44CD" w:rsidP="00744A17">
      <w:pPr>
        <w:rPr>
          <w:rFonts w:ascii="Arial" w:hAnsi="Arial" w:cs="Arial"/>
          <w:color w:val="000000" w:themeColor="text1"/>
        </w:rPr>
      </w:pPr>
      <w:r>
        <w:rPr>
          <w:rFonts w:ascii="Arial" w:hAnsi="Arial" w:cs="Arial"/>
          <w:color w:val="000000" w:themeColor="text1"/>
        </w:rPr>
        <w:t>Casemine (2023). Jennings v Rice &amp; Ors</w:t>
      </w:r>
      <w:r w:rsidR="0069056C">
        <w:rPr>
          <w:rFonts w:ascii="Arial" w:hAnsi="Arial" w:cs="Arial"/>
          <w:color w:val="000000" w:themeColor="text1"/>
        </w:rPr>
        <w:t>, (2003) 1 FCR 501| England and Wales Court of Appeal</w:t>
      </w:r>
      <w:r w:rsidR="009C092B">
        <w:rPr>
          <w:rFonts w:ascii="Arial" w:hAnsi="Arial" w:cs="Arial"/>
          <w:color w:val="000000" w:themeColor="text1"/>
        </w:rPr>
        <w:t xml:space="preserve">, Judgement Law. Available at: </w:t>
      </w:r>
      <w:hyperlink r:id="rId10" w:history="1">
        <w:r w:rsidR="009C092B" w:rsidRPr="00410F27">
          <w:rPr>
            <w:rStyle w:val="Hyperlink"/>
            <w:rFonts w:ascii="Arial" w:hAnsi="Arial" w:cs="Arial"/>
          </w:rPr>
          <w:t>https://www.casemine.com/judgement/uk/5a8ff7aa60d03e7f57eb1065</w:t>
        </w:r>
      </w:hyperlink>
      <w:r w:rsidR="009C092B">
        <w:rPr>
          <w:rFonts w:ascii="Arial" w:hAnsi="Arial" w:cs="Arial"/>
          <w:color w:val="000000" w:themeColor="text1"/>
        </w:rPr>
        <w:t xml:space="preserve">  (Accessed: 29.12).2025)</w:t>
      </w:r>
    </w:p>
    <w:p w14:paraId="0D325302" w14:textId="77777777" w:rsidR="002C1E8B" w:rsidRDefault="002C1E8B" w:rsidP="00744A17">
      <w:pPr>
        <w:rPr>
          <w:rFonts w:ascii="Arial" w:hAnsi="Arial" w:cs="Arial"/>
          <w:color w:val="000000" w:themeColor="text1"/>
        </w:rPr>
      </w:pPr>
    </w:p>
    <w:p w14:paraId="19FFB22F" w14:textId="1F45BB4F" w:rsidR="00C150F9" w:rsidRDefault="00C56652" w:rsidP="00744A17">
      <w:pPr>
        <w:rPr>
          <w:rFonts w:ascii="Arial" w:hAnsi="Arial" w:cs="Arial"/>
          <w:color w:val="000000" w:themeColor="text1"/>
        </w:rPr>
      </w:pPr>
      <w:r w:rsidRPr="00D35B33">
        <w:rPr>
          <w:rFonts w:ascii="Arial" w:hAnsi="Arial" w:cs="Arial"/>
          <w:color w:val="000000" w:themeColor="text1"/>
        </w:rPr>
        <w:t>Citylaw</w:t>
      </w:r>
      <w:r w:rsidR="00665D63" w:rsidRPr="00D35B33">
        <w:rPr>
          <w:rFonts w:ascii="Arial" w:hAnsi="Arial" w:cs="Arial"/>
          <w:color w:val="000000" w:themeColor="text1"/>
        </w:rPr>
        <w:t>tutors (2025)</w:t>
      </w:r>
      <w:r w:rsidR="001A6CEE" w:rsidRPr="00D35B33">
        <w:rPr>
          <w:rFonts w:ascii="Arial" w:hAnsi="Arial" w:cs="Arial"/>
          <w:color w:val="000000" w:themeColor="text1"/>
        </w:rPr>
        <w:t xml:space="preserve">. </w:t>
      </w:r>
      <w:r w:rsidR="00DF36A3" w:rsidRPr="00D35B33">
        <w:rPr>
          <w:rFonts w:ascii="Arial" w:hAnsi="Arial" w:cs="Arial"/>
          <w:color w:val="000000" w:themeColor="text1"/>
        </w:rPr>
        <w:t>Stack v</w:t>
      </w:r>
      <w:r w:rsidR="00A62B15" w:rsidRPr="00D35B33">
        <w:rPr>
          <w:rFonts w:ascii="Arial" w:hAnsi="Arial" w:cs="Arial"/>
          <w:color w:val="000000" w:themeColor="text1"/>
        </w:rPr>
        <w:t xml:space="preserve"> Dowden and Jones v Kernott Failed to Settle </w:t>
      </w:r>
      <w:r w:rsidR="00F855AF" w:rsidRPr="00D35B33">
        <w:rPr>
          <w:rFonts w:ascii="Arial" w:hAnsi="Arial" w:cs="Arial"/>
          <w:color w:val="000000" w:themeColor="text1"/>
        </w:rPr>
        <w:t>the</w:t>
      </w:r>
      <w:r w:rsidR="00A62B15" w:rsidRPr="00D35B33">
        <w:rPr>
          <w:rFonts w:ascii="Arial" w:hAnsi="Arial" w:cs="Arial"/>
          <w:color w:val="000000" w:themeColor="text1"/>
        </w:rPr>
        <w:t xml:space="preserve"> Law</w:t>
      </w:r>
      <w:r w:rsidR="00F855AF" w:rsidRPr="00D35B33">
        <w:rPr>
          <w:rFonts w:ascii="Arial" w:hAnsi="Arial" w:cs="Arial"/>
          <w:color w:val="000000" w:themeColor="text1"/>
        </w:rPr>
        <w:t xml:space="preserve">. Available at: </w:t>
      </w:r>
      <w:hyperlink r:id="rId11" w:history="1">
        <w:r w:rsidR="00273BBC" w:rsidRPr="00D35B33">
          <w:rPr>
            <w:rStyle w:val="Hyperlink"/>
            <w:rFonts w:ascii="Arial" w:hAnsi="Arial" w:cs="Arial"/>
          </w:rPr>
          <w:t>https://citylawtutors.co.uk/law-journal/stack-v-dowden-and-jones-v-kernott</w:t>
        </w:r>
      </w:hyperlink>
      <w:r w:rsidR="00273BBC" w:rsidRPr="00D35B33">
        <w:rPr>
          <w:rFonts w:ascii="Arial" w:hAnsi="Arial" w:cs="Arial"/>
          <w:color w:val="000000" w:themeColor="text1"/>
        </w:rPr>
        <w:t xml:space="preserve"> </w:t>
      </w:r>
      <w:r w:rsidR="000B75A1" w:rsidRPr="00D35B33">
        <w:rPr>
          <w:rFonts w:ascii="Arial" w:hAnsi="Arial" w:cs="Arial"/>
          <w:color w:val="000000" w:themeColor="text1"/>
        </w:rPr>
        <w:t xml:space="preserve"> (accessed: 28.12.2025)</w:t>
      </w:r>
    </w:p>
    <w:p w14:paraId="042C9A56" w14:textId="77777777" w:rsidR="00D35B33" w:rsidRPr="00D35B33" w:rsidRDefault="00D35B33" w:rsidP="00744A17">
      <w:pPr>
        <w:rPr>
          <w:rFonts w:ascii="Arial" w:hAnsi="Arial" w:cs="Arial"/>
          <w:color w:val="000000" w:themeColor="text1"/>
        </w:rPr>
      </w:pPr>
    </w:p>
    <w:p w14:paraId="57C6F388" w14:textId="377413F6" w:rsidR="00D35B33" w:rsidRDefault="004507D4" w:rsidP="00744A17">
      <w:pPr>
        <w:rPr>
          <w:rFonts w:ascii="Arial" w:hAnsi="Arial" w:cs="Arial"/>
          <w:color w:val="000000" w:themeColor="text1"/>
        </w:rPr>
      </w:pPr>
      <w:r w:rsidRPr="00D35B33">
        <w:rPr>
          <w:rFonts w:ascii="Arial" w:hAnsi="Arial" w:cs="Arial"/>
          <w:color w:val="000000" w:themeColor="text1"/>
        </w:rPr>
        <w:t xml:space="preserve">FJG </w:t>
      </w:r>
      <w:r w:rsidR="00DC11E6" w:rsidRPr="00D35B33">
        <w:rPr>
          <w:rFonts w:ascii="Arial" w:hAnsi="Arial" w:cs="Arial"/>
          <w:color w:val="000000" w:themeColor="text1"/>
        </w:rPr>
        <w:t>(2025)</w:t>
      </w:r>
      <w:r w:rsidR="00B07F3F" w:rsidRPr="00D35B33">
        <w:rPr>
          <w:rFonts w:ascii="Arial" w:hAnsi="Arial" w:cs="Arial"/>
          <w:color w:val="000000" w:themeColor="text1"/>
        </w:rPr>
        <w:t>.</w:t>
      </w:r>
      <w:r w:rsidR="00E72CC0" w:rsidRPr="00D35B33">
        <w:rPr>
          <w:rFonts w:ascii="Arial" w:hAnsi="Arial" w:cs="Arial"/>
          <w:color w:val="000000" w:themeColor="text1"/>
        </w:rPr>
        <w:t xml:space="preserve"> </w:t>
      </w:r>
      <w:r w:rsidR="00B07F3F" w:rsidRPr="00D35B33">
        <w:rPr>
          <w:rFonts w:ascii="Arial" w:hAnsi="Arial" w:cs="Arial"/>
          <w:color w:val="000000" w:themeColor="text1"/>
        </w:rPr>
        <w:t>A Cohabitation Case Study – Burns v Burns</w:t>
      </w:r>
      <w:r w:rsidR="00E72CC0" w:rsidRPr="00D35B33">
        <w:rPr>
          <w:rFonts w:ascii="Arial" w:hAnsi="Arial" w:cs="Arial"/>
          <w:color w:val="000000" w:themeColor="text1"/>
        </w:rPr>
        <w:t>. Fisher Jones</w:t>
      </w:r>
      <w:r w:rsidR="00106A00" w:rsidRPr="00D35B33">
        <w:rPr>
          <w:rFonts w:ascii="Arial" w:hAnsi="Arial" w:cs="Arial"/>
          <w:color w:val="000000" w:themeColor="text1"/>
        </w:rPr>
        <w:t xml:space="preserve"> Greenwood. Available at: </w:t>
      </w:r>
      <w:hyperlink r:id="rId12" w:history="1">
        <w:r w:rsidR="00106A00" w:rsidRPr="00D35B33">
          <w:rPr>
            <w:rStyle w:val="Hyperlink"/>
            <w:rFonts w:ascii="Arial" w:hAnsi="Arial" w:cs="Arial"/>
          </w:rPr>
          <w:t>https://www.fjg.co.uk/a-cohabitation-case-study-burns-v-burns/</w:t>
        </w:r>
      </w:hyperlink>
      <w:r w:rsidR="00106A00" w:rsidRPr="00D35B33">
        <w:rPr>
          <w:rFonts w:ascii="Arial" w:hAnsi="Arial" w:cs="Arial"/>
          <w:color w:val="000000" w:themeColor="text1"/>
        </w:rPr>
        <w:t xml:space="preserve"> (accessed: </w:t>
      </w:r>
      <w:r w:rsidR="00D35B33" w:rsidRPr="00D35B33">
        <w:rPr>
          <w:rFonts w:ascii="Arial" w:hAnsi="Arial" w:cs="Arial"/>
          <w:color w:val="000000" w:themeColor="text1"/>
        </w:rPr>
        <w:t>28.12.2025)</w:t>
      </w:r>
    </w:p>
    <w:p w14:paraId="0B16B3F9" w14:textId="77777777" w:rsidR="00684AAB" w:rsidRDefault="00684AAB" w:rsidP="00744A17">
      <w:pPr>
        <w:rPr>
          <w:rFonts w:ascii="Arial" w:hAnsi="Arial" w:cs="Arial"/>
          <w:color w:val="000000" w:themeColor="text1"/>
        </w:rPr>
      </w:pPr>
    </w:p>
    <w:p w14:paraId="6EC0E10A" w14:textId="3E311A6E" w:rsidR="00684AAB" w:rsidRDefault="00684AAB" w:rsidP="00744A17">
      <w:pPr>
        <w:rPr>
          <w:rFonts w:ascii="Arial" w:hAnsi="Arial" w:cs="Arial"/>
          <w:color w:val="000000" w:themeColor="text1"/>
        </w:rPr>
      </w:pPr>
      <w:r>
        <w:rPr>
          <w:rFonts w:ascii="Arial" w:hAnsi="Arial" w:cs="Arial"/>
          <w:color w:val="000000" w:themeColor="text1"/>
        </w:rPr>
        <w:t>GOV.UK (2024)</w:t>
      </w:r>
      <w:r w:rsidR="009D7C78">
        <w:rPr>
          <w:rFonts w:ascii="Arial" w:hAnsi="Arial" w:cs="Arial"/>
          <w:color w:val="000000" w:themeColor="text1"/>
        </w:rPr>
        <w:t xml:space="preserve">. </w:t>
      </w:r>
      <w:r w:rsidR="006A0097">
        <w:rPr>
          <w:rFonts w:ascii="Arial" w:hAnsi="Arial" w:cs="Arial"/>
          <w:color w:val="000000" w:themeColor="text1"/>
        </w:rPr>
        <w:t>Shared ownership homes: buying, improving and selling.</w:t>
      </w:r>
      <w:r w:rsidR="006B08CE">
        <w:rPr>
          <w:rFonts w:ascii="Arial" w:hAnsi="Arial" w:cs="Arial"/>
          <w:color w:val="000000" w:themeColor="text1"/>
        </w:rPr>
        <w:t xml:space="preserve"> Available at: </w:t>
      </w:r>
      <w:hyperlink r:id="rId13" w:history="1">
        <w:r w:rsidR="006B08CE" w:rsidRPr="00410F27">
          <w:rPr>
            <w:rStyle w:val="Hyperlink"/>
            <w:rFonts w:ascii="Arial" w:hAnsi="Arial" w:cs="Arial"/>
          </w:rPr>
          <w:t>https://www.gov.uk/shared-ownership-scheme</w:t>
        </w:r>
      </w:hyperlink>
      <w:r w:rsidR="006B08CE">
        <w:rPr>
          <w:rFonts w:ascii="Arial" w:hAnsi="Arial" w:cs="Arial"/>
          <w:color w:val="000000" w:themeColor="text1"/>
        </w:rPr>
        <w:t xml:space="preserve"> (Accessed: 28.12.2025)</w:t>
      </w:r>
    </w:p>
    <w:p w14:paraId="6F5FA1C8" w14:textId="77777777" w:rsidR="00056338" w:rsidRDefault="00056338" w:rsidP="00744A17">
      <w:pPr>
        <w:rPr>
          <w:rFonts w:ascii="Arial" w:hAnsi="Arial" w:cs="Arial"/>
          <w:color w:val="000000" w:themeColor="text1"/>
        </w:rPr>
      </w:pPr>
    </w:p>
    <w:p w14:paraId="6B580659" w14:textId="77777777" w:rsidR="00AB6530" w:rsidRDefault="00056338" w:rsidP="00744A17">
      <w:pPr>
        <w:rPr>
          <w:rFonts w:ascii="Arial" w:hAnsi="Arial" w:cs="Arial"/>
          <w:color w:val="000000" w:themeColor="text1"/>
        </w:rPr>
      </w:pPr>
      <w:r>
        <w:rPr>
          <w:rFonts w:ascii="Arial" w:hAnsi="Arial" w:cs="Arial"/>
          <w:color w:val="000000" w:themeColor="text1"/>
        </w:rPr>
        <w:t>IPSA (2022). Geary v Ranki</w:t>
      </w:r>
      <w:r w:rsidR="00D47705">
        <w:rPr>
          <w:rFonts w:ascii="Arial" w:hAnsi="Arial" w:cs="Arial"/>
          <w:color w:val="000000" w:themeColor="text1"/>
        </w:rPr>
        <w:t>ne – Case Summary. IPSA LOQUITUR. Available at:</w:t>
      </w:r>
      <w:r w:rsidR="00AB6530">
        <w:rPr>
          <w:rFonts w:ascii="Arial" w:hAnsi="Arial" w:cs="Arial"/>
          <w:color w:val="000000" w:themeColor="text1"/>
        </w:rPr>
        <w:t xml:space="preserve"> </w:t>
      </w:r>
      <w:hyperlink r:id="rId14" w:anchor="google_vignette" w:history="1">
        <w:r w:rsidR="00AB6530" w:rsidRPr="00410F27">
          <w:rPr>
            <w:rStyle w:val="Hyperlink"/>
            <w:rFonts w:ascii="Arial" w:hAnsi="Arial" w:cs="Arial"/>
          </w:rPr>
          <w:t>https://ipsaloquitur.com/land-law/cases/geary-v-rankine/#google_vignette</w:t>
        </w:r>
      </w:hyperlink>
      <w:r w:rsidR="00AB6530">
        <w:rPr>
          <w:rFonts w:ascii="Arial" w:hAnsi="Arial" w:cs="Arial"/>
          <w:color w:val="000000" w:themeColor="text1"/>
        </w:rPr>
        <w:t xml:space="preserve"> </w:t>
      </w:r>
    </w:p>
    <w:p w14:paraId="4680A044" w14:textId="489411FC" w:rsidR="00056338" w:rsidRDefault="00AB6530" w:rsidP="00744A17">
      <w:pPr>
        <w:rPr>
          <w:rFonts w:ascii="Arial" w:hAnsi="Arial" w:cs="Arial"/>
          <w:color w:val="000000" w:themeColor="text1"/>
        </w:rPr>
      </w:pPr>
      <w:r>
        <w:rPr>
          <w:rFonts w:ascii="Arial" w:hAnsi="Arial" w:cs="Arial"/>
          <w:color w:val="000000" w:themeColor="text1"/>
        </w:rPr>
        <w:t>(accessed: 28.12.2025)</w:t>
      </w:r>
    </w:p>
    <w:p w14:paraId="752C057F" w14:textId="77777777" w:rsidR="006D4646" w:rsidRDefault="006D4646" w:rsidP="00744A17">
      <w:pPr>
        <w:pStyle w:val="NormalWeb"/>
        <w:spacing w:before="0" w:beforeAutospacing="0" w:after="240" w:afterAutospacing="0"/>
        <w:rPr>
          <w:rFonts w:ascii="Arial" w:hAnsi="Arial" w:cs="Arial"/>
          <w:color w:val="000000"/>
        </w:rPr>
      </w:pPr>
    </w:p>
    <w:p w14:paraId="25411400" w14:textId="057F0694" w:rsidR="00541A15" w:rsidRDefault="00541A15" w:rsidP="00744A17">
      <w:pPr>
        <w:pStyle w:val="NormalWeb"/>
        <w:spacing w:before="0" w:beforeAutospacing="0" w:after="240" w:afterAutospacing="0"/>
        <w:rPr>
          <w:rFonts w:ascii="Arial" w:hAnsi="Arial" w:cs="Arial"/>
          <w:color w:val="000000"/>
        </w:rPr>
      </w:pPr>
      <w:r w:rsidRPr="00A15C06">
        <w:rPr>
          <w:rFonts w:ascii="Arial" w:hAnsi="Arial" w:cs="Arial"/>
          <w:color w:val="000000"/>
        </w:rPr>
        <w:t>LexisNexis (2025)</w:t>
      </w:r>
      <w:r w:rsidR="00160988">
        <w:rPr>
          <w:rFonts w:ascii="Arial" w:hAnsi="Arial" w:cs="Arial"/>
          <w:color w:val="000000"/>
        </w:rPr>
        <w:t>.</w:t>
      </w:r>
      <w:r w:rsidRPr="00A15C06">
        <w:rPr>
          <w:rFonts w:ascii="Arial" w:hAnsi="Arial" w:cs="Arial"/>
          <w:color w:val="000000"/>
        </w:rPr>
        <w:t xml:space="preserve"> Proprietary estoppel</w:t>
      </w:r>
      <w:r w:rsidR="000401BE" w:rsidRPr="00A15C06">
        <w:rPr>
          <w:rFonts w:ascii="Arial" w:hAnsi="Arial" w:cs="Arial"/>
          <w:color w:val="000000"/>
        </w:rPr>
        <w:t xml:space="preserve">. Available at: </w:t>
      </w:r>
      <w:hyperlink r:id="rId15" w:history="1">
        <w:r w:rsidR="00744A17" w:rsidRPr="00410F27">
          <w:rPr>
            <w:rStyle w:val="Hyperlink"/>
            <w:rFonts w:ascii="Arial" w:hAnsi="Arial" w:cs="Arial"/>
          </w:rPr>
          <w:t>https://www.lexisnexis.co.uk/legal/guidance/proprietary-estoppel</w:t>
        </w:r>
      </w:hyperlink>
      <w:r w:rsidR="00744A17">
        <w:rPr>
          <w:rFonts w:ascii="Arial" w:hAnsi="Arial" w:cs="Arial"/>
          <w:color w:val="000000"/>
        </w:rPr>
        <w:t xml:space="preserve"> </w:t>
      </w:r>
      <w:r w:rsidR="000401BE" w:rsidRPr="00A15C06">
        <w:rPr>
          <w:rFonts w:ascii="Arial" w:hAnsi="Arial" w:cs="Arial"/>
          <w:color w:val="000000"/>
        </w:rPr>
        <w:t>(Accessed: 29.12.2025)</w:t>
      </w:r>
    </w:p>
    <w:p w14:paraId="0151B9A7" w14:textId="7EBB0072" w:rsidR="00160988" w:rsidRPr="00A15C06" w:rsidRDefault="00160988" w:rsidP="00744A17">
      <w:pPr>
        <w:pStyle w:val="NormalWeb"/>
        <w:spacing w:before="0" w:beforeAutospacing="0" w:after="240" w:afterAutospacing="0"/>
        <w:rPr>
          <w:rFonts w:ascii="Arial" w:hAnsi="Arial" w:cs="Arial"/>
          <w:color w:val="000000"/>
        </w:rPr>
      </w:pPr>
      <w:r>
        <w:rPr>
          <w:rFonts w:ascii="Arial" w:hAnsi="Arial" w:cs="Arial"/>
          <w:color w:val="000000"/>
        </w:rPr>
        <w:t>Parliament.uk (2024). House of Lords</w:t>
      </w:r>
      <w:r w:rsidR="00661BC6">
        <w:rPr>
          <w:rFonts w:ascii="Arial" w:hAnsi="Arial" w:cs="Arial"/>
          <w:color w:val="000000"/>
        </w:rPr>
        <w:t xml:space="preserve"> – Thorner (Appellant) v Major and others (</w:t>
      </w:r>
      <w:r w:rsidR="000A23A7">
        <w:rPr>
          <w:rFonts w:ascii="Arial" w:hAnsi="Arial" w:cs="Arial"/>
          <w:color w:val="000000"/>
        </w:rPr>
        <w:t>R</w:t>
      </w:r>
      <w:r w:rsidR="00661BC6">
        <w:rPr>
          <w:rFonts w:ascii="Arial" w:hAnsi="Arial" w:cs="Arial"/>
          <w:color w:val="000000"/>
        </w:rPr>
        <w:t>esp</w:t>
      </w:r>
      <w:r w:rsidR="000A23A7">
        <w:rPr>
          <w:rFonts w:ascii="Arial" w:hAnsi="Arial" w:cs="Arial"/>
          <w:color w:val="000000"/>
        </w:rPr>
        <w:t xml:space="preserve">ondents). Available at: </w:t>
      </w:r>
      <w:hyperlink r:id="rId16" w:history="1">
        <w:r w:rsidR="000A23A7" w:rsidRPr="00410F27">
          <w:rPr>
            <w:rStyle w:val="Hyperlink"/>
            <w:rFonts w:ascii="Arial" w:hAnsi="Arial" w:cs="Arial"/>
          </w:rPr>
          <w:t>https://publications.parliament.uk/pa/ld200809/ldjudgmt/jd090325/thorn-1.htm</w:t>
        </w:r>
      </w:hyperlink>
      <w:r w:rsidR="000A23A7">
        <w:rPr>
          <w:rFonts w:ascii="Arial" w:hAnsi="Arial" w:cs="Arial"/>
          <w:color w:val="000000"/>
        </w:rPr>
        <w:t xml:space="preserve"> (Accessed: 29.12.2025)</w:t>
      </w:r>
    </w:p>
    <w:p w14:paraId="06042197" w14:textId="6CDD4BC2" w:rsidR="00A97E9E" w:rsidRDefault="002E332B" w:rsidP="00744A17">
      <w:pPr>
        <w:rPr>
          <w:rFonts w:ascii="Arial" w:hAnsi="Arial" w:cs="Arial"/>
          <w:color w:val="000000" w:themeColor="text1"/>
        </w:rPr>
      </w:pPr>
      <w:r w:rsidRPr="00D35B33">
        <w:rPr>
          <w:rFonts w:ascii="Arial" w:hAnsi="Arial" w:cs="Arial"/>
          <w:color w:val="000000" w:themeColor="text1"/>
        </w:rPr>
        <w:t>UOLLB (2024)</w:t>
      </w:r>
      <w:r w:rsidR="00561DA6" w:rsidRPr="00D35B33">
        <w:rPr>
          <w:rFonts w:ascii="Arial" w:hAnsi="Arial" w:cs="Arial"/>
          <w:color w:val="000000" w:themeColor="text1"/>
        </w:rPr>
        <w:t>. Grant v Edward [1986]</w:t>
      </w:r>
      <w:r w:rsidR="00072283" w:rsidRPr="00D35B33">
        <w:rPr>
          <w:rFonts w:ascii="Arial" w:hAnsi="Arial" w:cs="Arial"/>
          <w:color w:val="000000" w:themeColor="text1"/>
        </w:rPr>
        <w:t>. Available at:</w:t>
      </w:r>
      <w:r w:rsidR="000C56EC" w:rsidRPr="00D35B33">
        <w:rPr>
          <w:rFonts w:ascii="Arial" w:hAnsi="Arial" w:cs="Arial"/>
          <w:color w:val="000000" w:themeColor="text1"/>
        </w:rPr>
        <w:t xml:space="preserve"> </w:t>
      </w:r>
      <w:hyperlink r:id="rId17" w:history="1">
        <w:r w:rsidR="000C56EC" w:rsidRPr="00D35B33">
          <w:rPr>
            <w:rStyle w:val="Hyperlink"/>
            <w:rFonts w:ascii="Arial" w:hAnsi="Arial" w:cs="Arial"/>
          </w:rPr>
          <w:t>https://uollb.com/blogs/uol/grant-v-edwards-1986</w:t>
        </w:r>
      </w:hyperlink>
      <w:r w:rsidR="000C56EC" w:rsidRPr="00D35B33">
        <w:rPr>
          <w:rFonts w:ascii="Arial" w:hAnsi="Arial" w:cs="Arial"/>
          <w:color w:val="000000" w:themeColor="text1"/>
        </w:rPr>
        <w:t xml:space="preserve"> (accessed: 28.12.2025</w:t>
      </w:r>
      <w:r w:rsidR="00AF00E5">
        <w:rPr>
          <w:rFonts w:ascii="Arial" w:hAnsi="Arial" w:cs="Arial"/>
          <w:color w:val="000000" w:themeColor="text1"/>
        </w:rPr>
        <w:t>)</w:t>
      </w:r>
    </w:p>
    <w:p w14:paraId="62831774" w14:textId="77777777" w:rsidR="00AF00E5" w:rsidRPr="00AF00E5" w:rsidRDefault="00AF00E5" w:rsidP="00744A17">
      <w:pPr>
        <w:rPr>
          <w:rFonts w:ascii="Arial" w:hAnsi="Arial" w:cs="Arial"/>
          <w:color w:val="000000" w:themeColor="text1"/>
        </w:rPr>
      </w:pPr>
    </w:p>
    <w:p w14:paraId="4B9BD420" w14:textId="20703E5D" w:rsidR="00A97E9E" w:rsidRDefault="00A97E9E" w:rsidP="00744A17">
      <w:pPr>
        <w:rPr>
          <w:rFonts w:ascii="Arial" w:hAnsi="Arial" w:cs="Arial"/>
          <w:color w:val="000000" w:themeColor="text1"/>
        </w:rPr>
      </w:pPr>
      <w:proofErr w:type="spellStart"/>
      <w:r>
        <w:rPr>
          <w:rFonts w:ascii="Arial" w:hAnsi="Arial" w:cs="Arial"/>
          <w:color w:val="000000" w:themeColor="text1"/>
        </w:rPr>
        <w:t>Vlex</w:t>
      </w:r>
      <w:proofErr w:type="spellEnd"/>
      <w:r>
        <w:rPr>
          <w:rFonts w:ascii="Arial" w:hAnsi="Arial" w:cs="Arial"/>
          <w:color w:val="000000" w:themeColor="text1"/>
        </w:rPr>
        <w:t xml:space="preserve"> (2025). Lloyds Bank Plc</w:t>
      </w:r>
      <w:r w:rsidR="00AD3403">
        <w:rPr>
          <w:rFonts w:ascii="Arial" w:hAnsi="Arial" w:cs="Arial"/>
          <w:color w:val="000000" w:themeColor="text1"/>
        </w:rPr>
        <w:t xml:space="preserve"> v Rosset. Available at: </w:t>
      </w:r>
      <w:hyperlink r:id="rId18" w:history="1">
        <w:r w:rsidR="00AF00E5" w:rsidRPr="00410F27">
          <w:rPr>
            <w:rStyle w:val="Hyperlink"/>
            <w:rFonts w:ascii="Arial" w:hAnsi="Arial" w:cs="Arial"/>
          </w:rPr>
          <w:t>https://vlex.co.uk/vid/lloyds-bank-plc-v-793778589</w:t>
        </w:r>
      </w:hyperlink>
      <w:r w:rsidR="00AF00E5">
        <w:rPr>
          <w:rFonts w:ascii="Arial" w:hAnsi="Arial" w:cs="Arial"/>
          <w:color w:val="000000" w:themeColor="text1"/>
        </w:rPr>
        <w:t xml:space="preserve"> (accessed: 28.12.2025)</w:t>
      </w:r>
    </w:p>
    <w:p w14:paraId="1E8F7984" w14:textId="77777777" w:rsidR="00F27DCE" w:rsidRDefault="00F27DCE" w:rsidP="00744A17">
      <w:pPr>
        <w:rPr>
          <w:rFonts w:ascii="Arial" w:hAnsi="Arial" w:cs="Arial"/>
          <w:color w:val="000000" w:themeColor="text1"/>
        </w:rPr>
      </w:pPr>
    </w:p>
    <w:p w14:paraId="29011130" w14:textId="56537082" w:rsidR="00AF00E5" w:rsidRPr="00D35B33" w:rsidRDefault="00F27DCE" w:rsidP="008D71BD">
      <w:pPr>
        <w:rPr>
          <w:rFonts w:ascii="Arial" w:hAnsi="Arial" w:cs="Arial"/>
          <w:color w:val="000000" w:themeColor="text1"/>
        </w:rPr>
      </w:pPr>
      <w:r>
        <w:rPr>
          <w:rFonts w:ascii="Arial" w:hAnsi="Arial" w:cs="Arial"/>
          <w:color w:val="000000" w:themeColor="text1"/>
        </w:rPr>
        <w:t>Weightmans (2014). What is cohabitation or “living together” and why is it import</w:t>
      </w:r>
      <w:r w:rsidR="006D4646">
        <w:rPr>
          <w:rFonts w:ascii="Arial" w:hAnsi="Arial" w:cs="Arial"/>
          <w:color w:val="000000" w:themeColor="text1"/>
        </w:rPr>
        <w:t xml:space="preserve">ant? Available at: </w:t>
      </w:r>
      <w:hyperlink r:id="rId19" w:history="1">
        <w:r w:rsidR="006D4646" w:rsidRPr="00410F27">
          <w:rPr>
            <w:rStyle w:val="Hyperlink"/>
            <w:rFonts w:ascii="Arial" w:hAnsi="Arial" w:cs="Arial"/>
          </w:rPr>
          <w:t>https://www.weightmans.com/insights/what-is-cohabitation-or-living-together-and-why-is-it-important/</w:t>
        </w:r>
      </w:hyperlink>
      <w:r w:rsidR="006D4646">
        <w:rPr>
          <w:rFonts w:ascii="Arial" w:hAnsi="Arial" w:cs="Arial"/>
          <w:color w:val="000000" w:themeColor="text1"/>
        </w:rPr>
        <w:t xml:space="preserve"> (Accessed: 29.12.2025)</w:t>
      </w:r>
    </w:p>
    <w:p w14:paraId="284D692C" w14:textId="77777777" w:rsidR="000C56EC" w:rsidRPr="00273BBC" w:rsidRDefault="000C56EC" w:rsidP="00D35B33">
      <w:pPr>
        <w:pStyle w:val="ListParagraph"/>
        <w:spacing w:line="360" w:lineRule="auto"/>
        <w:rPr>
          <w:rFonts w:ascii="Arial" w:hAnsi="Arial" w:cs="Arial"/>
          <w:color w:val="000000" w:themeColor="text1"/>
        </w:rPr>
      </w:pPr>
    </w:p>
    <w:p w14:paraId="5FA7FBEF" w14:textId="77777777" w:rsidR="000B75A1" w:rsidRPr="001A6CEE" w:rsidRDefault="000B75A1" w:rsidP="001A6CEE">
      <w:pPr>
        <w:spacing w:line="360" w:lineRule="auto"/>
        <w:rPr>
          <w:rFonts w:ascii="Arial" w:hAnsi="Arial" w:cs="Arial"/>
          <w:color w:val="70AD47" w:themeColor="accent6"/>
        </w:rPr>
      </w:pPr>
    </w:p>
    <w:p w14:paraId="6C408D3D" w14:textId="77777777" w:rsidR="005F216E" w:rsidRPr="009D531E" w:rsidRDefault="005F216E" w:rsidP="009D531E">
      <w:pPr>
        <w:spacing w:line="360" w:lineRule="auto"/>
        <w:rPr>
          <w:rFonts w:ascii="Arial" w:hAnsi="Arial" w:cs="Arial"/>
        </w:rPr>
      </w:pPr>
    </w:p>
    <w:sectPr w:rsidR="005F216E" w:rsidRPr="009D531E">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C9035" w14:textId="77777777" w:rsidR="00311C71" w:rsidRDefault="00311C71" w:rsidP="00A27820">
      <w:r>
        <w:separator/>
      </w:r>
    </w:p>
  </w:endnote>
  <w:endnote w:type="continuationSeparator" w:id="0">
    <w:p w14:paraId="502608C3" w14:textId="77777777" w:rsidR="00311C71" w:rsidRDefault="00311C71"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2042476"/>
      <w:docPartObj>
        <w:docPartGallery w:val="Page Numbers (Bottom of Page)"/>
        <w:docPartUnique/>
      </w:docPartObj>
    </w:sdtPr>
    <w:sdtEndPr>
      <w:rPr>
        <w:rStyle w:val="PageNumber"/>
      </w:rPr>
    </w:sdtEnd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3464338"/>
      <w:docPartObj>
        <w:docPartGallery w:val="Page Numbers (Bottom of Page)"/>
        <w:docPartUnique/>
      </w:docPartObj>
    </w:sdtPr>
    <w:sdtEndPr>
      <w:rPr>
        <w:rStyle w:val="PageNumber"/>
      </w:rPr>
    </w:sdtEnd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0CE58" w14:textId="77777777" w:rsidR="00311C71" w:rsidRDefault="00311C71" w:rsidP="00A27820">
      <w:r>
        <w:separator/>
      </w:r>
    </w:p>
  </w:footnote>
  <w:footnote w:type="continuationSeparator" w:id="0">
    <w:p w14:paraId="5BAC5B6C" w14:textId="77777777" w:rsidR="00311C71" w:rsidRDefault="00311C71" w:rsidP="00A27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02D6B" w14:textId="0C22C289" w:rsidR="00101698" w:rsidRPr="004F092A" w:rsidRDefault="00101698">
    <w:pPr>
      <w:pStyle w:val="Header"/>
      <w:rPr>
        <w:rFonts w:ascii="Arial" w:hAnsi="Arial" w:cs="Arial"/>
      </w:rPr>
    </w:pPr>
    <w:r w:rsidRPr="004F092A">
      <w:rPr>
        <w:rFonts w:ascii="Arial" w:hAnsi="Arial" w:cs="Arial"/>
      </w:rPr>
      <w:t>Diana Demeterova                                                                Land Law Assignment</w:t>
    </w:r>
  </w:p>
  <w:p w14:paraId="1AA5D0AC" w14:textId="45A351FC" w:rsidR="00101698" w:rsidRPr="004F092A" w:rsidRDefault="00101698">
    <w:pPr>
      <w:pStyle w:val="Header"/>
      <w:rPr>
        <w:rFonts w:ascii="Arial" w:hAnsi="Arial" w:cs="Arial"/>
      </w:rPr>
    </w:pPr>
    <w:r w:rsidRPr="004F092A">
      <w:rPr>
        <w:rFonts w:ascii="Arial" w:hAnsi="Arial" w:cs="Arial"/>
      </w:rPr>
      <w:t xml:space="preserve">   2314066                                                                         </w:t>
    </w:r>
    <w:r w:rsidR="004F092A" w:rsidRPr="004F092A">
      <w:rPr>
        <w:rFonts w:ascii="Arial" w:hAnsi="Arial" w:cs="Arial"/>
      </w:rPr>
      <w:t xml:space="preserve">       Skeleton Argument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E1325"/>
    <w:multiLevelType w:val="hybridMultilevel"/>
    <w:tmpl w:val="69184CA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5" w15:restartNumberingAfterBreak="0">
    <w:nsid w:val="1BAC425D"/>
    <w:multiLevelType w:val="multilevel"/>
    <w:tmpl w:val="A53EB36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4"/>
        <w:szCs w:val="24"/>
      </w:r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A36587E"/>
    <w:multiLevelType w:val="hybridMultilevel"/>
    <w:tmpl w:val="67AA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43682C20"/>
    <w:multiLevelType w:val="hybridMultilevel"/>
    <w:tmpl w:val="EE24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014571D"/>
    <w:multiLevelType w:val="hybridMultilevel"/>
    <w:tmpl w:val="5C28CF2C"/>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7" w15:restartNumberingAfterBreak="0">
    <w:nsid w:val="5122509F"/>
    <w:multiLevelType w:val="hybridMultilevel"/>
    <w:tmpl w:val="5AEEB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0E31E98"/>
    <w:multiLevelType w:val="multilevel"/>
    <w:tmpl w:val="AEE63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142338276">
    <w:abstractNumId w:val="14"/>
  </w:num>
  <w:num w:numId="2" w16cid:durableId="2120635015">
    <w:abstractNumId w:val="1"/>
  </w:num>
  <w:num w:numId="3" w16cid:durableId="409429405">
    <w:abstractNumId w:val="10"/>
  </w:num>
  <w:num w:numId="4" w16cid:durableId="966425405">
    <w:abstractNumId w:val="2"/>
  </w:num>
  <w:num w:numId="5" w16cid:durableId="905720763">
    <w:abstractNumId w:val="8"/>
  </w:num>
  <w:num w:numId="6" w16cid:durableId="1688821942">
    <w:abstractNumId w:val="12"/>
  </w:num>
  <w:num w:numId="7" w16cid:durableId="1028261598">
    <w:abstractNumId w:val="5"/>
  </w:num>
  <w:num w:numId="8" w16cid:durableId="1507552221">
    <w:abstractNumId w:val="15"/>
  </w:num>
  <w:num w:numId="9" w16cid:durableId="2146777341">
    <w:abstractNumId w:val="3"/>
  </w:num>
  <w:num w:numId="10" w16cid:durableId="1605649047">
    <w:abstractNumId w:val="7"/>
  </w:num>
  <w:num w:numId="11" w16cid:durableId="1501387600">
    <w:abstractNumId w:val="0"/>
  </w:num>
  <w:num w:numId="12" w16cid:durableId="759907699">
    <w:abstractNumId w:val="6"/>
  </w:num>
  <w:num w:numId="13" w16cid:durableId="1294866029">
    <w:abstractNumId w:val="20"/>
  </w:num>
  <w:num w:numId="14" w16cid:durableId="600912506">
    <w:abstractNumId w:val="18"/>
  </w:num>
  <w:num w:numId="15" w16cid:durableId="882865229">
    <w:abstractNumId w:val="11"/>
  </w:num>
  <w:num w:numId="16" w16cid:durableId="607006908">
    <w:abstractNumId w:val="16"/>
  </w:num>
  <w:num w:numId="17" w16cid:durableId="9063826">
    <w:abstractNumId w:val="4"/>
  </w:num>
  <w:num w:numId="18" w16cid:durableId="2025746734">
    <w:abstractNumId w:val="13"/>
  </w:num>
  <w:num w:numId="19" w16cid:durableId="560554446">
    <w:abstractNumId w:val="19"/>
  </w:num>
  <w:num w:numId="20" w16cid:durableId="1743873993">
    <w:abstractNumId w:val="17"/>
  </w:num>
  <w:num w:numId="21" w16cid:durableId="16333678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153A8"/>
    <w:rsid w:val="00032155"/>
    <w:rsid w:val="0003398A"/>
    <w:rsid w:val="0003621E"/>
    <w:rsid w:val="00036322"/>
    <w:rsid w:val="000401BE"/>
    <w:rsid w:val="00051AA5"/>
    <w:rsid w:val="00056338"/>
    <w:rsid w:val="00072283"/>
    <w:rsid w:val="0008183A"/>
    <w:rsid w:val="000851C2"/>
    <w:rsid w:val="0008721A"/>
    <w:rsid w:val="00093B58"/>
    <w:rsid w:val="00093E8D"/>
    <w:rsid w:val="000A23A7"/>
    <w:rsid w:val="000B02BA"/>
    <w:rsid w:val="000B75A1"/>
    <w:rsid w:val="000C56EC"/>
    <w:rsid w:val="000C6A65"/>
    <w:rsid w:val="000D2437"/>
    <w:rsid w:val="000D51C6"/>
    <w:rsid w:val="000E0EDB"/>
    <w:rsid w:val="000E4A39"/>
    <w:rsid w:val="000F0376"/>
    <w:rsid w:val="000F08A4"/>
    <w:rsid w:val="000F6367"/>
    <w:rsid w:val="00100ED0"/>
    <w:rsid w:val="00101698"/>
    <w:rsid w:val="00106A00"/>
    <w:rsid w:val="001130D8"/>
    <w:rsid w:val="001218FF"/>
    <w:rsid w:val="00122144"/>
    <w:rsid w:val="00127808"/>
    <w:rsid w:val="001303D5"/>
    <w:rsid w:val="00144A7A"/>
    <w:rsid w:val="00151B46"/>
    <w:rsid w:val="0015251C"/>
    <w:rsid w:val="00155226"/>
    <w:rsid w:val="00160988"/>
    <w:rsid w:val="00163484"/>
    <w:rsid w:val="001963B2"/>
    <w:rsid w:val="001A4BE9"/>
    <w:rsid w:val="001A6CEE"/>
    <w:rsid w:val="001B3EEF"/>
    <w:rsid w:val="001B7ED1"/>
    <w:rsid w:val="001C328D"/>
    <w:rsid w:val="001C790A"/>
    <w:rsid w:val="001D3BE9"/>
    <w:rsid w:val="001D3C18"/>
    <w:rsid w:val="001D5CE8"/>
    <w:rsid w:val="001E5188"/>
    <w:rsid w:val="001E62E8"/>
    <w:rsid w:val="001F0520"/>
    <w:rsid w:val="001F0522"/>
    <w:rsid w:val="001F1471"/>
    <w:rsid w:val="001F1F1D"/>
    <w:rsid w:val="001F2EFC"/>
    <w:rsid w:val="001F520B"/>
    <w:rsid w:val="00202FC4"/>
    <w:rsid w:val="0021185E"/>
    <w:rsid w:val="00220742"/>
    <w:rsid w:val="00223044"/>
    <w:rsid w:val="00224158"/>
    <w:rsid w:val="00233A77"/>
    <w:rsid w:val="00241699"/>
    <w:rsid w:val="00244677"/>
    <w:rsid w:val="002448FC"/>
    <w:rsid w:val="00247123"/>
    <w:rsid w:val="00264EC2"/>
    <w:rsid w:val="00266D51"/>
    <w:rsid w:val="002678B0"/>
    <w:rsid w:val="00273BBC"/>
    <w:rsid w:val="002779F1"/>
    <w:rsid w:val="00285FA3"/>
    <w:rsid w:val="0029585B"/>
    <w:rsid w:val="002A43E7"/>
    <w:rsid w:val="002A61F3"/>
    <w:rsid w:val="002C1E8B"/>
    <w:rsid w:val="002C71DB"/>
    <w:rsid w:val="002E332B"/>
    <w:rsid w:val="002E3888"/>
    <w:rsid w:val="002F3259"/>
    <w:rsid w:val="002F7D75"/>
    <w:rsid w:val="00311C71"/>
    <w:rsid w:val="00313168"/>
    <w:rsid w:val="003144A7"/>
    <w:rsid w:val="00323DEA"/>
    <w:rsid w:val="00326D64"/>
    <w:rsid w:val="003309AF"/>
    <w:rsid w:val="00346562"/>
    <w:rsid w:val="00372006"/>
    <w:rsid w:val="00381627"/>
    <w:rsid w:val="00382A8C"/>
    <w:rsid w:val="00395A18"/>
    <w:rsid w:val="003A1DF4"/>
    <w:rsid w:val="003A42AC"/>
    <w:rsid w:val="003B7E0F"/>
    <w:rsid w:val="003C073D"/>
    <w:rsid w:val="003C7EFB"/>
    <w:rsid w:val="003D266B"/>
    <w:rsid w:val="003D7F6A"/>
    <w:rsid w:val="003E7818"/>
    <w:rsid w:val="003F73AF"/>
    <w:rsid w:val="003F783D"/>
    <w:rsid w:val="0040237B"/>
    <w:rsid w:val="00403E8A"/>
    <w:rsid w:val="00415FF6"/>
    <w:rsid w:val="00416CF1"/>
    <w:rsid w:val="004176CB"/>
    <w:rsid w:val="00421597"/>
    <w:rsid w:val="00431789"/>
    <w:rsid w:val="00436052"/>
    <w:rsid w:val="00436A6D"/>
    <w:rsid w:val="00441F21"/>
    <w:rsid w:val="004507D4"/>
    <w:rsid w:val="004568EA"/>
    <w:rsid w:val="00457A0B"/>
    <w:rsid w:val="004611F0"/>
    <w:rsid w:val="004713FE"/>
    <w:rsid w:val="00475476"/>
    <w:rsid w:val="004834F4"/>
    <w:rsid w:val="00483FF3"/>
    <w:rsid w:val="004A0DD0"/>
    <w:rsid w:val="004A5AB3"/>
    <w:rsid w:val="004A7F04"/>
    <w:rsid w:val="004D3751"/>
    <w:rsid w:val="004E456B"/>
    <w:rsid w:val="004E76A7"/>
    <w:rsid w:val="004F092A"/>
    <w:rsid w:val="00500E0B"/>
    <w:rsid w:val="00504425"/>
    <w:rsid w:val="00506880"/>
    <w:rsid w:val="0051236F"/>
    <w:rsid w:val="0051383F"/>
    <w:rsid w:val="005150BF"/>
    <w:rsid w:val="005203CC"/>
    <w:rsid w:val="00534C8F"/>
    <w:rsid w:val="00541A15"/>
    <w:rsid w:val="00546CA9"/>
    <w:rsid w:val="00551214"/>
    <w:rsid w:val="005530E4"/>
    <w:rsid w:val="00555A1F"/>
    <w:rsid w:val="00561DA6"/>
    <w:rsid w:val="00563A66"/>
    <w:rsid w:val="00575B94"/>
    <w:rsid w:val="0057790B"/>
    <w:rsid w:val="00580E5B"/>
    <w:rsid w:val="00581539"/>
    <w:rsid w:val="005832F2"/>
    <w:rsid w:val="00590860"/>
    <w:rsid w:val="005935A8"/>
    <w:rsid w:val="005A32E9"/>
    <w:rsid w:val="005A4C24"/>
    <w:rsid w:val="005A7A2B"/>
    <w:rsid w:val="005C2CB5"/>
    <w:rsid w:val="005D37DF"/>
    <w:rsid w:val="005D564C"/>
    <w:rsid w:val="005D7BDE"/>
    <w:rsid w:val="005E0719"/>
    <w:rsid w:val="005E545B"/>
    <w:rsid w:val="005E7D91"/>
    <w:rsid w:val="005F216E"/>
    <w:rsid w:val="005F2EDA"/>
    <w:rsid w:val="00611206"/>
    <w:rsid w:val="00614720"/>
    <w:rsid w:val="00614875"/>
    <w:rsid w:val="006202AE"/>
    <w:rsid w:val="006224C1"/>
    <w:rsid w:val="00625597"/>
    <w:rsid w:val="00630128"/>
    <w:rsid w:val="00637986"/>
    <w:rsid w:val="00650104"/>
    <w:rsid w:val="0065375F"/>
    <w:rsid w:val="0065600C"/>
    <w:rsid w:val="00661BC6"/>
    <w:rsid w:val="006642EC"/>
    <w:rsid w:val="00665447"/>
    <w:rsid w:val="00665D63"/>
    <w:rsid w:val="00674F24"/>
    <w:rsid w:val="00684AAB"/>
    <w:rsid w:val="006851F0"/>
    <w:rsid w:val="0069056C"/>
    <w:rsid w:val="00694DFA"/>
    <w:rsid w:val="006A0097"/>
    <w:rsid w:val="006A11F4"/>
    <w:rsid w:val="006A44CD"/>
    <w:rsid w:val="006A4635"/>
    <w:rsid w:val="006A6A90"/>
    <w:rsid w:val="006B08CE"/>
    <w:rsid w:val="006B7EFD"/>
    <w:rsid w:val="006D138F"/>
    <w:rsid w:val="006D4646"/>
    <w:rsid w:val="006D6EC7"/>
    <w:rsid w:val="006E0719"/>
    <w:rsid w:val="006E221D"/>
    <w:rsid w:val="006F3B4F"/>
    <w:rsid w:val="006F6D59"/>
    <w:rsid w:val="00703F0F"/>
    <w:rsid w:val="00721224"/>
    <w:rsid w:val="0072498F"/>
    <w:rsid w:val="007257DD"/>
    <w:rsid w:val="00730F9B"/>
    <w:rsid w:val="0073618B"/>
    <w:rsid w:val="00744A17"/>
    <w:rsid w:val="0075150E"/>
    <w:rsid w:val="00755124"/>
    <w:rsid w:val="007554CA"/>
    <w:rsid w:val="00760EE1"/>
    <w:rsid w:val="0076417E"/>
    <w:rsid w:val="00770884"/>
    <w:rsid w:val="00773A3C"/>
    <w:rsid w:val="007A1560"/>
    <w:rsid w:val="007B1D7F"/>
    <w:rsid w:val="007C473A"/>
    <w:rsid w:val="007D0C75"/>
    <w:rsid w:val="007D5C3F"/>
    <w:rsid w:val="007D6888"/>
    <w:rsid w:val="007E35AF"/>
    <w:rsid w:val="007E7277"/>
    <w:rsid w:val="007F43A4"/>
    <w:rsid w:val="0080234C"/>
    <w:rsid w:val="00804C2B"/>
    <w:rsid w:val="00807D55"/>
    <w:rsid w:val="008143F1"/>
    <w:rsid w:val="008514BC"/>
    <w:rsid w:val="00855397"/>
    <w:rsid w:val="00871965"/>
    <w:rsid w:val="00871E32"/>
    <w:rsid w:val="0088370F"/>
    <w:rsid w:val="0088654A"/>
    <w:rsid w:val="008912EA"/>
    <w:rsid w:val="00894903"/>
    <w:rsid w:val="008B3572"/>
    <w:rsid w:val="008C08BC"/>
    <w:rsid w:val="008C0EE0"/>
    <w:rsid w:val="008C2F1F"/>
    <w:rsid w:val="008D2B09"/>
    <w:rsid w:val="008D5940"/>
    <w:rsid w:val="008D71BD"/>
    <w:rsid w:val="008F34A7"/>
    <w:rsid w:val="0090365C"/>
    <w:rsid w:val="00905592"/>
    <w:rsid w:val="00921B25"/>
    <w:rsid w:val="00924B90"/>
    <w:rsid w:val="00924C05"/>
    <w:rsid w:val="009265B9"/>
    <w:rsid w:val="00933D2B"/>
    <w:rsid w:val="0096213A"/>
    <w:rsid w:val="00962418"/>
    <w:rsid w:val="00973BFB"/>
    <w:rsid w:val="009828C9"/>
    <w:rsid w:val="009834D5"/>
    <w:rsid w:val="009A4560"/>
    <w:rsid w:val="009B2527"/>
    <w:rsid w:val="009B428F"/>
    <w:rsid w:val="009C092B"/>
    <w:rsid w:val="009D531E"/>
    <w:rsid w:val="009D59B1"/>
    <w:rsid w:val="009D5EDE"/>
    <w:rsid w:val="009D7C78"/>
    <w:rsid w:val="009E15CB"/>
    <w:rsid w:val="009E464C"/>
    <w:rsid w:val="009F1367"/>
    <w:rsid w:val="009F2A46"/>
    <w:rsid w:val="009F69F6"/>
    <w:rsid w:val="00A01A59"/>
    <w:rsid w:val="00A15C06"/>
    <w:rsid w:val="00A27820"/>
    <w:rsid w:val="00A302B8"/>
    <w:rsid w:val="00A40C37"/>
    <w:rsid w:val="00A52468"/>
    <w:rsid w:val="00A57D4A"/>
    <w:rsid w:val="00A601EE"/>
    <w:rsid w:val="00A62B15"/>
    <w:rsid w:val="00A72B48"/>
    <w:rsid w:val="00A87B26"/>
    <w:rsid w:val="00A90E70"/>
    <w:rsid w:val="00A90FBC"/>
    <w:rsid w:val="00A942DB"/>
    <w:rsid w:val="00A97E9E"/>
    <w:rsid w:val="00AA421C"/>
    <w:rsid w:val="00AA44C8"/>
    <w:rsid w:val="00AA6BA9"/>
    <w:rsid w:val="00AA7A99"/>
    <w:rsid w:val="00AB2E88"/>
    <w:rsid w:val="00AB5D70"/>
    <w:rsid w:val="00AB6530"/>
    <w:rsid w:val="00AC29B5"/>
    <w:rsid w:val="00AD3403"/>
    <w:rsid w:val="00AF00E5"/>
    <w:rsid w:val="00AF1759"/>
    <w:rsid w:val="00B006A0"/>
    <w:rsid w:val="00B07F3F"/>
    <w:rsid w:val="00B24B94"/>
    <w:rsid w:val="00B27772"/>
    <w:rsid w:val="00B321A7"/>
    <w:rsid w:val="00B3586F"/>
    <w:rsid w:val="00B365A7"/>
    <w:rsid w:val="00B45659"/>
    <w:rsid w:val="00B610B0"/>
    <w:rsid w:val="00B67821"/>
    <w:rsid w:val="00B75E8D"/>
    <w:rsid w:val="00B81288"/>
    <w:rsid w:val="00B8190D"/>
    <w:rsid w:val="00B81BD0"/>
    <w:rsid w:val="00B91837"/>
    <w:rsid w:val="00B977B7"/>
    <w:rsid w:val="00BA0A8D"/>
    <w:rsid w:val="00BA629C"/>
    <w:rsid w:val="00BC0D70"/>
    <w:rsid w:val="00BC3708"/>
    <w:rsid w:val="00BD1801"/>
    <w:rsid w:val="00BD2A4C"/>
    <w:rsid w:val="00BF62CE"/>
    <w:rsid w:val="00BF7E8B"/>
    <w:rsid w:val="00C04055"/>
    <w:rsid w:val="00C150F9"/>
    <w:rsid w:val="00C311EF"/>
    <w:rsid w:val="00C339E7"/>
    <w:rsid w:val="00C35C72"/>
    <w:rsid w:val="00C56652"/>
    <w:rsid w:val="00C6628D"/>
    <w:rsid w:val="00C6792D"/>
    <w:rsid w:val="00C67930"/>
    <w:rsid w:val="00C80049"/>
    <w:rsid w:val="00C84929"/>
    <w:rsid w:val="00C84DD1"/>
    <w:rsid w:val="00C91AF2"/>
    <w:rsid w:val="00CA2EF6"/>
    <w:rsid w:val="00CA47E4"/>
    <w:rsid w:val="00CA4D9E"/>
    <w:rsid w:val="00CB3521"/>
    <w:rsid w:val="00CC39C6"/>
    <w:rsid w:val="00CC4992"/>
    <w:rsid w:val="00CD31B6"/>
    <w:rsid w:val="00CD3FA6"/>
    <w:rsid w:val="00CF124B"/>
    <w:rsid w:val="00CF1C59"/>
    <w:rsid w:val="00CF1E17"/>
    <w:rsid w:val="00D136E7"/>
    <w:rsid w:val="00D169EC"/>
    <w:rsid w:val="00D20738"/>
    <w:rsid w:val="00D20B82"/>
    <w:rsid w:val="00D21098"/>
    <w:rsid w:val="00D35B33"/>
    <w:rsid w:val="00D363B0"/>
    <w:rsid w:val="00D474A4"/>
    <w:rsid w:val="00D47705"/>
    <w:rsid w:val="00D52F29"/>
    <w:rsid w:val="00D53D67"/>
    <w:rsid w:val="00D62530"/>
    <w:rsid w:val="00D6603D"/>
    <w:rsid w:val="00D73283"/>
    <w:rsid w:val="00D73655"/>
    <w:rsid w:val="00D80C42"/>
    <w:rsid w:val="00D905A8"/>
    <w:rsid w:val="00D926E2"/>
    <w:rsid w:val="00D94925"/>
    <w:rsid w:val="00D94E6A"/>
    <w:rsid w:val="00DA1B7E"/>
    <w:rsid w:val="00DA5226"/>
    <w:rsid w:val="00DA5CE9"/>
    <w:rsid w:val="00DC11E6"/>
    <w:rsid w:val="00DC5399"/>
    <w:rsid w:val="00DC5524"/>
    <w:rsid w:val="00DC761E"/>
    <w:rsid w:val="00DD496D"/>
    <w:rsid w:val="00DE7FEE"/>
    <w:rsid w:val="00DF2AE2"/>
    <w:rsid w:val="00DF36A3"/>
    <w:rsid w:val="00DF39E6"/>
    <w:rsid w:val="00E01D8F"/>
    <w:rsid w:val="00E213F2"/>
    <w:rsid w:val="00E3082F"/>
    <w:rsid w:val="00E3405E"/>
    <w:rsid w:val="00E34995"/>
    <w:rsid w:val="00E3594E"/>
    <w:rsid w:val="00E415F3"/>
    <w:rsid w:val="00E447BA"/>
    <w:rsid w:val="00E44B23"/>
    <w:rsid w:val="00E519EF"/>
    <w:rsid w:val="00E548E2"/>
    <w:rsid w:val="00E62B0E"/>
    <w:rsid w:val="00E62E55"/>
    <w:rsid w:val="00E72CC0"/>
    <w:rsid w:val="00E8033F"/>
    <w:rsid w:val="00E91965"/>
    <w:rsid w:val="00E91E10"/>
    <w:rsid w:val="00E951F5"/>
    <w:rsid w:val="00EA4977"/>
    <w:rsid w:val="00EA4D32"/>
    <w:rsid w:val="00EB2928"/>
    <w:rsid w:val="00EB39F6"/>
    <w:rsid w:val="00EC1222"/>
    <w:rsid w:val="00EC6185"/>
    <w:rsid w:val="00ED2BE2"/>
    <w:rsid w:val="00ED7ADF"/>
    <w:rsid w:val="00EF2E48"/>
    <w:rsid w:val="00EF5116"/>
    <w:rsid w:val="00F04DE8"/>
    <w:rsid w:val="00F10F77"/>
    <w:rsid w:val="00F13422"/>
    <w:rsid w:val="00F14498"/>
    <w:rsid w:val="00F161D7"/>
    <w:rsid w:val="00F16753"/>
    <w:rsid w:val="00F1771A"/>
    <w:rsid w:val="00F24A6C"/>
    <w:rsid w:val="00F27DCE"/>
    <w:rsid w:val="00F31919"/>
    <w:rsid w:val="00F34894"/>
    <w:rsid w:val="00F45FD6"/>
    <w:rsid w:val="00F463F8"/>
    <w:rsid w:val="00F51E27"/>
    <w:rsid w:val="00F564F0"/>
    <w:rsid w:val="00F5702E"/>
    <w:rsid w:val="00F6130D"/>
    <w:rsid w:val="00F65F8C"/>
    <w:rsid w:val="00F67DD3"/>
    <w:rsid w:val="00F75C9D"/>
    <w:rsid w:val="00F855AF"/>
    <w:rsid w:val="00F932DB"/>
    <w:rsid w:val="00F93743"/>
    <w:rsid w:val="00FB0163"/>
    <w:rsid w:val="00FB09DA"/>
    <w:rsid w:val="00FB0BF1"/>
    <w:rsid w:val="00FB2AEE"/>
    <w:rsid w:val="00FB7D00"/>
    <w:rsid w:val="00FD3D5A"/>
    <w:rsid w:val="00FF19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NormalWeb">
    <w:name w:val="Normal (Web)"/>
    <w:basedOn w:val="Normal"/>
    <w:uiPriority w:val="99"/>
    <w:semiHidden/>
    <w:unhideWhenUsed/>
    <w:rsid w:val="00C56652"/>
    <w:pPr>
      <w:spacing w:before="100" w:beforeAutospacing="1" w:after="100" w:afterAutospacing="1"/>
    </w:pPr>
  </w:style>
  <w:style w:type="character" w:customStyle="1" w:styleId="apple-converted-space">
    <w:name w:val="apple-converted-space"/>
    <w:basedOn w:val="DefaultParagraphFont"/>
    <w:rsid w:val="00C56652"/>
  </w:style>
  <w:style w:type="character" w:styleId="Emphasis">
    <w:name w:val="Emphasis"/>
    <w:basedOn w:val="DefaultParagraphFont"/>
    <w:uiPriority w:val="20"/>
    <w:qFormat/>
    <w:rsid w:val="001F14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mine.com/judgement/uk/5a8ff7cd60d03e7f57eb234d" TargetMode="External"/><Relationship Id="rId13" Type="http://schemas.openxmlformats.org/officeDocument/2006/relationships/hyperlink" Target="https://www.gov.uk/shared-ownership-scheme" TargetMode="External"/><Relationship Id="rId18" Type="http://schemas.openxmlformats.org/officeDocument/2006/relationships/hyperlink" Target="https://vlex.co.uk/vid/lloyds-bank-plc-v-79377858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jg.co.uk/a-cohabitation-case-study-burns-v-burns/" TargetMode="External"/><Relationship Id="rId17" Type="http://schemas.openxmlformats.org/officeDocument/2006/relationships/hyperlink" Target="https://uollb.com/blogs/uol/grant-v-edwards-1986" TargetMode="External"/><Relationship Id="rId2" Type="http://schemas.openxmlformats.org/officeDocument/2006/relationships/numbering" Target="numbering.xml"/><Relationship Id="rId16" Type="http://schemas.openxmlformats.org/officeDocument/2006/relationships/hyperlink" Target="https://publications.parliament.uk/pa/ld200809/ldjudgmt/jd090325/thorn-1.ht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tylawtutors.co.uk/law-journal/stack-v-dowden-and-jones-v-kernot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xisnexis.co.uk/legal/guidance/proprietary-estoppel" TargetMode="External"/><Relationship Id="rId23" Type="http://schemas.openxmlformats.org/officeDocument/2006/relationships/fontTable" Target="fontTable.xml"/><Relationship Id="rId10" Type="http://schemas.openxmlformats.org/officeDocument/2006/relationships/hyperlink" Target="https://www.casemine.com/judgement/uk/5a8ff7aa60d03e7f57eb1065" TargetMode="External"/><Relationship Id="rId19" Type="http://schemas.openxmlformats.org/officeDocument/2006/relationships/hyperlink" Target="https://www.weightmans.com/insights/what-is-cohabitation-or-living-together-and-why-is-it-important/" TargetMode="External"/><Relationship Id="rId4" Type="http://schemas.openxmlformats.org/officeDocument/2006/relationships/settings" Target="settings.xml"/><Relationship Id="rId9" Type="http://schemas.openxmlformats.org/officeDocument/2006/relationships/hyperlink" Target="https://www.casemine.com/judgement/uk/5a8ff7a260d03e7f57eb0881" TargetMode="External"/><Relationship Id="rId14" Type="http://schemas.openxmlformats.org/officeDocument/2006/relationships/hyperlink" Target="https://ipsaloquitur.com/land-law/cases/geary-v-rankin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36363-62DC-A541-91AE-3A87E3556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2310</Words>
  <Characters>13168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diana demeterova</cp:lastModifiedBy>
  <cp:revision>2</cp:revision>
  <dcterms:created xsi:type="dcterms:W3CDTF">2026-01-02T14:58:00Z</dcterms:created>
  <dcterms:modified xsi:type="dcterms:W3CDTF">2026-01-02T14:58:00Z</dcterms:modified>
</cp:coreProperties>
</file>