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4E2F8AFE"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A404A7">
              <w:rPr>
                <w:rFonts w:ascii="Times New Roman" w:hAnsi="Times New Roman" w:cs="Times New Roman"/>
                <w:b/>
                <w:sz w:val="48"/>
              </w:rPr>
              <w:t>Leanne Evans</w:t>
            </w:r>
          </w:p>
          <w:p w14:paraId="2CEE7446" w14:textId="77777777" w:rsidR="00943FDB" w:rsidRDefault="00943FDB" w:rsidP="00415891">
            <w:pPr>
              <w:ind w:right="-957"/>
              <w:rPr>
                <w:rFonts w:ascii="Times New Roman" w:hAnsi="Times New Roman" w:cs="Times New Roman"/>
                <w:b/>
                <w:sz w:val="48"/>
              </w:rPr>
            </w:pPr>
          </w:p>
          <w:p w14:paraId="52EF6683" w14:textId="23592509"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A404A7">
              <w:rPr>
                <w:rFonts w:ascii="Times New Roman" w:hAnsi="Times New Roman" w:cs="Times New Roman"/>
                <w:b/>
                <w:sz w:val="48"/>
              </w:rPr>
              <w:t xml:space="preserve"> Leanne.evans@zoho.com</w:t>
            </w:r>
          </w:p>
          <w:p w14:paraId="453C9B90" w14:textId="77777777" w:rsidR="00943FDB" w:rsidRDefault="00943FDB" w:rsidP="00415891">
            <w:pPr>
              <w:ind w:right="-957"/>
              <w:rPr>
                <w:rFonts w:ascii="Times New Roman" w:hAnsi="Times New Roman" w:cs="Times New Roman"/>
                <w:b/>
                <w:sz w:val="48"/>
              </w:rPr>
            </w:pPr>
          </w:p>
          <w:p w14:paraId="4128B356" w14:textId="21968E1A"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3546F3">
              <w:rPr>
                <w:rFonts w:ascii="Times New Roman" w:hAnsi="Times New Roman" w:cs="Times New Roman"/>
                <w:b/>
                <w:sz w:val="48"/>
              </w:rPr>
              <w:t xml:space="preserve"> </w:t>
            </w:r>
            <w:r w:rsidR="003546F3" w:rsidRPr="003546F3">
              <w:rPr>
                <w:rFonts w:ascii="Times New Roman" w:hAnsi="Times New Roman" w:cs="Times New Roman"/>
                <w:b/>
                <w:sz w:val="48"/>
              </w:rPr>
              <w:t>2417691</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Default="004F0E93" w:rsidP="002D6B34">
            <w:pPr>
              <w:jc w:val="both"/>
              <w:rPr>
                <w:i/>
                <w:iCs/>
              </w:rPr>
            </w:pPr>
            <w:r w:rsidRPr="00F15354">
              <w:rPr>
                <w:i/>
                <w:iCs/>
              </w:rPr>
              <w:t>750 words (+/-</w:t>
            </w:r>
            <w:r w:rsidRPr="006179BB">
              <w:rPr>
                <w:i/>
                <w:iCs/>
              </w:rPr>
              <w:t xml:space="preserve"> 10%:  include your actual word count at the end of each section).</w:t>
            </w:r>
          </w:p>
          <w:p w14:paraId="617D3830" w14:textId="77777777" w:rsidR="00BA5852" w:rsidRDefault="00BA5852" w:rsidP="002D6B34">
            <w:pPr>
              <w:jc w:val="both"/>
            </w:pPr>
          </w:p>
          <w:p w14:paraId="2417A87D" w14:textId="77777777" w:rsidR="00652393" w:rsidRDefault="00652393" w:rsidP="002D6B34">
            <w:pPr>
              <w:jc w:val="both"/>
            </w:pPr>
          </w:p>
          <w:p w14:paraId="158CDE10" w14:textId="77777777" w:rsidR="00D7219B" w:rsidRDefault="00D7219B" w:rsidP="002D6B34">
            <w:pPr>
              <w:jc w:val="both"/>
            </w:pPr>
          </w:p>
          <w:p w14:paraId="43B341DF" w14:textId="77777777" w:rsidR="00657817" w:rsidRDefault="00657817" w:rsidP="002D6B34">
            <w:pPr>
              <w:jc w:val="both"/>
            </w:pPr>
          </w:p>
          <w:p w14:paraId="5775F25D" w14:textId="77777777" w:rsidR="00657817" w:rsidRDefault="00657817" w:rsidP="002D6B34">
            <w:pPr>
              <w:jc w:val="both"/>
            </w:pPr>
          </w:p>
          <w:p w14:paraId="3F56209E" w14:textId="77777777" w:rsidR="00657817" w:rsidRDefault="00657817" w:rsidP="002D6B34">
            <w:pPr>
              <w:jc w:val="both"/>
            </w:pPr>
          </w:p>
          <w:p w14:paraId="156A4C67" w14:textId="77777777" w:rsidR="00657817" w:rsidRDefault="00657817" w:rsidP="002D6B34">
            <w:pPr>
              <w:jc w:val="both"/>
            </w:pPr>
          </w:p>
          <w:p w14:paraId="201C27D5" w14:textId="77777777" w:rsidR="00657817" w:rsidRDefault="00657817" w:rsidP="002D6B34">
            <w:pPr>
              <w:jc w:val="both"/>
            </w:pPr>
          </w:p>
          <w:p w14:paraId="327A5FB2" w14:textId="77777777" w:rsidR="00657817" w:rsidRDefault="00657817" w:rsidP="002D6B34">
            <w:pPr>
              <w:jc w:val="both"/>
            </w:pPr>
          </w:p>
          <w:p w14:paraId="3101F243" w14:textId="77777777" w:rsidR="00657817" w:rsidRDefault="00657817" w:rsidP="002D6B34">
            <w:pPr>
              <w:jc w:val="both"/>
            </w:pPr>
          </w:p>
          <w:p w14:paraId="4DFAE893" w14:textId="77777777" w:rsidR="00657817" w:rsidRDefault="00657817" w:rsidP="002D6B34">
            <w:pPr>
              <w:jc w:val="both"/>
            </w:pPr>
          </w:p>
          <w:p w14:paraId="35C5E64C" w14:textId="77777777" w:rsidR="00657817" w:rsidRPr="00657817" w:rsidRDefault="00657817" w:rsidP="002D6B34">
            <w:pPr>
              <w:jc w:val="both"/>
              <w:rPr>
                <w:color w:val="FF0000"/>
              </w:rPr>
            </w:pPr>
          </w:p>
          <w:p w14:paraId="727DAB7B" w14:textId="14373D37" w:rsidR="002318DB" w:rsidRPr="002318DB" w:rsidRDefault="002318DB" w:rsidP="002318DB">
            <w:pPr>
              <w:spacing w:line="360" w:lineRule="auto"/>
              <w:jc w:val="both"/>
              <w:rPr>
                <w:rFonts w:ascii="Arial" w:hAnsi="Arial" w:cs="Arial"/>
              </w:rPr>
            </w:pPr>
          </w:p>
          <w:p w14:paraId="5A286F9D" w14:textId="77777777" w:rsidR="002318DB" w:rsidRDefault="002318DB" w:rsidP="002318DB">
            <w:pPr>
              <w:spacing w:line="360" w:lineRule="auto"/>
              <w:jc w:val="both"/>
              <w:rPr>
                <w:rFonts w:ascii="Arial" w:hAnsi="Arial" w:cs="Arial"/>
              </w:rPr>
            </w:pPr>
            <w:r w:rsidRPr="002318DB">
              <w:rPr>
                <w:rFonts w:ascii="Arial" w:hAnsi="Arial" w:cs="Arial"/>
              </w:rPr>
              <w:t>Since qualifying as a social worker, I have remained within the team where I completed my third-year placement. This continuity has supported my transition into qualified practice, allowing me to build on established relationships and develop confidence within a familiar environment. This reflection highlights development.</w:t>
            </w:r>
          </w:p>
          <w:p w14:paraId="36863C15" w14:textId="77777777" w:rsidR="002318DB" w:rsidRPr="002318DB" w:rsidRDefault="002318DB" w:rsidP="002318DB">
            <w:pPr>
              <w:spacing w:line="360" w:lineRule="auto"/>
              <w:jc w:val="both"/>
              <w:rPr>
                <w:rFonts w:ascii="Arial" w:hAnsi="Arial" w:cs="Arial"/>
              </w:rPr>
            </w:pPr>
          </w:p>
          <w:p w14:paraId="5C4EC375" w14:textId="77777777" w:rsidR="002318DB" w:rsidRDefault="002318DB" w:rsidP="002318DB">
            <w:pPr>
              <w:spacing w:line="360" w:lineRule="auto"/>
              <w:jc w:val="both"/>
              <w:rPr>
                <w:rFonts w:ascii="Arial" w:hAnsi="Arial" w:cs="Arial"/>
              </w:rPr>
            </w:pPr>
            <w:r w:rsidRPr="002318DB">
              <w:rPr>
                <w:rFonts w:ascii="Arial" w:hAnsi="Arial" w:cs="Arial"/>
              </w:rPr>
              <w:t>One area of development relates to applying analysis within assessments to inform interventions. Early in my practice, while I was confident in gathering information and identifying risks and needs, I often lacked confidence in clearly articulating my own analysis. I regularly sought reassurance from my manager before including conclusions within written assessments. Reflecting on my feelings at the time, this stemmed from anxiety about making mistakes and an awareness of the responsibility associated with safeguarding work. Through supervision, it became clear that this hesitation was not due to a lack of understanding, but a lack of confidence in trusting my professional judgement.</w:t>
            </w:r>
          </w:p>
          <w:p w14:paraId="7EA19EF1" w14:textId="77777777" w:rsidR="002318DB" w:rsidRPr="002318DB" w:rsidRDefault="002318DB" w:rsidP="002318DB">
            <w:pPr>
              <w:spacing w:line="360" w:lineRule="auto"/>
              <w:jc w:val="both"/>
              <w:rPr>
                <w:rFonts w:ascii="Arial" w:hAnsi="Arial" w:cs="Arial"/>
              </w:rPr>
            </w:pPr>
          </w:p>
          <w:p w14:paraId="54AD4F25" w14:textId="77777777" w:rsidR="002318DB" w:rsidRDefault="002318DB" w:rsidP="002318DB">
            <w:pPr>
              <w:spacing w:line="360" w:lineRule="auto"/>
              <w:jc w:val="both"/>
              <w:rPr>
                <w:rFonts w:ascii="Arial" w:hAnsi="Arial" w:cs="Arial"/>
              </w:rPr>
            </w:pPr>
            <w:r w:rsidRPr="002318DB">
              <w:rPr>
                <w:rFonts w:ascii="Arial" w:hAnsi="Arial" w:cs="Arial"/>
              </w:rPr>
              <w:t>Evaluating this experience, I recognise that although managerial oversight is essential, over-reliance on reassurance had the potential to delay decision-making and reduce the clarity of assessments. Analysing this further, I now understand that effective social work practice requires a balance between support and professional autonomy. The Social Services and Well-being (Wales) Act 2014 places a statutory duty on local authorities to assess needs and determine appropriate interventions, requiring social workers to apply analytical thinking rather than provide purely descriptive accounts. Reflective supervision, alongside training and learning opportunities, has supported my understanding of how analysis informs proportionate and timely intervention.</w:t>
            </w:r>
          </w:p>
          <w:p w14:paraId="666A39D4" w14:textId="77777777" w:rsidR="002318DB" w:rsidRPr="002318DB" w:rsidRDefault="002318DB" w:rsidP="002318DB">
            <w:pPr>
              <w:spacing w:line="360" w:lineRule="auto"/>
              <w:jc w:val="both"/>
              <w:rPr>
                <w:rFonts w:ascii="Arial" w:hAnsi="Arial" w:cs="Arial"/>
              </w:rPr>
            </w:pPr>
          </w:p>
          <w:p w14:paraId="17C23102" w14:textId="10CF0142" w:rsidR="002318DB" w:rsidRPr="002318DB" w:rsidRDefault="002318DB" w:rsidP="002318DB">
            <w:pPr>
              <w:spacing w:line="360" w:lineRule="auto"/>
              <w:jc w:val="both"/>
              <w:rPr>
                <w:rFonts w:ascii="Arial" w:hAnsi="Arial" w:cs="Arial"/>
              </w:rPr>
            </w:pPr>
            <w:r w:rsidRPr="002318DB">
              <w:rPr>
                <w:rFonts w:ascii="Arial" w:hAnsi="Arial" w:cs="Arial"/>
              </w:rPr>
              <w:t>Over the next 12 months, I have identified a developmental need to strengthen my confidence in applying analysis independently within assessments. To address this, I</w:t>
            </w:r>
            <w:r w:rsidR="00173F95">
              <w:rPr>
                <w:rFonts w:ascii="Arial" w:hAnsi="Arial" w:cs="Arial"/>
              </w:rPr>
              <w:t xml:space="preserve"> will</w:t>
            </w:r>
            <w:r w:rsidRPr="002318DB">
              <w:rPr>
                <w:rFonts w:ascii="Arial" w:hAnsi="Arial" w:cs="Arial"/>
              </w:rPr>
              <w:t xml:space="preserve"> use supervision to test my thinking, review anonymised assessments, shadow experienced colleagues and attend training focused on assessment quality and analytical writing. Developing this skill will support clearer, </w:t>
            </w:r>
            <w:r w:rsidR="00173F95" w:rsidRPr="002318DB">
              <w:rPr>
                <w:rFonts w:ascii="Arial" w:hAnsi="Arial" w:cs="Arial"/>
              </w:rPr>
              <w:t>timelier</w:t>
            </w:r>
            <w:r w:rsidRPr="002318DB">
              <w:rPr>
                <w:rFonts w:ascii="Arial" w:hAnsi="Arial" w:cs="Arial"/>
              </w:rPr>
              <w:t xml:space="preserve"> and child-focused interventions informed by legislation, research and reflective learning.</w:t>
            </w:r>
          </w:p>
          <w:p w14:paraId="0FDEE927" w14:textId="77777777" w:rsidR="002318DB" w:rsidRDefault="002318DB" w:rsidP="002318DB">
            <w:pPr>
              <w:spacing w:line="360" w:lineRule="auto"/>
              <w:jc w:val="both"/>
              <w:rPr>
                <w:rFonts w:ascii="Arial" w:hAnsi="Arial" w:cs="Arial"/>
              </w:rPr>
            </w:pPr>
            <w:r w:rsidRPr="002318DB">
              <w:rPr>
                <w:rFonts w:ascii="Arial" w:hAnsi="Arial" w:cs="Arial"/>
              </w:rPr>
              <w:lastRenderedPageBreak/>
              <w:t xml:space="preserve">Another key area of development since qualifying relates to working collaboratively with people in need of care and support, their </w:t>
            </w:r>
            <w:proofErr w:type="spellStart"/>
            <w:r w:rsidRPr="002318DB">
              <w:rPr>
                <w:rFonts w:ascii="Arial" w:hAnsi="Arial" w:cs="Arial"/>
              </w:rPr>
              <w:t>carers</w:t>
            </w:r>
            <w:proofErr w:type="spellEnd"/>
            <w:r w:rsidRPr="002318DB">
              <w:rPr>
                <w:rFonts w:ascii="Arial" w:hAnsi="Arial" w:cs="Arial"/>
              </w:rPr>
              <w:t xml:space="preserve"> and other professionals. Prior to entering social work, I had no previous experience in social care and initially found the expectations of safeguarding practice overwhelming. I recognised that my limited understanding of the roles and responsibilities of professionals outside my organisation affected my confidence within multi-agency settings. Reflecting using Gibbs’ model, I recall feeling hesitant to contribute fully during professional discussions, particularly alongside more experienced practitioners, which impacted my confidence to advocate effectively for children and families.</w:t>
            </w:r>
          </w:p>
          <w:p w14:paraId="1BFD4E14" w14:textId="77777777" w:rsidR="002318DB" w:rsidRPr="002318DB" w:rsidRDefault="002318DB" w:rsidP="002318DB">
            <w:pPr>
              <w:spacing w:line="360" w:lineRule="auto"/>
              <w:jc w:val="both"/>
              <w:rPr>
                <w:rFonts w:ascii="Arial" w:hAnsi="Arial" w:cs="Arial"/>
              </w:rPr>
            </w:pPr>
          </w:p>
          <w:p w14:paraId="75A34552" w14:textId="77777777" w:rsidR="002318DB" w:rsidRDefault="002318DB" w:rsidP="002318DB">
            <w:pPr>
              <w:spacing w:line="360" w:lineRule="auto"/>
              <w:jc w:val="both"/>
              <w:rPr>
                <w:rFonts w:ascii="Arial" w:hAnsi="Arial" w:cs="Arial"/>
              </w:rPr>
            </w:pPr>
            <w:r w:rsidRPr="002318DB">
              <w:rPr>
                <w:rFonts w:ascii="Arial" w:hAnsi="Arial" w:cs="Arial"/>
              </w:rPr>
              <w:t>Effective multi-agency working is central to safeguarding practice, and Morris (2008) highlights the increasingly complex and collaborative nature of social work roles. Through supervision, I have been able to reflect on communication, power dynamics and professional challenge, supporting my self-awareness and professional curiosity (</w:t>
            </w:r>
            <w:proofErr w:type="spellStart"/>
            <w:r w:rsidRPr="002318DB">
              <w:rPr>
                <w:rFonts w:ascii="Arial" w:hAnsi="Arial" w:cs="Arial"/>
              </w:rPr>
              <w:t>Bassott</w:t>
            </w:r>
            <w:proofErr w:type="spellEnd"/>
            <w:r w:rsidRPr="002318DB">
              <w:rPr>
                <w:rFonts w:ascii="Arial" w:hAnsi="Arial" w:cs="Arial"/>
              </w:rPr>
              <w:t>, 2023). As my understanding of other professional roles has developed, my confidence has gradually increased. Training in Signs of Safety and solution-focused practice has also strengthened my ability to work openly and collaboratively with families and professionals.</w:t>
            </w:r>
          </w:p>
          <w:p w14:paraId="732E6DC7" w14:textId="77777777" w:rsidR="002318DB" w:rsidRPr="002318DB" w:rsidRDefault="002318DB" w:rsidP="002318DB">
            <w:pPr>
              <w:spacing w:line="360" w:lineRule="auto"/>
              <w:jc w:val="both"/>
              <w:rPr>
                <w:rFonts w:ascii="Arial" w:hAnsi="Arial" w:cs="Arial"/>
              </w:rPr>
            </w:pPr>
          </w:p>
          <w:p w14:paraId="13A757EC" w14:textId="77777777" w:rsidR="002318DB" w:rsidRDefault="002318DB" w:rsidP="002318DB">
            <w:pPr>
              <w:spacing w:line="360" w:lineRule="auto"/>
              <w:jc w:val="both"/>
              <w:rPr>
                <w:rFonts w:ascii="Arial" w:hAnsi="Arial" w:cs="Arial"/>
              </w:rPr>
            </w:pPr>
            <w:r w:rsidRPr="002318DB">
              <w:rPr>
                <w:rFonts w:ascii="Arial" w:hAnsi="Arial" w:cs="Arial"/>
              </w:rPr>
              <w:t>Looking ahead, a key developmental need is to further strengthen my confidence and competence in multi-agency working, particularly in situations where professional views differ. As a qualified social worker, this is essential to ensure that children’s needs remain central and that appropriate professional challenge is offered where necessary. Over the next 12 months, and through discussion with my supervisor, I plan to reflect on professional interactions in supervision, visit external agencies to gain a clearer understanding of safeguarding thresholds, and liaise with internal teams to develop greater awareness of available services. This will support more effective collaboration, informed intervention planning and improved outcomes for families.</w:t>
            </w:r>
          </w:p>
          <w:p w14:paraId="19B56090" w14:textId="77777777" w:rsidR="00AF4666" w:rsidRPr="002318DB" w:rsidRDefault="00AF4666" w:rsidP="002318DB">
            <w:pPr>
              <w:spacing w:line="360" w:lineRule="auto"/>
              <w:jc w:val="both"/>
              <w:rPr>
                <w:rFonts w:ascii="Arial" w:hAnsi="Arial" w:cs="Arial"/>
              </w:rPr>
            </w:pPr>
          </w:p>
          <w:p w14:paraId="15E4B966" w14:textId="47F219B4" w:rsidR="002318DB" w:rsidRDefault="002318DB" w:rsidP="002318DB">
            <w:pPr>
              <w:spacing w:line="360" w:lineRule="auto"/>
              <w:jc w:val="both"/>
              <w:rPr>
                <w:rFonts w:ascii="Arial" w:hAnsi="Arial" w:cs="Arial"/>
              </w:rPr>
            </w:pPr>
            <w:r w:rsidRPr="002318DB">
              <w:rPr>
                <w:rFonts w:ascii="Arial" w:hAnsi="Arial" w:cs="Arial"/>
              </w:rPr>
              <w:t xml:space="preserve">As my experience has developed, I have increasingly contributed to complex and high-pressure situations, particularly through duty work and safeguarding responses. Reflecting on this aspect of my practice using Gibbs’ reflective cycle has highlighted both progress and ongoing learning needs. Initially, responding to crisis situations felt daunting, and I experienced anxiety when contributing to decisions and interventions where risks were immediate. Although I understood </w:t>
            </w:r>
            <w:r w:rsidRPr="002318DB">
              <w:rPr>
                <w:rFonts w:ascii="Arial" w:hAnsi="Arial" w:cs="Arial"/>
              </w:rPr>
              <w:lastRenderedPageBreak/>
              <w:t>relevant legislation, including Section 47 of the Children Act 1989, I found it challenging to apply this knowledge confidently under pressure and translate it into timely intervention.</w:t>
            </w:r>
          </w:p>
          <w:p w14:paraId="452191CF" w14:textId="77777777" w:rsidR="00AF4666" w:rsidRPr="002318DB" w:rsidRDefault="00AF4666" w:rsidP="002318DB">
            <w:pPr>
              <w:spacing w:line="360" w:lineRule="auto"/>
              <w:jc w:val="both"/>
              <w:rPr>
                <w:rFonts w:ascii="Arial" w:hAnsi="Arial" w:cs="Arial"/>
              </w:rPr>
            </w:pPr>
          </w:p>
          <w:p w14:paraId="02A94E88" w14:textId="77777777" w:rsidR="002318DB" w:rsidRDefault="002318DB" w:rsidP="002318DB">
            <w:pPr>
              <w:spacing w:line="360" w:lineRule="auto"/>
              <w:jc w:val="both"/>
              <w:rPr>
                <w:rFonts w:ascii="Arial" w:hAnsi="Arial" w:cs="Arial"/>
              </w:rPr>
            </w:pPr>
            <w:r w:rsidRPr="002318DB">
              <w:rPr>
                <w:rFonts w:ascii="Arial" w:hAnsi="Arial" w:cs="Arial"/>
              </w:rPr>
              <w:t>Through reflective supervision, I have evaluated how emotional responses can influence decision-making and recognised the importance of reflective practice in managing complexity. Exposure to crisis situations, supported by supervision, training and guidance, has gradually increased my confidence in applying professional judgement and contributing to safeguarding interventions. Through discussion with my supervisor and manager, a future developmental need has been identified to further strengthen my confidence and autonomy in crisis situations. Over the next 12 months, I plan to remain engaged with the duty rota, continue updating my knowledge of legislation and guidance through training and research, and seek opportunities to shadow experienced colleagues. Supervision will remain central to my development, providing space to reflect, build resilience and strengthen professional judgement. As highlighted by BASW (2012), high-quality supervision is fundamental to the development of effective and ethical social work practice.</w:t>
            </w:r>
          </w:p>
          <w:p w14:paraId="47D049D4" w14:textId="77777777" w:rsidR="0025649D" w:rsidRDefault="0025649D" w:rsidP="002318DB">
            <w:pPr>
              <w:spacing w:line="360" w:lineRule="auto"/>
              <w:jc w:val="both"/>
              <w:rPr>
                <w:rFonts w:ascii="Arial" w:hAnsi="Arial" w:cs="Arial"/>
              </w:rPr>
            </w:pPr>
          </w:p>
          <w:p w14:paraId="3C50572F" w14:textId="5C6FDD3B" w:rsidR="0025649D" w:rsidRPr="0025649D" w:rsidRDefault="0025649D" w:rsidP="002318DB">
            <w:pPr>
              <w:spacing w:line="360" w:lineRule="auto"/>
              <w:jc w:val="both"/>
              <w:rPr>
                <w:rFonts w:ascii="Arial" w:hAnsi="Arial" w:cs="Arial"/>
                <w:b/>
                <w:bCs/>
              </w:rPr>
            </w:pPr>
            <w:r w:rsidRPr="0025649D">
              <w:rPr>
                <w:rFonts w:ascii="Arial" w:hAnsi="Arial" w:cs="Arial"/>
                <w:b/>
                <w:bCs/>
              </w:rPr>
              <w:t>Wordcount 825</w:t>
            </w:r>
          </w:p>
          <w:p w14:paraId="454B0805" w14:textId="77777777" w:rsidR="00657817" w:rsidRDefault="00657817" w:rsidP="002D6B34">
            <w:pPr>
              <w:jc w:val="both"/>
            </w:pPr>
          </w:p>
          <w:p w14:paraId="147FC03E" w14:textId="77777777" w:rsidR="00A325D3" w:rsidRDefault="00A325D3" w:rsidP="00D7219B">
            <w:pPr>
              <w:jc w:val="both"/>
            </w:pPr>
          </w:p>
          <w:p w14:paraId="5707E831" w14:textId="6CAA22FF" w:rsidR="0056567F" w:rsidRDefault="0056567F" w:rsidP="00885575">
            <w:pPr>
              <w:spacing w:line="360" w:lineRule="auto"/>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lastRenderedPageBreak/>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tcPr>
          <w:p w14:paraId="3AE636F4" w14:textId="77777777" w:rsidR="003A2567" w:rsidRDefault="003A2567" w:rsidP="0086044E">
            <w:pPr>
              <w:tabs>
                <w:tab w:val="left" w:pos="1268"/>
              </w:tabs>
              <w:spacing w:line="360" w:lineRule="auto"/>
              <w:jc w:val="both"/>
              <w:rPr>
                <w:rFonts w:ascii="Arial" w:hAnsi="Arial" w:cs="Arial"/>
              </w:rPr>
            </w:pPr>
          </w:p>
          <w:p w14:paraId="3121862A" w14:textId="67797E11" w:rsidR="00B57CA0" w:rsidRDefault="00B57CA0" w:rsidP="0086044E">
            <w:pPr>
              <w:tabs>
                <w:tab w:val="left" w:pos="1268"/>
              </w:tabs>
              <w:spacing w:line="360" w:lineRule="auto"/>
              <w:jc w:val="both"/>
              <w:rPr>
                <w:rFonts w:ascii="Arial" w:hAnsi="Arial" w:cs="Arial"/>
              </w:rPr>
            </w:pPr>
            <w:r w:rsidRPr="00B57CA0">
              <w:rPr>
                <w:rFonts w:ascii="Arial" w:hAnsi="Arial" w:cs="Arial"/>
              </w:rPr>
              <w:t>Building on the learning need identified in Task 1 around applying analysis in assessment to inform interventions, I used Gibbs’ Reflective Framework (1988) to consider how my confidence has developed since qualifying and what still needs strengthening. Early in my practice, feedback in supervision highlighted that while I could identify relevant information, I often hesitated to commit to my own analysis without reassurance. I tended to describe events and then look to my manager before drawing conclusions. Reflecting on this, I recognise this was linked to anxiety a</w:t>
            </w:r>
            <w:r w:rsidR="00250FB4">
              <w:rPr>
                <w:rFonts w:ascii="Arial" w:hAnsi="Arial" w:cs="Arial"/>
              </w:rPr>
              <w:t>nd</w:t>
            </w:r>
            <w:r w:rsidRPr="00B57CA0">
              <w:rPr>
                <w:rFonts w:ascii="Arial" w:hAnsi="Arial" w:cs="Arial"/>
              </w:rPr>
              <w:t xml:space="preserve"> responsibility attached to safeguarding decisions and fear of making the wrong judgement.</w:t>
            </w:r>
          </w:p>
          <w:p w14:paraId="5F598A38" w14:textId="77777777" w:rsidR="00E12D2C" w:rsidRPr="00B57CA0" w:rsidRDefault="00E12D2C" w:rsidP="00B57CA0">
            <w:pPr>
              <w:tabs>
                <w:tab w:val="left" w:pos="1268"/>
              </w:tabs>
              <w:spacing w:line="360" w:lineRule="auto"/>
              <w:jc w:val="both"/>
              <w:rPr>
                <w:rFonts w:ascii="Arial" w:hAnsi="Arial" w:cs="Arial"/>
              </w:rPr>
            </w:pPr>
          </w:p>
          <w:p w14:paraId="6E24C8FB" w14:textId="668C4F99" w:rsidR="00B57CA0" w:rsidRDefault="00B57CA0" w:rsidP="00B57CA0">
            <w:pPr>
              <w:tabs>
                <w:tab w:val="left" w:pos="1268"/>
              </w:tabs>
              <w:spacing w:line="360" w:lineRule="auto"/>
              <w:jc w:val="both"/>
              <w:rPr>
                <w:rFonts w:ascii="Arial" w:hAnsi="Arial" w:cs="Arial"/>
              </w:rPr>
            </w:pPr>
            <w:r w:rsidRPr="00B57CA0">
              <w:rPr>
                <w:rFonts w:ascii="Arial" w:hAnsi="Arial" w:cs="Arial"/>
              </w:rPr>
              <w:t xml:space="preserve">Through regular reflective supervision, I have gradually changed how I use support. Rather than asking whether my analysis is correct, I now bring my thinking into supervision and explore it alongside evidence, legislation and the child’s lived experience. This has strengthened my ability to link analysis to thresholds and to clearly explain both risks and protective factors. Completing Signs of Safety </w:t>
            </w:r>
            <w:r w:rsidR="00E267F4">
              <w:rPr>
                <w:rFonts w:ascii="Arial" w:hAnsi="Arial" w:cs="Arial"/>
              </w:rPr>
              <w:t>training</w:t>
            </w:r>
            <w:r w:rsidRPr="00B57CA0">
              <w:rPr>
                <w:rFonts w:ascii="Arial" w:hAnsi="Arial" w:cs="Arial"/>
              </w:rPr>
              <w:t xml:space="preserve"> supported me to translate analysis into clear, family</w:t>
            </w:r>
            <w:r w:rsidRPr="00B57CA0">
              <w:rPr>
                <w:rFonts w:ascii="Arial" w:hAnsi="Arial" w:cs="Arial"/>
              </w:rPr>
              <w:noBreakHyphen/>
              <w:t>friendly language about worries, strengths and safety goals, rather than professional jargon. Reflecting with my supervisor, this learning outcome is partly achieved. My assessments are more analytical; however, I still need greater consistency in complex or time</w:t>
            </w:r>
            <w:r w:rsidRPr="00B57CA0">
              <w:rPr>
                <w:rFonts w:ascii="Arial" w:hAnsi="Arial" w:cs="Arial"/>
              </w:rPr>
              <w:noBreakHyphen/>
              <w:t>pressured situations. As I move towards becoming an experienced practitioner, my learning need is to continue strengthening confident, evidence</w:t>
            </w:r>
            <w:r w:rsidRPr="00B57CA0">
              <w:rPr>
                <w:rFonts w:ascii="Arial" w:hAnsi="Arial" w:cs="Arial"/>
              </w:rPr>
              <w:noBreakHyphen/>
              <w:t>based analysis through reflective supervision, feedback on written work and engagement with research on professional judgement.</w:t>
            </w:r>
          </w:p>
          <w:p w14:paraId="062F9245" w14:textId="77777777" w:rsidR="00002C16" w:rsidRPr="00B57CA0" w:rsidRDefault="00002C16" w:rsidP="00B57CA0">
            <w:pPr>
              <w:tabs>
                <w:tab w:val="left" w:pos="1268"/>
              </w:tabs>
              <w:spacing w:line="360" w:lineRule="auto"/>
              <w:jc w:val="both"/>
              <w:rPr>
                <w:rFonts w:ascii="Arial" w:hAnsi="Arial" w:cs="Arial"/>
              </w:rPr>
            </w:pPr>
          </w:p>
          <w:p w14:paraId="143F2937" w14:textId="77777777" w:rsidR="00B57CA0" w:rsidRDefault="00B57CA0" w:rsidP="00B57CA0">
            <w:pPr>
              <w:tabs>
                <w:tab w:val="left" w:pos="1268"/>
              </w:tabs>
              <w:spacing w:line="360" w:lineRule="auto"/>
              <w:jc w:val="both"/>
              <w:rPr>
                <w:rFonts w:ascii="Arial" w:hAnsi="Arial" w:cs="Arial"/>
              </w:rPr>
            </w:pPr>
            <w:r w:rsidRPr="00B57CA0">
              <w:rPr>
                <w:rFonts w:ascii="Arial" w:hAnsi="Arial" w:cs="Arial"/>
              </w:rPr>
              <w:lastRenderedPageBreak/>
              <w:t xml:space="preserve">In relation to working collaboratively with people in need of care and support, their </w:t>
            </w:r>
            <w:proofErr w:type="spellStart"/>
            <w:r w:rsidRPr="00B57CA0">
              <w:rPr>
                <w:rFonts w:ascii="Arial" w:hAnsi="Arial" w:cs="Arial"/>
              </w:rPr>
              <w:t>carers</w:t>
            </w:r>
            <w:proofErr w:type="spellEnd"/>
            <w:r w:rsidRPr="00B57CA0">
              <w:rPr>
                <w:rFonts w:ascii="Arial" w:hAnsi="Arial" w:cs="Arial"/>
              </w:rPr>
              <w:t xml:space="preserve"> and other professionals, Task 1 identified multi</w:t>
            </w:r>
            <w:r w:rsidRPr="00B57CA0">
              <w:rPr>
                <w:rFonts w:ascii="Arial" w:hAnsi="Arial" w:cs="Arial"/>
              </w:rPr>
              <w:noBreakHyphen/>
              <w:t xml:space="preserve">agency working as an area where I lacked confidence. Using Gibbs’ model, I can see that my initial anxiety was linked to limited experience rather than lack of understanding. Although I recognised the importance of collaboration, I often found it difficult to contribute confidently </w:t>
            </w:r>
            <w:proofErr w:type="gramStart"/>
            <w:r w:rsidRPr="00B57CA0">
              <w:rPr>
                <w:rFonts w:ascii="Arial" w:hAnsi="Arial" w:cs="Arial"/>
              </w:rPr>
              <w:t>in</w:t>
            </w:r>
            <w:proofErr w:type="gramEnd"/>
            <w:r w:rsidRPr="00B57CA0">
              <w:rPr>
                <w:rFonts w:ascii="Arial" w:hAnsi="Arial" w:cs="Arial"/>
              </w:rPr>
              <w:t xml:space="preserve"> meetings alongside more established professionals, which at times affected my ability to advocate as strongly as I would have liked.</w:t>
            </w:r>
          </w:p>
          <w:p w14:paraId="00EF740A" w14:textId="77777777" w:rsidR="008D7AB3" w:rsidRPr="00B57CA0" w:rsidRDefault="008D7AB3" w:rsidP="00B57CA0">
            <w:pPr>
              <w:tabs>
                <w:tab w:val="left" w:pos="1268"/>
              </w:tabs>
              <w:spacing w:line="360" w:lineRule="auto"/>
              <w:jc w:val="both"/>
              <w:rPr>
                <w:rFonts w:ascii="Arial" w:hAnsi="Arial" w:cs="Arial"/>
              </w:rPr>
            </w:pPr>
          </w:p>
          <w:p w14:paraId="561CE956" w14:textId="2847C9EB" w:rsidR="00B57CA0" w:rsidRDefault="00B57CA0" w:rsidP="00B57CA0">
            <w:pPr>
              <w:tabs>
                <w:tab w:val="left" w:pos="1268"/>
              </w:tabs>
              <w:spacing w:line="360" w:lineRule="auto"/>
              <w:jc w:val="both"/>
              <w:rPr>
                <w:rFonts w:ascii="Arial" w:hAnsi="Arial" w:cs="Arial"/>
              </w:rPr>
            </w:pPr>
            <w:r w:rsidRPr="00B57CA0">
              <w:rPr>
                <w:rFonts w:ascii="Arial" w:hAnsi="Arial" w:cs="Arial"/>
              </w:rPr>
              <w:t xml:space="preserve">Supervision supported me to reflect not just on understanding professional roles, but also on my own professional identity and communication style. I began </w:t>
            </w:r>
            <w:r w:rsidR="00146545" w:rsidRPr="00B57CA0">
              <w:rPr>
                <w:rFonts w:ascii="Arial" w:hAnsi="Arial" w:cs="Arial"/>
              </w:rPr>
              <w:t xml:space="preserve">preparing </w:t>
            </w:r>
            <w:r w:rsidR="00146545" w:rsidRPr="005D4505">
              <w:rPr>
                <w:rFonts w:ascii="Arial" w:hAnsi="Arial" w:cs="Arial"/>
                <w:color w:val="000000" w:themeColor="text1"/>
              </w:rPr>
              <w:t>for</w:t>
            </w:r>
            <w:r w:rsidRPr="00B57CA0">
              <w:rPr>
                <w:rFonts w:ascii="Arial" w:hAnsi="Arial" w:cs="Arial"/>
              </w:rPr>
              <w:t xml:space="preserve"> meetings by being clear about the purpose, key risks and the child’s day</w:t>
            </w:r>
            <w:r w:rsidRPr="00B57CA0">
              <w:rPr>
                <w:rFonts w:ascii="Arial" w:hAnsi="Arial" w:cs="Arial"/>
              </w:rPr>
              <w:noBreakHyphen/>
              <w:t>to</w:t>
            </w:r>
            <w:r w:rsidRPr="00B57CA0">
              <w:rPr>
                <w:rFonts w:ascii="Arial" w:hAnsi="Arial" w:cs="Arial"/>
              </w:rPr>
              <w:noBreakHyphen/>
              <w:t>day experience. I also sought learning opportunities by shadowing experienced colleagues in Child in Need of Care and Support reviews and attending Child Protection Conferences, which improved my understanding of how different professionals safeguard children and share information. As Morris (2008) highlights, social work roles are increasingly complex and rely on collaboration, and my experience has shown how effective safeguarding depends on strong working relationships. Training, particularly Signs of Safety workshops, further supported my confidence in using structured, solution</w:t>
            </w:r>
            <w:r w:rsidRPr="00B57CA0">
              <w:rPr>
                <w:rFonts w:ascii="Arial" w:hAnsi="Arial" w:cs="Arial"/>
              </w:rPr>
              <w:noBreakHyphen/>
              <w:t xml:space="preserve">focused questions and keeping families at the centre of planning. Reflecting with my </w:t>
            </w:r>
            <w:r w:rsidR="00F308EE">
              <w:rPr>
                <w:rFonts w:ascii="Arial" w:hAnsi="Arial" w:cs="Arial"/>
              </w:rPr>
              <w:t>supervisor</w:t>
            </w:r>
            <w:r w:rsidRPr="00B57CA0">
              <w:rPr>
                <w:rFonts w:ascii="Arial" w:hAnsi="Arial" w:cs="Arial"/>
              </w:rPr>
              <w:t>, this learning outcome is largely achieved in routine multi</w:t>
            </w:r>
            <w:r w:rsidRPr="00B57CA0">
              <w:rPr>
                <w:rFonts w:ascii="Arial" w:hAnsi="Arial" w:cs="Arial"/>
              </w:rPr>
              <w:noBreakHyphen/>
              <w:t xml:space="preserve">agency work; however, my ongoing learning need is to develop confident professional challenge where there is </w:t>
            </w:r>
            <w:r w:rsidR="0076588B">
              <w:rPr>
                <w:rFonts w:ascii="Arial" w:hAnsi="Arial" w:cs="Arial"/>
              </w:rPr>
              <w:t xml:space="preserve">confusion </w:t>
            </w:r>
            <w:r w:rsidRPr="00B57CA0">
              <w:rPr>
                <w:rFonts w:ascii="Arial" w:hAnsi="Arial" w:cs="Arial"/>
              </w:rPr>
              <w:t>or disagreement, supported by supervision, further training and research</w:t>
            </w:r>
            <w:r w:rsidRPr="00B57CA0">
              <w:rPr>
                <w:rFonts w:ascii="Arial" w:hAnsi="Arial" w:cs="Arial"/>
              </w:rPr>
              <w:noBreakHyphen/>
              <w:t>informed discussion.</w:t>
            </w:r>
          </w:p>
          <w:p w14:paraId="7696A068" w14:textId="77777777" w:rsidR="00392A51" w:rsidRPr="00B57CA0" w:rsidRDefault="00392A51" w:rsidP="00B57CA0">
            <w:pPr>
              <w:tabs>
                <w:tab w:val="left" w:pos="1268"/>
              </w:tabs>
              <w:spacing w:line="360" w:lineRule="auto"/>
              <w:jc w:val="both"/>
              <w:rPr>
                <w:rFonts w:ascii="Arial" w:hAnsi="Arial" w:cs="Arial"/>
              </w:rPr>
            </w:pPr>
          </w:p>
          <w:p w14:paraId="2E307796" w14:textId="77777777" w:rsidR="00B57CA0" w:rsidRDefault="00B57CA0" w:rsidP="00B57CA0">
            <w:pPr>
              <w:tabs>
                <w:tab w:val="left" w:pos="1268"/>
              </w:tabs>
              <w:spacing w:line="360" w:lineRule="auto"/>
              <w:jc w:val="both"/>
              <w:rPr>
                <w:rFonts w:ascii="Arial" w:hAnsi="Arial" w:cs="Arial"/>
              </w:rPr>
            </w:pPr>
            <w:r w:rsidRPr="00B57CA0">
              <w:rPr>
                <w:rFonts w:ascii="Arial" w:hAnsi="Arial" w:cs="Arial"/>
              </w:rPr>
              <w:t>With regard to intervention and the application of professional judgement in increasingly complex situations, Task 1 identified crisis work as a key learning need. Reflecting using Gibbs’ framework, I recognise that urgency initially heightened my anxiety and narrowed my thinking, even when I understood the legal framework. Becoming part of the Section 47 duty rota has increased my confidence, but it has also highlighted how emotionally demanding crisis work can be and the importance of reflection to avoid reactive decision</w:t>
            </w:r>
            <w:r w:rsidRPr="00B57CA0">
              <w:rPr>
                <w:rFonts w:ascii="Arial" w:hAnsi="Arial" w:cs="Arial"/>
              </w:rPr>
              <w:noBreakHyphen/>
              <w:t>making.</w:t>
            </w:r>
          </w:p>
          <w:p w14:paraId="5953C88B" w14:textId="77777777" w:rsidR="00B57ABA" w:rsidRPr="00B57CA0" w:rsidRDefault="00B57ABA" w:rsidP="00B57CA0">
            <w:pPr>
              <w:tabs>
                <w:tab w:val="left" w:pos="1268"/>
              </w:tabs>
              <w:spacing w:line="360" w:lineRule="auto"/>
              <w:jc w:val="both"/>
              <w:rPr>
                <w:rFonts w:ascii="Arial" w:hAnsi="Arial" w:cs="Arial"/>
              </w:rPr>
            </w:pPr>
          </w:p>
          <w:p w14:paraId="5898770E" w14:textId="77777777" w:rsidR="00B063FC" w:rsidRDefault="00B57CA0" w:rsidP="00B57CA0">
            <w:pPr>
              <w:tabs>
                <w:tab w:val="left" w:pos="1268"/>
              </w:tabs>
              <w:spacing w:line="360" w:lineRule="auto"/>
              <w:jc w:val="both"/>
              <w:rPr>
                <w:rFonts w:ascii="Arial" w:hAnsi="Arial" w:cs="Arial"/>
              </w:rPr>
            </w:pPr>
            <w:r w:rsidRPr="00B57CA0">
              <w:rPr>
                <w:rFonts w:ascii="Arial" w:hAnsi="Arial" w:cs="Arial"/>
              </w:rPr>
              <w:lastRenderedPageBreak/>
              <w:t>Supervision and team case discussions have supported me to process uncertainty and understand how stress can influence judgement. I have learned to slow down where safe, check assumptions and keep the child’s lived experience central to decisions. Court training and Court Skills Training strengthened my understanding of the scrutiny applied to professional judgement and the importance of balanced, evidence</w:t>
            </w:r>
            <w:r w:rsidRPr="00B57CA0">
              <w:rPr>
                <w:rFonts w:ascii="Arial" w:hAnsi="Arial" w:cs="Arial"/>
              </w:rPr>
              <w:noBreakHyphen/>
              <w:t>based analysis. Foetal Alcohol training further deepened my understanding of neurodevelopmental needs and how these may be misinterpreted as non</w:t>
            </w:r>
            <w:r w:rsidRPr="00B57CA0">
              <w:rPr>
                <w:rFonts w:ascii="Arial" w:hAnsi="Arial" w:cs="Arial"/>
              </w:rPr>
              <w:noBreakHyphen/>
              <w:t xml:space="preserve">compliance, supporting more tailored and compassionate interventions. </w:t>
            </w:r>
          </w:p>
          <w:p w14:paraId="0FF83053" w14:textId="77777777" w:rsidR="00B063FC" w:rsidRDefault="00B063FC" w:rsidP="00B57CA0">
            <w:pPr>
              <w:tabs>
                <w:tab w:val="left" w:pos="1268"/>
              </w:tabs>
              <w:spacing w:line="360" w:lineRule="auto"/>
              <w:jc w:val="both"/>
              <w:rPr>
                <w:rFonts w:ascii="Arial" w:hAnsi="Arial" w:cs="Arial"/>
              </w:rPr>
            </w:pPr>
          </w:p>
          <w:p w14:paraId="14688C30" w14:textId="6613CB2A" w:rsidR="00B57CA0" w:rsidRPr="00B57CA0" w:rsidRDefault="00B57CA0" w:rsidP="00B57CA0">
            <w:pPr>
              <w:tabs>
                <w:tab w:val="left" w:pos="1268"/>
              </w:tabs>
              <w:spacing w:line="360" w:lineRule="auto"/>
              <w:jc w:val="both"/>
              <w:rPr>
                <w:rFonts w:ascii="Arial" w:hAnsi="Arial" w:cs="Arial"/>
              </w:rPr>
            </w:pPr>
            <w:r w:rsidRPr="00B57CA0">
              <w:rPr>
                <w:rFonts w:ascii="Arial" w:hAnsi="Arial" w:cs="Arial"/>
              </w:rPr>
              <w:t>Reflecting with my supervisor, this learning outcome is developing but not complete. As I transition towards experienced practice, my learning need is to build greater autonomy and resilience in high</w:t>
            </w:r>
            <w:r w:rsidRPr="00B57CA0">
              <w:rPr>
                <w:rFonts w:ascii="Arial" w:hAnsi="Arial" w:cs="Arial"/>
              </w:rPr>
              <w:noBreakHyphen/>
            </w:r>
            <w:r w:rsidR="00183844" w:rsidRPr="00B57CA0">
              <w:rPr>
                <w:rFonts w:ascii="Arial" w:hAnsi="Arial" w:cs="Arial"/>
              </w:rPr>
              <w:t>risk</w:t>
            </w:r>
            <w:r w:rsidR="00183844">
              <w:rPr>
                <w:rFonts w:ascii="Arial" w:hAnsi="Arial" w:cs="Arial"/>
              </w:rPr>
              <w:t xml:space="preserve"> </w:t>
            </w:r>
            <w:r w:rsidR="00183844" w:rsidRPr="00B57CA0">
              <w:rPr>
                <w:rFonts w:ascii="Arial" w:hAnsi="Arial" w:cs="Arial"/>
              </w:rPr>
              <w:t>situations</w:t>
            </w:r>
            <w:r w:rsidRPr="00B57CA0">
              <w:rPr>
                <w:rFonts w:ascii="Arial" w:hAnsi="Arial" w:cs="Arial"/>
              </w:rPr>
              <w:t>, supported by further training, EDT shadowing and continued reflective supervision in line with the Code of Professional Practice for Social Care (Social Care Wales, 2017, 1.4, 1.5; 3.1).</w:t>
            </w:r>
          </w:p>
          <w:p w14:paraId="67461BE0" w14:textId="49AABC5D" w:rsidR="00683186" w:rsidRPr="00683186" w:rsidRDefault="00683186" w:rsidP="00683186">
            <w:pPr>
              <w:tabs>
                <w:tab w:val="left" w:pos="1268"/>
              </w:tabs>
              <w:spacing w:line="360" w:lineRule="auto"/>
              <w:jc w:val="both"/>
              <w:rPr>
                <w:rFonts w:ascii="Arial" w:hAnsi="Arial" w:cs="Arial"/>
              </w:rPr>
            </w:pPr>
          </w:p>
          <w:p w14:paraId="4BB52A3C" w14:textId="19803B8E" w:rsidR="003A2567" w:rsidRPr="003E1C7B" w:rsidRDefault="003A2567" w:rsidP="003A2567">
            <w:pPr>
              <w:tabs>
                <w:tab w:val="left" w:pos="1268"/>
              </w:tabs>
              <w:jc w:val="both"/>
              <w:rPr>
                <w:rFonts w:ascii="Arial" w:hAnsi="Arial" w:cs="Arial"/>
                <w:b/>
                <w:bCs/>
              </w:rPr>
            </w:pPr>
            <w:r w:rsidRPr="003E1C7B">
              <w:rPr>
                <w:rFonts w:ascii="Arial" w:hAnsi="Arial" w:cs="Arial"/>
                <w:b/>
                <w:bCs/>
              </w:rPr>
              <w:t>Word count 7</w:t>
            </w:r>
            <w:r>
              <w:rPr>
                <w:rFonts w:ascii="Arial" w:hAnsi="Arial" w:cs="Arial"/>
                <w:b/>
                <w:bCs/>
              </w:rPr>
              <w:t>12</w:t>
            </w:r>
          </w:p>
          <w:p w14:paraId="707A402A" w14:textId="77777777" w:rsidR="00683186" w:rsidRDefault="00683186" w:rsidP="00D3305E">
            <w:pPr>
              <w:tabs>
                <w:tab w:val="left" w:pos="1268"/>
              </w:tabs>
              <w:spacing w:line="360" w:lineRule="auto"/>
              <w:jc w:val="both"/>
              <w:rPr>
                <w:rFonts w:ascii="Arial" w:hAnsi="Arial" w:cs="Arial"/>
              </w:rPr>
            </w:pPr>
          </w:p>
          <w:p w14:paraId="7765EE7D" w14:textId="77777777" w:rsidR="00622D44" w:rsidRPr="003E1C7B" w:rsidRDefault="00622D44" w:rsidP="00622D44">
            <w:pPr>
              <w:tabs>
                <w:tab w:val="left" w:pos="1268"/>
              </w:tabs>
              <w:jc w:val="both"/>
              <w:rPr>
                <w:rFonts w:ascii="Arial" w:hAnsi="Arial" w:cs="Arial"/>
              </w:rPr>
            </w:pPr>
          </w:p>
          <w:p w14:paraId="1BD2647A" w14:textId="77777777" w:rsidR="00622D44" w:rsidRPr="003E1C7B" w:rsidRDefault="00622D44" w:rsidP="00622D44">
            <w:pPr>
              <w:tabs>
                <w:tab w:val="left" w:pos="1268"/>
              </w:tabs>
              <w:jc w:val="both"/>
              <w:rPr>
                <w:rFonts w:ascii="Arial" w:hAnsi="Arial" w:cs="Arial"/>
              </w:rPr>
            </w:pPr>
          </w:p>
          <w:p w14:paraId="583FC4EF" w14:textId="77777777" w:rsidR="00622D44" w:rsidRPr="003E1C7B" w:rsidRDefault="00622D44" w:rsidP="00622D44">
            <w:pPr>
              <w:tabs>
                <w:tab w:val="left" w:pos="1268"/>
              </w:tabs>
              <w:jc w:val="both"/>
              <w:rPr>
                <w:rFonts w:ascii="Arial" w:hAnsi="Arial" w:cs="Arial"/>
              </w:rPr>
            </w:pPr>
          </w:p>
          <w:p w14:paraId="4FC66691" w14:textId="77777777" w:rsidR="00622D44" w:rsidRPr="003E1C7B" w:rsidRDefault="00622D44" w:rsidP="00622D44">
            <w:pPr>
              <w:tabs>
                <w:tab w:val="left" w:pos="1268"/>
              </w:tabs>
              <w:jc w:val="both"/>
              <w:rPr>
                <w:rFonts w:ascii="Arial" w:hAnsi="Arial" w:cs="Arial"/>
              </w:rPr>
            </w:pPr>
          </w:p>
          <w:p w14:paraId="70BA0C19" w14:textId="186DE7C7" w:rsidR="00622D44" w:rsidRPr="003E1C7B" w:rsidRDefault="00622D44" w:rsidP="00622D44">
            <w:pPr>
              <w:tabs>
                <w:tab w:val="left" w:pos="1268"/>
              </w:tabs>
              <w:jc w:val="both"/>
              <w:rPr>
                <w:rFonts w:ascii="Arial" w:hAnsi="Arial" w:cs="Arial"/>
              </w:rPr>
            </w:pPr>
          </w:p>
        </w:tc>
      </w:tr>
    </w:tbl>
    <w:p w14:paraId="3E5F404D" w14:textId="77777777" w:rsidR="008D1656" w:rsidRDefault="008D1656"/>
    <w:sectPr w:rsidR="008D16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2C16"/>
    <w:rsid w:val="000251B4"/>
    <w:rsid w:val="000341E7"/>
    <w:rsid w:val="000353B4"/>
    <w:rsid w:val="00045E5D"/>
    <w:rsid w:val="00074579"/>
    <w:rsid w:val="00080463"/>
    <w:rsid w:val="00091B6F"/>
    <w:rsid w:val="000A2AB5"/>
    <w:rsid w:val="000A6382"/>
    <w:rsid w:val="000E3132"/>
    <w:rsid w:val="00100195"/>
    <w:rsid w:val="00143E71"/>
    <w:rsid w:val="00146545"/>
    <w:rsid w:val="001608CA"/>
    <w:rsid w:val="00173F95"/>
    <w:rsid w:val="00183844"/>
    <w:rsid w:val="001A2B52"/>
    <w:rsid w:val="001C12BD"/>
    <w:rsid w:val="002318DB"/>
    <w:rsid w:val="00237B5B"/>
    <w:rsid w:val="00250FB4"/>
    <w:rsid w:val="0025649D"/>
    <w:rsid w:val="002A5A7B"/>
    <w:rsid w:val="002C62F7"/>
    <w:rsid w:val="00313669"/>
    <w:rsid w:val="00325B6F"/>
    <w:rsid w:val="003327C3"/>
    <w:rsid w:val="00347E0B"/>
    <w:rsid w:val="003546F3"/>
    <w:rsid w:val="00361F17"/>
    <w:rsid w:val="0036453F"/>
    <w:rsid w:val="003652C1"/>
    <w:rsid w:val="00370002"/>
    <w:rsid w:val="00380B37"/>
    <w:rsid w:val="00392A51"/>
    <w:rsid w:val="0039793D"/>
    <w:rsid w:val="003A2567"/>
    <w:rsid w:val="003A2ABD"/>
    <w:rsid w:val="003E1C7B"/>
    <w:rsid w:val="003E2053"/>
    <w:rsid w:val="003E626C"/>
    <w:rsid w:val="00421B08"/>
    <w:rsid w:val="00421ED5"/>
    <w:rsid w:val="004226F9"/>
    <w:rsid w:val="00474F19"/>
    <w:rsid w:val="00480D53"/>
    <w:rsid w:val="00491161"/>
    <w:rsid w:val="004D1F48"/>
    <w:rsid w:val="004F0E93"/>
    <w:rsid w:val="004F1D7F"/>
    <w:rsid w:val="00516894"/>
    <w:rsid w:val="00525346"/>
    <w:rsid w:val="005406F0"/>
    <w:rsid w:val="00540E24"/>
    <w:rsid w:val="0054719A"/>
    <w:rsid w:val="005512E2"/>
    <w:rsid w:val="0056567F"/>
    <w:rsid w:val="005A6993"/>
    <w:rsid w:val="005B3562"/>
    <w:rsid w:val="005C282D"/>
    <w:rsid w:val="005D3D83"/>
    <w:rsid w:val="005D4505"/>
    <w:rsid w:val="006046D0"/>
    <w:rsid w:val="00613E9E"/>
    <w:rsid w:val="00622D44"/>
    <w:rsid w:val="0063652E"/>
    <w:rsid w:val="006368AC"/>
    <w:rsid w:val="006419DF"/>
    <w:rsid w:val="00643E79"/>
    <w:rsid w:val="00652393"/>
    <w:rsid w:val="00653641"/>
    <w:rsid w:val="00656EFF"/>
    <w:rsid w:val="00657817"/>
    <w:rsid w:val="00662078"/>
    <w:rsid w:val="00683186"/>
    <w:rsid w:val="00694375"/>
    <w:rsid w:val="006950F7"/>
    <w:rsid w:val="00712C9F"/>
    <w:rsid w:val="007177FE"/>
    <w:rsid w:val="00734ECC"/>
    <w:rsid w:val="0076588B"/>
    <w:rsid w:val="00791471"/>
    <w:rsid w:val="00792953"/>
    <w:rsid w:val="007A62A1"/>
    <w:rsid w:val="007A6D67"/>
    <w:rsid w:val="007C6082"/>
    <w:rsid w:val="007D6A08"/>
    <w:rsid w:val="007F346B"/>
    <w:rsid w:val="008234D1"/>
    <w:rsid w:val="00841809"/>
    <w:rsid w:val="008464A9"/>
    <w:rsid w:val="0086044E"/>
    <w:rsid w:val="0087753D"/>
    <w:rsid w:val="00885575"/>
    <w:rsid w:val="00895CB0"/>
    <w:rsid w:val="008D1656"/>
    <w:rsid w:val="008D5A61"/>
    <w:rsid w:val="008D780D"/>
    <w:rsid w:val="008D7AB3"/>
    <w:rsid w:val="00921058"/>
    <w:rsid w:val="00927048"/>
    <w:rsid w:val="00935864"/>
    <w:rsid w:val="00943FDB"/>
    <w:rsid w:val="009565A9"/>
    <w:rsid w:val="00962B2C"/>
    <w:rsid w:val="0096419F"/>
    <w:rsid w:val="00964A45"/>
    <w:rsid w:val="00991AFD"/>
    <w:rsid w:val="00997546"/>
    <w:rsid w:val="009A32F9"/>
    <w:rsid w:val="009A4CCD"/>
    <w:rsid w:val="009F21E6"/>
    <w:rsid w:val="009F6387"/>
    <w:rsid w:val="00A04BE6"/>
    <w:rsid w:val="00A325D3"/>
    <w:rsid w:val="00A404A7"/>
    <w:rsid w:val="00A61456"/>
    <w:rsid w:val="00A73D0B"/>
    <w:rsid w:val="00A85391"/>
    <w:rsid w:val="00A973DF"/>
    <w:rsid w:val="00AB232D"/>
    <w:rsid w:val="00AD441B"/>
    <w:rsid w:val="00AF4666"/>
    <w:rsid w:val="00B05EC2"/>
    <w:rsid w:val="00B063FC"/>
    <w:rsid w:val="00B07979"/>
    <w:rsid w:val="00B340E5"/>
    <w:rsid w:val="00B36599"/>
    <w:rsid w:val="00B546C2"/>
    <w:rsid w:val="00B56359"/>
    <w:rsid w:val="00B57ABA"/>
    <w:rsid w:val="00B57CA0"/>
    <w:rsid w:val="00B60F8B"/>
    <w:rsid w:val="00B66462"/>
    <w:rsid w:val="00B733F1"/>
    <w:rsid w:val="00B930D3"/>
    <w:rsid w:val="00BA5852"/>
    <w:rsid w:val="00BB50D9"/>
    <w:rsid w:val="00C0499C"/>
    <w:rsid w:val="00C052E4"/>
    <w:rsid w:val="00C243FA"/>
    <w:rsid w:val="00C27FE2"/>
    <w:rsid w:val="00C668DC"/>
    <w:rsid w:val="00C75D8F"/>
    <w:rsid w:val="00C86002"/>
    <w:rsid w:val="00C91534"/>
    <w:rsid w:val="00C9633D"/>
    <w:rsid w:val="00CB2131"/>
    <w:rsid w:val="00CC71B2"/>
    <w:rsid w:val="00D046D6"/>
    <w:rsid w:val="00D25F96"/>
    <w:rsid w:val="00D27A91"/>
    <w:rsid w:val="00D3305E"/>
    <w:rsid w:val="00D35174"/>
    <w:rsid w:val="00D37EFF"/>
    <w:rsid w:val="00D46C35"/>
    <w:rsid w:val="00D54BE4"/>
    <w:rsid w:val="00D70993"/>
    <w:rsid w:val="00D7219B"/>
    <w:rsid w:val="00D72F86"/>
    <w:rsid w:val="00DB3362"/>
    <w:rsid w:val="00DC3220"/>
    <w:rsid w:val="00DC439B"/>
    <w:rsid w:val="00DD2F87"/>
    <w:rsid w:val="00DD3654"/>
    <w:rsid w:val="00DE7BB9"/>
    <w:rsid w:val="00DF1A63"/>
    <w:rsid w:val="00DF2A2E"/>
    <w:rsid w:val="00DF7293"/>
    <w:rsid w:val="00E007FB"/>
    <w:rsid w:val="00E018A3"/>
    <w:rsid w:val="00E12B25"/>
    <w:rsid w:val="00E12D2C"/>
    <w:rsid w:val="00E267F4"/>
    <w:rsid w:val="00E26DA2"/>
    <w:rsid w:val="00E3195A"/>
    <w:rsid w:val="00E322A5"/>
    <w:rsid w:val="00E5092E"/>
    <w:rsid w:val="00E53787"/>
    <w:rsid w:val="00E55DB4"/>
    <w:rsid w:val="00E90696"/>
    <w:rsid w:val="00E97F24"/>
    <w:rsid w:val="00EA1346"/>
    <w:rsid w:val="00EA69A0"/>
    <w:rsid w:val="00EB39DF"/>
    <w:rsid w:val="00F14D32"/>
    <w:rsid w:val="00F308EE"/>
    <w:rsid w:val="00F509E1"/>
    <w:rsid w:val="00F7425C"/>
    <w:rsid w:val="00F80B81"/>
    <w:rsid w:val="00FB335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paragraph" w:styleId="Heading1">
    <w:name w:val="heading 1"/>
    <w:basedOn w:val="Normal"/>
    <w:next w:val="Normal"/>
    <w:link w:val="Heading1Char"/>
    <w:uiPriority w:val="9"/>
    <w:qFormat/>
    <w:rsid w:val="00964A45"/>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customStyle="1" w:styleId="Heading1Char">
    <w:name w:val="Heading 1 Char"/>
    <w:basedOn w:val="DefaultParagraphFont"/>
    <w:link w:val="Heading1"/>
    <w:uiPriority w:val="9"/>
    <w:rsid w:val="00964A4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64A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15280">
      <w:bodyDiv w:val="1"/>
      <w:marLeft w:val="0"/>
      <w:marRight w:val="0"/>
      <w:marTop w:val="0"/>
      <w:marBottom w:val="0"/>
      <w:divBdr>
        <w:top w:val="none" w:sz="0" w:space="0" w:color="auto"/>
        <w:left w:val="none" w:sz="0" w:space="0" w:color="auto"/>
        <w:bottom w:val="none" w:sz="0" w:space="0" w:color="auto"/>
        <w:right w:val="none" w:sz="0" w:space="0" w:color="auto"/>
      </w:divBdr>
    </w:div>
    <w:div w:id="69079222">
      <w:bodyDiv w:val="1"/>
      <w:marLeft w:val="0"/>
      <w:marRight w:val="0"/>
      <w:marTop w:val="0"/>
      <w:marBottom w:val="0"/>
      <w:divBdr>
        <w:top w:val="none" w:sz="0" w:space="0" w:color="auto"/>
        <w:left w:val="none" w:sz="0" w:space="0" w:color="auto"/>
        <w:bottom w:val="none" w:sz="0" w:space="0" w:color="auto"/>
        <w:right w:val="none" w:sz="0" w:space="0" w:color="auto"/>
      </w:divBdr>
    </w:div>
    <w:div w:id="172841758">
      <w:bodyDiv w:val="1"/>
      <w:marLeft w:val="0"/>
      <w:marRight w:val="0"/>
      <w:marTop w:val="0"/>
      <w:marBottom w:val="0"/>
      <w:divBdr>
        <w:top w:val="none" w:sz="0" w:space="0" w:color="auto"/>
        <w:left w:val="none" w:sz="0" w:space="0" w:color="auto"/>
        <w:bottom w:val="none" w:sz="0" w:space="0" w:color="auto"/>
        <w:right w:val="none" w:sz="0" w:space="0" w:color="auto"/>
      </w:divBdr>
    </w:div>
    <w:div w:id="309941628">
      <w:bodyDiv w:val="1"/>
      <w:marLeft w:val="0"/>
      <w:marRight w:val="0"/>
      <w:marTop w:val="0"/>
      <w:marBottom w:val="0"/>
      <w:divBdr>
        <w:top w:val="none" w:sz="0" w:space="0" w:color="auto"/>
        <w:left w:val="none" w:sz="0" w:space="0" w:color="auto"/>
        <w:bottom w:val="none" w:sz="0" w:space="0" w:color="auto"/>
        <w:right w:val="none" w:sz="0" w:space="0" w:color="auto"/>
      </w:divBdr>
    </w:div>
    <w:div w:id="359624276">
      <w:bodyDiv w:val="1"/>
      <w:marLeft w:val="0"/>
      <w:marRight w:val="0"/>
      <w:marTop w:val="0"/>
      <w:marBottom w:val="0"/>
      <w:divBdr>
        <w:top w:val="none" w:sz="0" w:space="0" w:color="auto"/>
        <w:left w:val="none" w:sz="0" w:space="0" w:color="auto"/>
        <w:bottom w:val="none" w:sz="0" w:space="0" w:color="auto"/>
        <w:right w:val="none" w:sz="0" w:space="0" w:color="auto"/>
      </w:divBdr>
    </w:div>
    <w:div w:id="470830462">
      <w:bodyDiv w:val="1"/>
      <w:marLeft w:val="0"/>
      <w:marRight w:val="0"/>
      <w:marTop w:val="0"/>
      <w:marBottom w:val="0"/>
      <w:divBdr>
        <w:top w:val="none" w:sz="0" w:space="0" w:color="auto"/>
        <w:left w:val="none" w:sz="0" w:space="0" w:color="auto"/>
        <w:bottom w:val="none" w:sz="0" w:space="0" w:color="auto"/>
        <w:right w:val="none" w:sz="0" w:space="0" w:color="auto"/>
      </w:divBdr>
    </w:div>
    <w:div w:id="730613707">
      <w:bodyDiv w:val="1"/>
      <w:marLeft w:val="0"/>
      <w:marRight w:val="0"/>
      <w:marTop w:val="0"/>
      <w:marBottom w:val="0"/>
      <w:divBdr>
        <w:top w:val="none" w:sz="0" w:space="0" w:color="auto"/>
        <w:left w:val="none" w:sz="0" w:space="0" w:color="auto"/>
        <w:bottom w:val="none" w:sz="0" w:space="0" w:color="auto"/>
        <w:right w:val="none" w:sz="0" w:space="0" w:color="auto"/>
      </w:divBdr>
    </w:div>
    <w:div w:id="866678771">
      <w:bodyDiv w:val="1"/>
      <w:marLeft w:val="0"/>
      <w:marRight w:val="0"/>
      <w:marTop w:val="0"/>
      <w:marBottom w:val="0"/>
      <w:divBdr>
        <w:top w:val="none" w:sz="0" w:space="0" w:color="auto"/>
        <w:left w:val="none" w:sz="0" w:space="0" w:color="auto"/>
        <w:bottom w:val="none" w:sz="0" w:space="0" w:color="auto"/>
        <w:right w:val="none" w:sz="0" w:space="0" w:color="auto"/>
      </w:divBdr>
    </w:div>
    <w:div w:id="868641227">
      <w:bodyDiv w:val="1"/>
      <w:marLeft w:val="0"/>
      <w:marRight w:val="0"/>
      <w:marTop w:val="0"/>
      <w:marBottom w:val="0"/>
      <w:divBdr>
        <w:top w:val="none" w:sz="0" w:space="0" w:color="auto"/>
        <w:left w:val="none" w:sz="0" w:space="0" w:color="auto"/>
        <w:bottom w:val="none" w:sz="0" w:space="0" w:color="auto"/>
        <w:right w:val="none" w:sz="0" w:space="0" w:color="auto"/>
      </w:divBdr>
    </w:div>
    <w:div w:id="878782747">
      <w:bodyDiv w:val="1"/>
      <w:marLeft w:val="0"/>
      <w:marRight w:val="0"/>
      <w:marTop w:val="0"/>
      <w:marBottom w:val="0"/>
      <w:divBdr>
        <w:top w:val="none" w:sz="0" w:space="0" w:color="auto"/>
        <w:left w:val="none" w:sz="0" w:space="0" w:color="auto"/>
        <w:bottom w:val="none" w:sz="0" w:space="0" w:color="auto"/>
        <w:right w:val="none" w:sz="0" w:space="0" w:color="auto"/>
      </w:divBdr>
    </w:div>
    <w:div w:id="1450320141">
      <w:bodyDiv w:val="1"/>
      <w:marLeft w:val="0"/>
      <w:marRight w:val="0"/>
      <w:marTop w:val="0"/>
      <w:marBottom w:val="0"/>
      <w:divBdr>
        <w:top w:val="none" w:sz="0" w:space="0" w:color="auto"/>
        <w:left w:val="none" w:sz="0" w:space="0" w:color="auto"/>
        <w:bottom w:val="none" w:sz="0" w:space="0" w:color="auto"/>
        <w:right w:val="none" w:sz="0" w:space="0" w:color="auto"/>
      </w:divBdr>
    </w:div>
    <w:div w:id="1520896302">
      <w:bodyDiv w:val="1"/>
      <w:marLeft w:val="0"/>
      <w:marRight w:val="0"/>
      <w:marTop w:val="0"/>
      <w:marBottom w:val="0"/>
      <w:divBdr>
        <w:top w:val="none" w:sz="0" w:space="0" w:color="auto"/>
        <w:left w:val="none" w:sz="0" w:space="0" w:color="auto"/>
        <w:bottom w:val="none" w:sz="0" w:space="0" w:color="auto"/>
        <w:right w:val="none" w:sz="0" w:space="0" w:color="auto"/>
      </w:divBdr>
    </w:div>
    <w:div w:id="1696690696">
      <w:bodyDiv w:val="1"/>
      <w:marLeft w:val="0"/>
      <w:marRight w:val="0"/>
      <w:marTop w:val="0"/>
      <w:marBottom w:val="0"/>
      <w:divBdr>
        <w:top w:val="none" w:sz="0" w:space="0" w:color="auto"/>
        <w:left w:val="none" w:sz="0" w:space="0" w:color="auto"/>
        <w:bottom w:val="none" w:sz="0" w:space="0" w:color="auto"/>
        <w:right w:val="none" w:sz="0" w:space="0" w:color="auto"/>
      </w:divBdr>
    </w:div>
    <w:div w:id="1772968101">
      <w:bodyDiv w:val="1"/>
      <w:marLeft w:val="0"/>
      <w:marRight w:val="0"/>
      <w:marTop w:val="0"/>
      <w:marBottom w:val="0"/>
      <w:divBdr>
        <w:top w:val="none" w:sz="0" w:space="0" w:color="auto"/>
        <w:left w:val="none" w:sz="0" w:space="0" w:color="auto"/>
        <w:bottom w:val="none" w:sz="0" w:space="0" w:color="auto"/>
        <w:right w:val="none" w:sz="0" w:space="0" w:color="auto"/>
      </w:divBdr>
    </w:div>
    <w:div w:id="1840804690">
      <w:bodyDiv w:val="1"/>
      <w:marLeft w:val="0"/>
      <w:marRight w:val="0"/>
      <w:marTop w:val="0"/>
      <w:marBottom w:val="0"/>
      <w:divBdr>
        <w:top w:val="none" w:sz="0" w:space="0" w:color="auto"/>
        <w:left w:val="none" w:sz="0" w:space="0" w:color="auto"/>
        <w:bottom w:val="none" w:sz="0" w:space="0" w:color="auto"/>
        <w:right w:val="none" w:sz="0" w:space="0" w:color="auto"/>
      </w:divBdr>
    </w:div>
    <w:div w:id="1895382850">
      <w:bodyDiv w:val="1"/>
      <w:marLeft w:val="0"/>
      <w:marRight w:val="0"/>
      <w:marTop w:val="0"/>
      <w:marBottom w:val="0"/>
      <w:divBdr>
        <w:top w:val="none" w:sz="0" w:space="0" w:color="auto"/>
        <w:left w:val="none" w:sz="0" w:space="0" w:color="auto"/>
        <w:bottom w:val="none" w:sz="0" w:space="0" w:color="auto"/>
        <w:right w:val="none" w:sz="0" w:space="0" w:color="auto"/>
      </w:divBdr>
    </w:div>
    <w:div w:id="1919633516">
      <w:bodyDiv w:val="1"/>
      <w:marLeft w:val="0"/>
      <w:marRight w:val="0"/>
      <w:marTop w:val="0"/>
      <w:marBottom w:val="0"/>
      <w:divBdr>
        <w:top w:val="none" w:sz="0" w:space="0" w:color="auto"/>
        <w:left w:val="none" w:sz="0" w:space="0" w:color="auto"/>
        <w:bottom w:val="none" w:sz="0" w:space="0" w:color="auto"/>
        <w:right w:val="none" w:sz="0" w:space="0" w:color="auto"/>
      </w:divBdr>
    </w:div>
    <w:div w:id="2002460084">
      <w:bodyDiv w:val="1"/>
      <w:marLeft w:val="0"/>
      <w:marRight w:val="0"/>
      <w:marTop w:val="0"/>
      <w:marBottom w:val="0"/>
      <w:divBdr>
        <w:top w:val="none" w:sz="0" w:space="0" w:color="auto"/>
        <w:left w:val="none" w:sz="0" w:space="0" w:color="auto"/>
        <w:bottom w:val="none" w:sz="0" w:space="0" w:color="auto"/>
        <w:right w:val="none" w:sz="0" w:space="0" w:color="auto"/>
      </w:divBdr>
    </w:div>
    <w:div w:id="2034458599">
      <w:bodyDiv w:val="1"/>
      <w:marLeft w:val="0"/>
      <w:marRight w:val="0"/>
      <w:marTop w:val="0"/>
      <w:marBottom w:val="0"/>
      <w:divBdr>
        <w:top w:val="none" w:sz="0" w:space="0" w:color="auto"/>
        <w:left w:val="none" w:sz="0" w:space="0" w:color="auto"/>
        <w:bottom w:val="none" w:sz="0" w:space="0" w:color="auto"/>
        <w:right w:val="none" w:sz="0" w:space="0" w:color="auto"/>
      </w:divBdr>
    </w:div>
    <w:div w:id="2049403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JDr07</b:Tag>
    <b:SourceType>Book</b:SourceType>
    <b:Guid>{ADFC2A53-CD7B-404F-A6CE-361AC5907EB2}</b:Guid>
    <b:Author>
      <b:Author>
        <b:NameList>
          <b:Person>
            <b:Last>Driscoll</b:Last>
            <b:First>J</b:First>
          </b:Person>
        </b:NameList>
      </b:Author>
    </b:Author>
    <b:Title>Practicing Clinical Supervision: Areflective Approach for Healthcare Professionsls</b:Title>
    <b:Year>2007</b:Year>
    <b:City>Edinburgh</b:City>
    <b:Publisher>Elsevier</b:Publisher>
    <b:RefOrder>2</b:RefOrder>
  </b:Source>
  <b:Source>
    <b:Tag>TBo70</b:Tag>
    <b:SourceType>Book</b:SourceType>
    <b:Guid>{20307523-ADB1-4449-8252-FA094BAF0E32}</b:Guid>
    <b:Author>
      <b:Author>
        <b:NameList>
          <b:Person>
            <b:Last>Borton</b:Last>
            <b:First>T</b:First>
          </b:Person>
        </b:NameList>
      </b:Author>
    </b:Author>
    <b:Title>Reach, Touch and Teach</b:Title>
    <b:Year>1970</b:Year>
    <b:City>London</b:City>
    <b:Publisher>Hutchinson</b:Publisher>
    <b:RefOrder>3</b:RefOrder>
  </b:Source>
  <b:Source>
    <b:Tag>Kat08</b:Tag>
    <b:SourceType>JournalArticle</b:SourceType>
    <b:Guid>{48ABE0DB-151F-6944-9BE8-9A2FCBBE4938}</b:Guid>
    <b:Title>Social Work and Multi-Agency Working: Making a Difference</b:Title>
    <b:Year>2008</b:Year>
    <b:Author>
      <b:Author>
        <b:NameList>
          <b:Person>
            <b:Last>Morris</b:Last>
            <b:First>Kate</b:First>
          </b:Person>
        </b:NameList>
      </b:Author>
    </b:Author>
    <b:JournalName>The British Journal of Social Work</b:JournalName>
    <b:Volume>39</b:Volume>
    <b:Issue>8</b:Issue>
    <b:Pages>1623-1624</b:Pages>
    <b:RefOrder>4</b:RefOrder>
  </b:Source>
  <b:Source>
    <b:Tag>Soc1711</b:Tag>
    <b:SourceType>InternetSite</b:SourceType>
    <b:Guid>{B793C67C-1DE0-BF45-89B7-1E7914687634}</b:Guid>
    <b:Title>Code Of Professional Practice for Social Care</b:Title>
    <b:Year>2017</b:Year>
    <b:Author>
      <b:Author>
        <b:NameList>
          <b:Person>
            <b:Last>Wales</b:Last>
            <b:First>Social</b:First>
            <b:Middle>Care</b:Middle>
          </b:Person>
        </b:NameList>
      </b:Author>
    </b:Author>
    <b:URL>https://socialcare.wales/cms-assets/documents/Code-of-Proffessional-Practice-for-Social-Care-web-version.pdf</b:URL>
    <b:YearAccessed>2025</b:YearAccessed>
    <b:MonthAccessed>March</b:MonthAccessed>
    <b:DayAccessed>18</b:DayAccessed>
    <b:RefOrder>5</b:RefOrder>
  </b:Source>
  <b:Source>
    <b:Tag>Bar23</b:Tag>
    <b:SourceType>Book</b:SourceType>
    <b:Guid>{467E1316-3FA6-B641-BB71-B781E705A151}</b:Guid>
    <b:Title>The Reflective Practice Guide - An Interdisciplinary Approach to critical Reflection</b:Title>
    <b:Year>2023</b:Year>
    <b:Author>
      <b:Author>
        <b:NameList>
          <b:Person>
            <b:Last>Bassott</b:Last>
            <b:First>Barbara</b:First>
          </b:Person>
        </b:NameList>
      </b:Author>
    </b:Author>
    <b:City>London</b:City>
    <b:Publisher>Routledge</b:Publisher>
    <b:RefOrder>1</b:RefOrder>
  </b:Source>
  <b:Source>
    <b:Tag>The89</b:Tag>
    <b:SourceType>InternetSite</b:SourceType>
    <b:Guid>{EBCF4A98-F7C8-F949-ADE3-8706EEC06B26}</b:Guid>
    <b:Title>The Children Act 1989</b:Title>
    <b:Year>1989</b:Year>
    <b:URL>https://www.legislation.gov.uk/ukpga/1989/41/contents</b:URL>
    <b:YearAccessed>2025</b:YearAccessed>
    <b:MonthAccessed>February</b:MonthAccessed>
    <b:DayAccessed>3rd</b:DayAccessed>
    <b:Author>
      <b:Author>
        <b:NameList>
          <b:Person>
            <b:Last>Legislation.Gov.Uk</b:Last>
          </b:Person>
        </b:NameList>
      </b:Author>
    </b:Author>
    <b:RefOrder>6</b:RefOrder>
  </b:Source>
</b:Sources>
</file>

<file path=customXml/itemProps1.xml><?xml version="1.0" encoding="utf-8"?>
<ds:datastoreItem xmlns:ds="http://schemas.openxmlformats.org/officeDocument/2006/customXml" ds:itemID="{4B94430B-B691-2C4A-A030-DD0CE5FD1B9F}">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5</TotalTime>
  <Pages>8</Pages>
  <Words>1997</Words>
  <Characters>11983</Characters>
  <Application>Microsoft Office Word</Application>
  <DocSecurity>0</DocSecurity>
  <Lines>266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Leanne Evans (Social Worker)</cp:lastModifiedBy>
  <cp:revision>5</cp:revision>
  <cp:lastPrinted>2023-02-14T11:26:00Z</cp:lastPrinted>
  <dcterms:created xsi:type="dcterms:W3CDTF">2026-02-23T13:06:00Z</dcterms:created>
  <dcterms:modified xsi:type="dcterms:W3CDTF">2026-02-23T13:12:00Z</dcterms:modified>
</cp:coreProperties>
</file>