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14865" w14:textId="77777777" w:rsidR="00500112" w:rsidRDefault="00500112" w:rsidP="00500112">
      <w:pPr>
        <w:jc w:val="center"/>
        <w:rPr>
          <w:rFonts w:cs="Times New Roman"/>
          <w:b/>
          <w:sz w:val="44"/>
        </w:rPr>
      </w:pPr>
    </w:p>
    <w:p w14:paraId="4EC32641" w14:textId="77777777" w:rsidR="00500112" w:rsidRDefault="00500112" w:rsidP="00500112">
      <w:pPr>
        <w:jc w:val="center"/>
        <w:rPr>
          <w:rFonts w:cs="Times New Roman"/>
          <w:b/>
          <w:sz w:val="44"/>
        </w:rPr>
      </w:pPr>
    </w:p>
    <w:p w14:paraId="2F9F641B" w14:textId="24EB6916" w:rsidR="00500112" w:rsidRDefault="001D3354" w:rsidP="00500112">
      <w:pPr>
        <w:jc w:val="center"/>
        <w:rPr>
          <w:rFonts w:cs="Times New Roman"/>
          <w:b/>
          <w:sz w:val="44"/>
        </w:rPr>
      </w:pPr>
      <w:r>
        <w:rPr>
          <w:rFonts w:cs="Times New Roman"/>
          <w:b/>
          <w:sz w:val="44"/>
        </w:rPr>
        <w:t>Student ID:2030517</w:t>
      </w:r>
    </w:p>
    <w:p w14:paraId="10D02725" w14:textId="44EA5007" w:rsidR="00500112" w:rsidRDefault="001D3354" w:rsidP="00500112">
      <w:pPr>
        <w:jc w:val="center"/>
        <w:rPr>
          <w:rFonts w:cs="Times New Roman"/>
          <w:b/>
          <w:sz w:val="44"/>
        </w:rPr>
      </w:pPr>
      <w:r>
        <w:rPr>
          <w:rFonts w:cs="Times New Roman"/>
          <w:b/>
          <w:sz w:val="44"/>
        </w:rPr>
        <w:t>Name:Claudia Georgiana Macarie</w:t>
      </w:r>
    </w:p>
    <w:p w14:paraId="1C7A66EC" w14:textId="2AE05DDB" w:rsidR="00500112" w:rsidRDefault="002B1F59" w:rsidP="00500112">
      <w:pPr>
        <w:jc w:val="center"/>
        <w:rPr>
          <w:rFonts w:cs="Times New Roman"/>
          <w:b/>
          <w:sz w:val="44"/>
        </w:rPr>
      </w:pPr>
      <w:r>
        <w:rPr>
          <w:rFonts w:cs="Times New Roman"/>
          <w:b/>
          <w:sz w:val="44"/>
        </w:rPr>
        <w:t>Resit</w:t>
      </w:r>
    </w:p>
    <w:p w14:paraId="1ECB3338" w14:textId="77777777" w:rsidR="00500112" w:rsidRPr="00500112" w:rsidRDefault="00500112" w:rsidP="00500112">
      <w:pPr>
        <w:jc w:val="center"/>
        <w:rPr>
          <w:rFonts w:cs="Times New Roman"/>
          <w:b/>
          <w:szCs w:val="24"/>
          <w:u w:val="single"/>
        </w:rPr>
      </w:pPr>
      <w:r w:rsidRPr="00500112">
        <w:rPr>
          <w:rFonts w:cs="Times New Roman"/>
          <w:b/>
          <w:sz w:val="44"/>
        </w:rPr>
        <w:t>Project Management</w:t>
      </w:r>
      <w:r w:rsidRPr="00500112">
        <w:rPr>
          <w:rFonts w:cs="Times New Roman"/>
          <w:b/>
          <w:szCs w:val="24"/>
          <w:u w:val="single"/>
        </w:rPr>
        <w:br w:type="page"/>
      </w:r>
    </w:p>
    <w:p w14:paraId="7478A9C2" w14:textId="23BDF580" w:rsidR="00500112" w:rsidRPr="00500112" w:rsidRDefault="00AD1645" w:rsidP="00500112">
      <w:pPr>
        <w:pStyle w:val="Normal1"/>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Critical evaluation of the Hinkley Point C Project of the UK</w:t>
      </w:r>
    </w:p>
    <w:p w14:paraId="54155D14"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Proper planning and the availability of resources are two important factors that should be considered for the completion of a construction project on time. Hinkley Point C is a power plant project that has been planned and started in Somerset, United Kingdom. This project has been designed to tackle the crisis of electricity in the United Kingdom. Apart from that, this project can also be helpful in reducing carbon emissions (</w:t>
      </w:r>
      <w:r w:rsidRPr="00500112">
        <w:rPr>
          <w:rFonts w:ascii="Times New Roman" w:eastAsia="Times New Roman" w:hAnsi="Times New Roman" w:cs="Times New Roman"/>
          <w:color w:val="222222"/>
          <w:sz w:val="24"/>
          <w:szCs w:val="24"/>
          <w:highlight w:val="white"/>
        </w:rPr>
        <w:t xml:space="preserve">Jaegle </w:t>
      </w:r>
      <w:r w:rsidRPr="00500112">
        <w:rPr>
          <w:rFonts w:ascii="Times New Roman" w:eastAsia="Times New Roman" w:hAnsi="Times New Roman" w:cs="Times New Roman"/>
          <w:i/>
          <w:color w:val="222222"/>
          <w:sz w:val="24"/>
          <w:szCs w:val="24"/>
          <w:highlight w:val="white"/>
        </w:rPr>
        <w:t xml:space="preserve">et.al., </w:t>
      </w:r>
      <w:r w:rsidRPr="00500112">
        <w:rPr>
          <w:rFonts w:ascii="Times New Roman" w:eastAsia="Times New Roman" w:hAnsi="Times New Roman" w:cs="Times New Roman"/>
          <w:color w:val="222222"/>
          <w:sz w:val="24"/>
          <w:szCs w:val="24"/>
          <w:highlight w:val="white"/>
        </w:rPr>
        <w:t>2022</w:t>
      </w:r>
      <w:r w:rsidRPr="00500112">
        <w:rPr>
          <w:rFonts w:ascii="Times New Roman" w:hAnsi="Times New Roman" w:cs="Times New Roman"/>
          <w:sz w:val="24"/>
          <w:szCs w:val="24"/>
        </w:rPr>
        <w:t xml:space="preserve">). As a result, the Hinkley Point C power plant project can help to foster the well-being of the environment. However, the arrival of covid-19 pandemic has negatively affected the progress of this construction project. The construction companies and authorities of this project have been affected by issues related to cost overruns and delay in the progress of this construction project due to the arrival of covid-19 pandemic. The authority of this construction project has also faced different issues after Brexit. Labour shortage and hikes in price of raw materials due to inflation were two major issues that have been faced by the authority of this construction project. After the completion of this project, around 6 million homes will be benefitted by achieving electricity in a lower price range. This essay is going to focus on the evaluation of budget, risk factors, quality stakeholders, and reasons behind the delay and cost overruns of this construction project. Apart from that, this study will also focus on the milestones that are going to be achieved through this construction project. The analysis of risk factors will also be done along with brief recommendations to mitigate those. </w:t>
      </w:r>
    </w:p>
    <w:p w14:paraId="52A0ADCB"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b/>
          <w:i/>
          <w:sz w:val="24"/>
          <w:szCs w:val="24"/>
        </w:rPr>
        <w:t xml:space="preserve">Hinkley Point C </w:t>
      </w:r>
      <w:r w:rsidRPr="00500112">
        <w:rPr>
          <w:rFonts w:ascii="Times New Roman" w:hAnsi="Times New Roman" w:cs="Times New Roman"/>
          <w:sz w:val="24"/>
          <w:szCs w:val="24"/>
        </w:rPr>
        <w:t>is one of the most expensive nuclear power plant projects all over the world. The approximate cost of this project is around 25 to 26 billion pounds as the estimation (</w:t>
      </w:r>
      <w:proofErr w:type="spellStart"/>
      <w:r w:rsidRPr="00500112">
        <w:rPr>
          <w:rFonts w:ascii="Times New Roman" w:eastAsia="Times New Roman" w:hAnsi="Times New Roman" w:cs="Times New Roman"/>
          <w:color w:val="222222"/>
          <w:sz w:val="24"/>
          <w:szCs w:val="24"/>
          <w:highlight w:val="white"/>
        </w:rPr>
        <w:t>Resch</w:t>
      </w:r>
      <w:proofErr w:type="spellEnd"/>
      <w:r w:rsidRPr="00500112">
        <w:rPr>
          <w:rFonts w:ascii="Times New Roman" w:eastAsia="Times New Roman" w:hAnsi="Times New Roman" w:cs="Times New Roman"/>
          <w:color w:val="222222"/>
          <w:sz w:val="24"/>
          <w:szCs w:val="24"/>
          <w:highlight w:val="white"/>
        </w:rPr>
        <w:t xml:space="preserve"> and </w:t>
      </w:r>
      <w:proofErr w:type="spellStart"/>
      <w:r w:rsidRPr="00500112">
        <w:rPr>
          <w:rFonts w:ascii="Times New Roman" w:eastAsia="Times New Roman" w:hAnsi="Times New Roman" w:cs="Times New Roman"/>
          <w:color w:val="222222"/>
          <w:sz w:val="24"/>
          <w:szCs w:val="24"/>
          <w:highlight w:val="white"/>
        </w:rPr>
        <w:t>Suna</w:t>
      </w:r>
      <w:proofErr w:type="spellEnd"/>
      <w:r w:rsidRPr="00500112">
        <w:rPr>
          <w:rFonts w:ascii="Times New Roman" w:eastAsia="Times New Roman" w:hAnsi="Times New Roman" w:cs="Times New Roman"/>
          <w:color w:val="222222"/>
          <w:sz w:val="24"/>
          <w:szCs w:val="24"/>
          <w:highlight w:val="white"/>
        </w:rPr>
        <w:t>, 2019</w:t>
      </w:r>
      <w:r w:rsidRPr="00500112">
        <w:rPr>
          <w:rFonts w:ascii="Times New Roman" w:hAnsi="Times New Roman" w:cs="Times New Roman"/>
          <w:sz w:val="24"/>
          <w:szCs w:val="24"/>
        </w:rPr>
        <w:t>). This nuclear power plant is located in Somerset, United Kingdom. This nuclear power plant is going to provide low-carbon electricity for around 6 million homes all over this nation. Apart from that, this construction is also going to provide around 25k employment opportunities. This power plant project is going to reduce carbon emissions. The selected location of this power plant project was one of the eight announced by the government of this country in 2010. The license was granted in 2012. This project was approved by EDF in 2016. This project was approved by the government of the United Kingdom in 2016 with some safeguards for investment (</w:t>
      </w:r>
      <w:proofErr w:type="spellStart"/>
      <w:r w:rsidRPr="00500112">
        <w:rPr>
          <w:rFonts w:ascii="Times New Roman" w:eastAsia="Times New Roman" w:hAnsi="Times New Roman" w:cs="Times New Roman"/>
          <w:color w:val="222222"/>
          <w:sz w:val="24"/>
          <w:szCs w:val="24"/>
          <w:highlight w:val="white"/>
        </w:rPr>
        <w:t>Sainati</w:t>
      </w:r>
      <w:proofErr w:type="spellEnd"/>
      <w:r w:rsidRPr="00500112">
        <w:rPr>
          <w:rFonts w:ascii="Times New Roman" w:eastAsia="Times New Roman" w:hAnsi="Times New Roman" w:cs="Times New Roman"/>
          <w:color w:val="222222"/>
          <w:sz w:val="24"/>
          <w:szCs w:val="24"/>
          <w:highlight w:val="white"/>
        </w:rPr>
        <w:t xml:space="preserve"> </w:t>
      </w:r>
      <w:r w:rsidRPr="00500112">
        <w:rPr>
          <w:rFonts w:ascii="Times New Roman" w:eastAsia="Times New Roman" w:hAnsi="Times New Roman" w:cs="Times New Roman"/>
          <w:i/>
          <w:color w:val="222222"/>
          <w:sz w:val="24"/>
          <w:szCs w:val="24"/>
          <w:highlight w:val="white"/>
        </w:rPr>
        <w:t xml:space="preserve">et.al., </w:t>
      </w:r>
      <w:r w:rsidRPr="00500112">
        <w:rPr>
          <w:rFonts w:ascii="Times New Roman" w:eastAsia="Times New Roman" w:hAnsi="Times New Roman" w:cs="Times New Roman"/>
          <w:color w:val="222222"/>
          <w:sz w:val="24"/>
          <w:szCs w:val="24"/>
          <w:highlight w:val="white"/>
        </w:rPr>
        <w:t>2019</w:t>
      </w:r>
      <w:r w:rsidRPr="00500112">
        <w:rPr>
          <w:rFonts w:ascii="Times New Roman" w:hAnsi="Times New Roman" w:cs="Times New Roman"/>
          <w:sz w:val="24"/>
          <w:szCs w:val="24"/>
        </w:rPr>
        <w:t xml:space="preserve">). This project has been financed by </w:t>
      </w:r>
      <w:r w:rsidRPr="00500112">
        <w:rPr>
          <w:rFonts w:ascii="Times New Roman" w:hAnsi="Times New Roman" w:cs="Times New Roman"/>
          <w:b/>
          <w:i/>
          <w:sz w:val="24"/>
          <w:szCs w:val="24"/>
        </w:rPr>
        <w:t xml:space="preserve">China General Nuclear Group </w:t>
      </w:r>
      <w:r w:rsidRPr="00500112">
        <w:rPr>
          <w:rFonts w:ascii="Times New Roman" w:hAnsi="Times New Roman" w:cs="Times New Roman"/>
          <w:sz w:val="24"/>
          <w:szCs w:val="24"/>
        </w:rPr>
        <w:t xml:space="preserve">and </w:t>
      </w:r>
      <w:r w:rsidRPr="00500112">
        <w:rPr>
          <w:rFonts w:ascii="Times New Roman" w:hAnsi="Times New Roman" w:cs="Times New Roman"/>
          <w:b/>
          <w:i/>
          <w:sz w:val="24"/>
          <w:szCs w:val="24"/>
        </w:rPr>
        <w:t>EDF Energy</w:t>
      </w:r>
      <w:r w:rsidRPr="00500112">
        <w:rPr>
          <w:rFonts w:ascii="Times New Roman" w:hAnsi="Times New Roman" w:cs="Times New Roman"/>
          <w:sz w:val="24"/>
          <w:szCs w:val="24"/>
        </w:rPr>
        <w:t xml:space="preserve">. </w:t>
      </w:r>
    </w:p>
    <w:p w14:paraId="7938234D"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 xml:space="preserve">There were different reasons behind the </w:t>
      </w:r>
      <w:r w:rsidRPr="00500112">
        <w:rPr>
          <w:rFonts w:ascii="Times New Roman" w:hAnsi="Times New Roman" w:cs="Times New Roman"/>
          <w:b/>
          <w:i/>
          <w:sz w:val="24"/>
          <w:szCs w:val="24"/>
        </w:rPr>
        <w:t xml:space="preserve">delay </w:t>
      </w:r>
      <w:r w:rsidRPr="00500112">
        <w:rPr>
          <w:rFonts w:ascii="Times New Roman" w:hAnsi="Times New Roman" w:cs="Times New Roman"/>
          <w:sz w:val="24"/>
          <w:szCs w:val="24"/>
        </w:rPr>
        <w:t xml:space="preserve">of this construction project. The Covid-19 pandemic was one of the major reasons behind the delayed start of this project. The management of EDF has announced that the completion date of this PowerPoint project would be pushed back to June 2026 due to the Covid-19 outbreak. Initially, the estimated cost of this project was 23 billion pounds. This enterprise confirmed earlier that the total cost will increase to around 26 billion pounds. Delay in the completion of this project is one of the major reasons behind </w:t>
      </w:r>
      <w:r w:rsidRPr="00500112">
        <w:rPr>
          <w:rFonts w:ascii="Times New Roman" w:hAnsi="Times New Roman" w:cs="Times New Roman"/>
          <w:b/>
          <w:i/>
          <w:sz w:val="24"/>
          <w:szCs w:val="24"/>
        </w:rPr>
        <w:t>cost overruns</w:t>
      </w:r>
      <w:r w:rsidRPr="00500112">
        <w:rPr>
          <w:rFonts w:ascii="Times New Roman" w:hAnsi="Times New Roman" w:cs="Times New Roman"/>
          <w:sz w:val="24"/>
          <w:szCs w:val="24"/>
        </w:rPr>
        <w:t>. The pandemic has increased the cost of this project by around 50% of the original budget set in 2016. The management of EDF announced in February 2023 that the cost of this project can rise to around 32.7 billion pounds (</w:t>
      </w:r>
      <w:r w:rsidRPr="00500112">
        <w:rPr>
          <w:rFonts w:ascii="Times New Roman" w:eastAsia="Times New Roman" w:hAnsi="Times New Roman" w:cs="Times New Roman"/>
          <w:color w:val="222222"/>
          <w:sz w:val="24"/>
          <w:szCs w:val="24"/>
          <w:highlight w:val="white"/>
        </w:rPr>
        <w:t xml:space="preserve">Locatelli </w:t>
      </w:r>
      <w:r w:rsidRPr="00500112">
        <w:rPr>
          <w:rFonts w:ascii="Times New Roman" w:eastAsia="Times New Roman" w:hAnsi="Times New Roman" w:cs="Times New Roman"/>
          <w:i/>
          <w:color w:val="222222"/>
          <w:sz w:val="24"/>
          <w:szCs w:val="24"/>
          <w:highlight w:val="white"/>
        </w:rPr>
        <w:t xml:space="preserve">et.al., </w:t>
      </w:r>
      <w:r w:rsidRPr="00500112">
        <w:rPr>
          <w:rFonts w:ascii="Times New Roman" w:eastAsia="Times New Roman" w:hAnsi="Times New Roman" w:cs="Times New Roman"/>
          <w:color w:val="222222"/>
          <w:sz w:val="24"/>
          <w:szCs w:val="24"/>
          <w:highlight w:val="white"/>
        </w:rPr>
        <w:t>2021</w:t>
      </w:r>
      <w:r w:rsidRPr="00500112">
        <w:rPr>
          <w:rFonts w:ascii="Times New Roman" w:hAnsi="Times New Roman" w:cs="Times New Roman"/>
          <w:sz w:val="24"/>
          <w:szCs w:val="24"/>
        </w:rPr>
        <w:t xml:space="preserve">). As a result, the completion of this construction project would be delayed by a further 15 months to September 2023. Different negative outcomes can be faced by this construction project due to delay. Cost overrun is one of the major negative outcomes of delay in a construction project. Lack of encouragement and engagement of workers in projects can be another negative outcome of delay in any construction project. As a result, further huge investment will be required in this project due to a gradual delay in the completion of this project. According to Nigel </w:t>
      </w:r>
      <w:proofErr w:type="spellStart"/>
      <w:r w:rsidRPr="00500112">
        <w:rPr>
          <w:rFonts w:ascii="Times New Roman" w:hAnsi="Times New Roman" w:cs="Times New Roman"/>
          <w:sz w:val="24"/>
          <w:szCs w:val="24"/>
        </w:rPr>
        <w:t>Cann</w:t>
      </w:r>
      <w:proofErr w:type="spellEnd"/>
      <w:r w:rsidRPr="00500112">
        <w:rPr>
          <w:rFonts w:ascii="Times New Roman" w:hAnsi="Times New Roman" w:cs="Times New Roman"/>
          <w:sz w:val="24"/>
          <w:szCs w:val="24"/>
        </w:rPr>
        <w:t xml:space="preserve">, the delivery director of this project, this project has faced around two years of restrictions caused by Covid-19 outbreak. Number of sites fell to around 1500 during this pandemic. A number of suppliers of raw materials for this project faced disruption or temporary closure. Different other factors have also affected the progress of this project in a negative way. However, the covid-19 pandemic was the largest reason behind the cost overruns of this construction project. </w:t>
      </w:r>
      <w:r w:rsidRPr="00500112">
        <w:rPr>
          <w:rFonts w:ascii="Times New Roman" w:hAnsi="Times New Roman" w:cs="Times New Roman"/>
          <w:b/>
          <w:i/>
          <w:sz w:val="24"/>
          <w:szCs w:val="24"/>
        </w:rPr>
        <w:t xml:space="preserve">Limited availability of people and materials </w:t>
      </w:r>
      <w:r w:rsidRPr="00500112">
        <w:rPr>
          <w:rFonts w:ascii="Times New Roman" w:hAnsi="Times New Roman" w:cs="Times New Roman"/>
          <w:sz w:val="24"/>
          <w:szCs w:val="24"/>
        </w:rPr>
        <w:t>was one of the major issues to continue the progress of this construction project (</w:t>
      </w:r>
      <w:r w:rsidRPr="00500112">
        <w:rPr>
          <w:rFonts w:ascii="Times New Roman" w:eastAsia="Times New Roman" w:hAnsi="Times New Roman" w:cs="Times New Roman"/>
          <w:color w:val="222222"/>
          <w:sz w:val="24"/>
          <w:szCs w:val="24"/>
          <w:highlight w:val="white"/>
        </w:rPr>
        <w:t xml:space="preserve">Thomas </w:t>
      </w:r>
      <w:r w:rsidRPr="00500112">
        <w:rPr>
          <w:rFonts w:ascii="Times New Roman" w:eastAsia="Times New Roman" w:hAnsi="Times New Roman" w:cs="Times New Roman"/>
          <w:i/>
          <w:color w:val="222222"/>
          <w:sz w:val="24"/>
          <w:szCs w:val="24"/>
          <w:highlight w:val="white"/>
        </w:rPr>
        <w:t xml:space="preserve">et.al., </w:t>
      </w:r>
      <w:r w:rsidRPr="00500112">
        <w:rPr>
          <w:rFonts w:ascii="Times New Roman" w:eastAsia="Times New Roman" w:hAnsi="Times New Roman" w:cs="Times New Roman"/>
          <w:color w:val="222222"/>
          <w:sz w:val="24"/>
          <w:szCs w:val="24"/>
          <w:highlight w:val="white"/>
        </w:rPr>
        <w:t>2019</w:t>
      </w:r>
      <w:r w:rsidRPr="00500112">
        <w:rPr>
          <w:rFonts w:ascii="Times New Roman" w:hAnsi="Times New Roman" w:cs="Times New Roman"/>
          <w:sz w:val="24"/>
          <w:szCs w:val="24"/>
        </w:rPr>
        <w:t xml:space="preserve">). As a result, resources from Unit 2 to Unit 1 have been transferred. Major milestones of unit 2 like installation of second liner and J-Zero have been completed within just 12 months. </w:t>
      </w:r>
    </w:p>
    <w:p w14:paraId="79AF4A03"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The management of EDF started renegotiating with LCCC during the Covid-19 pandemic. As a result, the completion time of this project is going to extend to November 1, 2036. The negotiation of the department of energy, business and industrial strategy with CGN is another major reason behind the delay in the completion of this project. The construction of this project was launched in 2016 (</w:t>
      </w:r>
      <w:r w:rsidRPr="00500112">
        <w:rPr>
          <w:rFonts w:ascii="Times New Roman" w:eastAsia="Times New Roman" w:hAnsi="Times New Roman" w:cs="Times New Roman"/>
          <w:color w:val="222222"/>
          <w:sz w:val="24"/>
          <w:szCs w:val="24"/>
          <w:highlight w:val="white"/>
        </w:rPr>
        <w:t>Johnstone and Stirling, 2020</w:t>
      </w:r>
      <w:r w:rsidRPr="00500112">
        <w:rPr>
          <w:rFonts w:ascii="Times New Roman" w:hAnsi="Times New Roman" w:cs="Times New Roman"/>
          <w:sz w:val="24"/>
          <w:szCs w:val="24"/>
        </w:rPr>
        <w:t xml:space="preserve">). The base for the first unit of this construction project was completed in 2019. The second unit was completed in June 2020. Around 8000 workers are working on this project now. On the other hand, around 22000 workers are involved in supplying the project. As a result, the delay in the completion of this construction project can lead to an increased required budget. </w:t>
      </w:r>
    </w:p>
    <w:p w14:paraId="54B75DD5"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The management of EDF announced that the cost overruns and delay in the completion of this Power plant will not impact taxpayers or British consumers. Responsible construction companies have decided to reduce the number of workers during the pandemic to maintain safety concerns. As per the managing director of this construction project, the number of workers was reduced from 5000 to 1500 during this pandemic (</w:t>
      </w:r>
      <w:r w:rsidRPr="00500112">
        <w:rPr>
          <w:rFonts w:ascii="Times New Roman" w:eastAsia="Times New Roman" w:hAnsi="Times New Roman" w:cs="Times New Roman"/>
          <w:color w:val="222222"/>
          <w:sz w:val="24"/>
          <w:szCs w:val="24"/>
          <w:highlight w:val="white"/>
        </w:rPr>
        <w:t>Lehtonen, 2023</w:t>
      </w:r>
      <w:r w:rsidRPr="00500112">
        <w:rPr>
          <w:rFonts w:ascii="Times New Roman" w:hAnsi="Times New Roman" w:cs="Times New Roman"/>
          <w:sz w:val="24"/>
          <w:szCs w:val="24"/>
        </w:rPr>
        <w:t xml:space="preserve">). Around 180 suppliers of this project stopped to supply raw materials and different other elements. Around 60 suppliers reduced productivity due to this pandemic. The completion of unit 1 has been pushed around 18 months due to the arrival of the second wave of this pandemic. </w:t>
      </w:r>
      <w:r w:rsidRPr="00500112">
        <w:rPr>
          <w:rFonts w:ascii="Times New Roman" w:hAnsi="Times New Roman" w:cs="Times New Roman"/>
          <w:b/>
          <w:i/>
          <w:sz w:val="24"/>
          <w:szCs w:val="24"/>
        </w:rPr>
        <w:t xml:space="preserve">Supply and labour shortages </w:t>
      </w:r>
      <w:r w:rsidRPr="00500112">
        <w:rPr>
          <w:rFonts w:ascii="Times New Roman" w:hAnsi="Times New Roman" w:cs="Times New Roman"/>
          <w:sz w:val="24"/>
          <w:szCs w:val="24"/>
        </w:rPr>
        <w:t>were two other reasons behind the delay in the completion of this project. This issue has been faced after Brexit. Workers from other European countries have not been recruited for this construction project due to a number of rules and regulations that have been applied after Brexit (</w:t>
      </w:r>
      <w:r w:rsidRPr="00500112">
        <w:rPr>
          <w:rFonts w:ascii="Times New Roman" w:eastAsia="Times New Roman" w:hAnsi="Times New Roman" w:cs="Times New Roman"/>
          <w:color w:val="222222"/>
          <w:sz w:val="24"/>
          <w:szCs w:val="24"/>
          <w:highlight w:val="white"/>
        </w:rPr>
        <w:t>Murakami and Anbumozhi, 2021</w:t>
      </w:r>
      <w:r w:rsidRPr="00500112">
        <w:rPr>
          <w:rFonts w:ascii="Times New Roman" w:hAnsi="Times New Roman" w:cs="Times New Roman"/>
          <w:sz w:val="24"/>
          <w:szCs w:val="24"/>
        </w:rPr>
        <w:t xml:space="preserve">). Different issues have also been faced regarding the supply of raw materials and equipment from other countries. The implementation of an extra tax rate is one of the major reasons behind these issues. Higher inflation in the United Kingdom is another major reason behind the cost overruns of this construction project. Inflation rate of this country in 2022 was around 11%. As a result, the price of raw materials and labour charges have increased due to higher inflation rate. A huge increase in delivery cost has also been seen due to higher inflation rate. </w:t>
      </w:r>
    </w:p>
    <w:p w14:paraId="1997A141"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Five different goals should be achieved to fulfil the completion of this construction project. The installation of seawater cooling pipes, sea wall, nuclear island common raft, cooling water tunnel boring and generation of electricity are those five different milestones. The installation of seawater cooling pipes is in progress in Unit 1 (</w:t>
      </w:r>
      <w:r w:rsidRPr="00500112">
        <w:rPr>
          <w:rFonts w:ascii="Times New Roman" w:eastAsia="Times New Roman" w:hAnsi="Times New Roman" w:cs="Times New Roman"/>
          <w:color w:val="222222"/>
          <w:sz w:val="24"/>
          <w:szCs w:val="24"/>
          <w:highlight w:val="white"/>
        </w:rPr>
        <w:t>Stirling and Johnstone, 2021</w:t>
      </w:r>
      <w:r w:rsidRPr="00500112">
        <w:rPr>
          <w:rFonts w:ascii="Times New Roman" w:hAnsi="Times New Roman" w:cs="Times New Roman"/>
          <w:sz w:val="24"/>
          <w:szCs w:val="24"/>
        </w:rPr>
        <w:t xml:space="preserve">). The installation of nuclear island common raft has been completed in June 2019 and June 2020 in June 2019 and 2020 respectively. Cooling water tunnel boring is in progress. </w:t>
      </w:r>
    </w:p>
    <w:p w14:paraId="6911EB2A" w14:textId="77777777" w:rsidR="00773C1A"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b/>
          <w:i/>
          <w:sz w:val="24"/>
          <w:szCs w:val="24"/>
        </w:rPr>
        <w:t xml:space="preserve">Stakeholders </w:t>
      </w:r>
      <w:r w:rsidRPr="00500112">
        <w:rPr>
          <w:rFonts w:ascii="Times New Roman" w:hAnsi="Times New Roman" w:cs="Times New Roman"/>
          <w:sz w:val="24"/>
          <w:szCs w:val="24"/>
        </w:rPr>
        <w:t xml:space="preserve">of this construction project include the construction companies that are responsible for developing this project, a number of workers, investors who invest in this project, the government of the United Kingdom and customers who are going to be benefitted from this construction project. This construction project is being developed by </w:t>
      </w:r>
      <w:r w:rsidRPr="00500112">
        <w:rPr>
          <w:rFonts w:ascii="Times New Roman" w:hAnsi="Times New Roman" w:cs="Times New Roman"/>
          <w:b/>
          <w:i/>
          <w:sz w:val="24"/>
          <w:szCs w:val="24"/>
        </w:rPr>
        <w:t xml:space="preserve">NNN Generation Company </w:t>
      </w:r>
      <w:r w:rsidRPr="00500112">
        <w:rPr>
          <w:rFonts w:ascii="Times New Roman" w:hAnsi="Times New Roman" w:cs="Times New Roman"/>
          <w:sz w:val="24"/>
          <w:szCs w:val="24"/>
        </w:rPr>
        <w:t xml:space="preserve">that is known as a joint venture of EDF energy and China General Power. The management of these two construction companies are directly involved in the construction of this project. Around 66.5% of this project is owned by the management of EDF. On the other hand, 33.5% of this project is owned by the management of China General Power. Different other companies are also indirectly involved in the construction of Hinkley Point C power plant project. Doosan Badcock, Altrab, Cavendish Nuclear and Balfour Beatty Bailey are some other companies that are involved indirectly in the construction of this project. These organisations have been hired for the erection sequence for the construction of this project. On the other hand, different civil engineering materials and equipment are being delivered by </w:t>
      </w:r>
      <w:r w:rsidRPr="00500112">
        <w:rPr>
          <w:rFonts w:ascii="Times New Roman" w:hAnsi="Times New Roman" w:cs="Times New Roman"/>
          <w:b/>
          <w:i/>
          <w:sz w:val="24"/>
          <w:szCs w:val="24"/>
        </w:rPr>
        <w:t xml:space="preserve">Laing O'Rourke </w:t>
      </w:r>
      <w:r w:rsidRPr="00500112">
        <w:rPr>
          <w:rFonts w:ascii="Times New Roman" w:hAnsi="Times New Roman" w:cs="Times New Roman"/>
          <w:sz w:val="24"/>
          <w:szCs w:val="24"/>
        </w:rPr>
        <w:t xml:space="preserve">that is in partnership with </w:t>
      </w:r>
      <w:r w:rsidRPr="00500112">
        <w:rPr>
          <w:rFonts w:ascii="Times New Roman" w:hAnsi="Times New Roman" w:cs="Times New Roman"/>
          <w:b/>
          <w:i/>
          <w:sz w:val="24"/>
          <w:szCs w:val="24"/>
        </w:rPr>
        <w:t>Bouygues TP (Baylor)</w:t>
      </w:r>
      <w:r w:rsidRPr="00500112">
        <w:rPr>
          <w:rFonts w:ascii="Times New Roman" w:hAnsi="Times New Roman" w:cs="Times New Roman"/>
          <w:sz w:val="24"/>
          <w:szCs w:val="24"/>
        </w:rPr>
        <w:t>. This enterprise is responsible for the supply of raw materials worth around 2.8 billion pounds (</w:t>
      </w:r>
      <w:proofErr w:type="spellStart"/>
      <w:r w:rsidRPr="00500112">
        <w:rPr>
          <w:rFonts w:ascii="Times New Roman" w:hAnsi="Times New Roman" w:cs="Times New Roman"/>
          <w:sz w:val="24"/>
          <w:szCs w:val="24"/>
        </w:rPr>
        <w:t>Hedborg</w:t>
      </w:r>
      <w:proofErr w:type="spellEnd"/>
      <w:r w:rsidRPr="00500112">
        <w:rPr>
          <w:rFonts w:ascii="Times New Roman" w:hAnsi="Times New Roman" w:cs="Times New Roman"/>
          <w:sz w:val="24"/>
          <w:szCs w:val="24"/>
        </w:rPr>
        <w:t xml:space="preserve"> and </w:t>
      </w:r>
      <w:proofErr w:type="spellStart"/>
      <w:r w:rsidRPr="00500112">
        <w:rPr>
          <w:rFonts w:ascii="Times New Roman" w:hAnsi="Times New Roman" w:cs="Times New Roman"/>
          <w:sz w:val="24"/>
          <w:szCs w:val="24"/>
        </w:rPr>
        <w:t>Rosander</w:t>
      </w:r>
      <w:proofErr w:type="spellEnd"/>
      <w:r w:rsidRPr="00500112">
        <w:rPr>
          <w:rFonts w:ascii="Times New Roman" w:hAnsi="Times New Roman" w:cs="Times New Roman"/>
          <w:sz w:val="24"/>
          <w:szCs w:val="24"/>
        </w:rPr>
        <w:t>, 2023). China General Nuclear, controlled by the Chinese government, is an investor in this construction project. The government of the United Kingdom is also involved directly in decision-making regarding this construction project. The government of this country has approved this project after being designed and sanctioned. Rules and regulations that should be followed during the construction of this project have also been developed by the government of this nation. Around 8k workers are directly involved in the construction of this project (</w:t>
      </w:r>
      <w:r w:rsidRPr="00500112">
        <w:rPr>
          <w:rFonts w:ascii="Times New Roman" w:eastAsia="Times New Roman" w:hAnsi="Times New Roman" w:cs="Times New Roman"/>
          <w:sz w:val="24"/>
          <w:szCs w:val="24"/>
        </w:rPr>
        <w:t xml:space="preserve">Steigerwald </w:t>
      </w:r>
      <w:r w:rsidRPr="00500112">
        <w:rPr>
          <w:rFonts w:ascii="Times New Roman" w:eastAsia="Times New Roman" w:hAnsi="Times New Roman" w:cs="Times New Roman"/>
          <w:i/>
          <w:sz w:val="24"/>
          <w:szCs w:val="24"/>
        </w:rPr>
        <w:t xml:space="preserve">et.al., </w:t>
      </w:r>
      <w:r w:rsidRPr="00500112">
        <w:rPr>
          <w:rFonts w:ascii="Times New Roman" w:eastAsia="Times New Roman" w:hAnsi="Times New Roman" w:cs="Times New Roman"/>
          <w:sz w:val="24"/>
          <w:szCs w:val="24"/>
        </w:rPr>
        <w:t>2023</w:t>
      </w:r>
      <w:r w:rsidRPr="00500112">
        <w:rPr>
          <w:rFonts w:ascii="Times New Roman" w:hAnsi="Times New Roman" w:cs="Times New Roman"/>
          <w:sz w:val="24"/>
          <w:szCs w:val="24"/>
        </w:rPr>
        <w:t xml:space="preserve">). Apart from that, 22k workers are indirectly involved in the construction of this project by supplying materials and other elements. All the aforementioned organisations and people can be included as the quality stakeholders of this construction project. </w:t>
      </w:r>
    </w:p>
    <w:p w14:paraId="6F779F12" w14:textId="77777777" w:rsidR="00500112" w:rsidRPr="00500112" w:rsidRDefault="00500112" w:rsidP="00500112">
      <w:pPr>
        <w:pStyle w:val="Normal1"/>
        <w:spacing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The Hinkley Point C Project in the UK faces the critical </w:t>
      </w:r>
      <w:proofErr w:type="spellStart"/>
      <w:r>
        <w:rPr>
          <w:rFonts w:ascii="Times New Roman" w:eastAsia="Times New Roman" w:hAnsi="Times New Roman" w:cs="Times New Roman"/>
          <w:sz w:val="24"/>
          <w:szCs w:val="24"/>
        </w:rPr>
        <w:t>specter</w:t>
      </w:r>
      <w:proofErr w:type="spellEnd"/>
      <w:r>
        <w:rPr>
          <w:rFonts w:ascii="Times New Roman" w:eastAsia="Times New Roman" w:hAnsi="Times New Roman" w:cs="Times New Roman"/>
          <w:sz w:val="24"/>
          <w:szCs w:val="24"/>
        </w:rPr>
        <w:t xml:space="preserve"> of </w:t>
      </w:r>
      <w:r>
        <w:rPr>
          <w:rFonts w:ascii="Times New Roman" w:eastAsia="Times New Roman" w:hAnsi="Times New Roman" w:cs="Times New Roman"/>
          <w:b/>
          <w:i/>
          <w:sz w:val="24"/>
          <w:szCs w:val="24"/>
        </w:rPr>
        <w:t>construction delays and cost overruns</w:t>
      </w:r>
      <w:r>
        <w:rPr>
          <w:rFonts w:ascii="Times New Roman" w:eastAsia="Times New Roman" w:hAnsi="Times New Roman" w:cs="Times New Roman"/>
          <w:sz w:val="24"/>
          <w:szCs w:val="24"/>
        </w:rPr>
        <w:t xml:space="preserve">. In September 2021, the project's budget had already surged from an initial estimate of £18 billion to over £22 billion. Furthermore, a National Audit Office report highlighted potential delays of up to 15 months (Daniel and Daniel, 2019). Complex engineering intricacies, regulatory challenges, and supply chain disruptions contribute to this risk. Prudent project management, stringent risk assessment, and stakeholder collaboration are paramount to mitigate these concerns, ensuring timely completion and efficient delivery of clean energy benefits. There were concerns among some politicians and environmental groups regarding the project's costs, safety implications, and potential negative impacts on local communities. Additionally, the project faced </w:t>
      </w:r>
      <w:r>
        <w:rPr>
          <w:rFonts w:ascii="Times New Roman" w:eastAsia="Times New Roman" w:hAnsi="Times New Roman" w:cs="Times New Roman"/>
          <w:b/>
          <w:i/>
          <w:sz w:val="24"/>
          <w:szCs w:val="24"/>
        </w:rPr>
        <w:t>regulatory hurdles</w:t>
      </w:r>
      <w:r>
        <w:rPr>
          <w:rFonts w:ascii="Times New Roman" w:eastAsia="Times New Roman" w:hAnsi="Times New Roman" w:cs="Times New Roman"/>
          <w:sz w:val="24"/>
          <w:szCs w:val="24"/>
        </w:rPr>
        <w:t xml:space="preserve"> by authorities responsible for ensuring compliance with safety standards and protecting the environment (</w:t>
      </w:r>
      <w:proofErr w:type="spellStart"/>
      <w:r>
        <w:rPr>
          <w:rFonts w:ascii="Times New Roman" w:eastAsia="Times New Roman" w:hAnsi="Times New Roman" w:cs="Times New Roman"/>
          <w:sz w:val="24"/>
          <w:szCs w:val="24"/>
        </w:rPr>
        <w:t>Sainati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These factors could potentially delay completion dates, increase expenses, or even jeopardize the success of the project if not properly addressed. However, these risks must be weighed against the benefits of investing in low-carbon energy infrastructure to meet long-term climate goals. Ultimately, decision makers must carefully evaluate all relevant considerations before moving forward with any major development initiative. Nuclear reactors rely heavily on advanced technology and specialized components to function safely and efficiently. Any malfunction or breakdown of critical systems could disrupt operations, leading to increased maintenance costs, lost generation capacity, or even safety incidents. In addition, new technologies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used in the HPC design may introduce unforeseen challenges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during operation, requiring additional resources to address problems as they arise (Dyrda and Morrison, 2021). Therefore, careful planning and rigorous testing protocols should be implemented throughout construction and commissioning phases to minimize the likelihood of </w:t>
      </w:r>
      <w:r>
        <w:rPr>
          <w:rFonts w:ascii="Times New Roman" w:eastAsia="Times New Roman" w:hAnsi="Times New Roman" w:cs="Times New Roman"/>
          <w:b/>
          <w:i/>
          <w:sz w:val="24"/>
          <w:szCs w:val="24"/>
        </w:rPr>
        <w:t>technical issues</w:t>
      </w:r>
      <w:r>
        <w:rPr>
          <w:rFonts w:ascii="Times New Roman" w:eastAsia="Times New Roman" w:hAnsi="Times New Roman" w:cs="Times New Roman"/>
          <w:sz w:val="24"/>
          <w:szCs w:val="24"/>
        </w:rPr>
        <w:t xml:space="preserve"> arising later in the asset's life cycle. Large capital investments required for nuclear projects often necessitate substantial external funding through loans or bond issuances. This increases exposure to interest rate fluctuations and credit market volatility, which could lead to higher borrowing costs or difficulty accessing future funds. </w:t>
      </w:r>
      <w:r>
        <w:rPr>
          <w:rFonts w:ascii="Times New Roman" w:eastAsia="Times New Roman" w:hAnsi="Times New Roman" w:cs="Times New Roman"/>
          <w:b/>
          <w:i/>
          <w:sz w:val="24"/>
          <w:szCs w:val="24"/>
        </w:rPr>
        <w:t>Revenue shortfalls</w:t>
      </w:r>
      <w:r>
        <w:rPr>
          <w:rFonts w:ascii="Times New Roman" w:eastAsia="Times New Roman" w:hAnsi="Times New Roman" w:cs="Times New Roman"/>
          <w:sz w:val="24"/>
          <w:szCs w:val="24"/>
        </w:rPr>
        <w:t xml:space="preserve"> due to lower than anticipated electricity prices or reduced demand for grid services pose another financial challenge, straining operating margins and limiting cash flow availability for essential maintenance or </w:t>
      </w:r>
      <w:proofErr w:type="spellStart"/>
      <w:r>
        <w:rPr>
          <w:rFonts w:ascii="Times New Roman" w:eastAsia="Times New Roman" w:hAnsi="Times New Roman" w:cs="Times New Roman"/>
          <w:sz w:val="24"/>
          <w:szCs w:val="24"/>
        </w:rPr>
        <w:t>modernization</w:t>
      </w:r>
      <w:proofErr w:type="spellEnd"/>
      <w:r>
        <w:rPr>
          <w:rFonts w:ascii="Times New Roman" w:eastAsia="Times New Roman" w:hAnsi="Times New Roman" w:cs="Times New Roman"/>
          <w:sz w:val="24"/>
          <w:szCs w:val="24"/>
        </w:rPr>
        <w:t xml:space="preserve"> activities (</w:t>
      </w:r>
      <w:proofErr w:type="spellStart"/>
      <w:r>
        <w:rPr>
          <w:rFonts w:ascii="Times New Roman" w:eastAsia="Times New Roman" w:hAnsi="Times New Roman" w:cs="Times New Roman"/>
          <w:sz w:val="24"/>
          <w:szCs w:val="24"/>
        </w:rPr>
        <w:t>Stašáková</w:t>
      </w:r>
      <w:proofErr w:type="spellEnd"/>
      <w:r>
        <w:rPr>
          <w:rFonts w:ascii="Times New Roman" w:eastAsia="Times New Roman" w:hAnsi="Times New Roman" w:cs="Times New Roman"/>
          <w:sz w:val="24"/>
          <w:szCs w:val="24"/>
        </w:rPr>
        <w:t xml:space="preserve"> and Vlček, 2022). To manage these risks effectively, developers and operators must maintain flexible balance sheet structures, regularly assess market conditions, and continually monitor revenue projections versus actual performance to make informed decisions about financing strategies and operational plans. Sourcing materials or expertise internationally introduces several vulnerabilities into the supply chain management process. Disruptions caused by trade disputes, shipping delays, customs clearance hold-ups, or quality control issues might hinder timely delivery or compromise product integrity. Moreover, </w:t>
      </w:r>
      <w:r>
        <w:rPr>
          <w:rFonts w:ascii="Times New Roman" w:eastAsia="Times New Roman" w:hAnsi="Times New Roman" w:cs="Times New Roman"/>
          <w:b/>
          <w:i/>
          <w:sz w:val="24"/>
          <w:szCs w:val="24"/>
        </w:rPr>
        <w:t>reliance on single vendors</w:t>
      </w:r>
      <w:r>
        <w:rPr>
          <w:rFonts w:ascii="Times New Roman" w:eastAsia="Times New Roman" w:hAnsi="Times New Roman" w:cs="Times New Roman"/>
          <w:sz w:val="24"/>
          <w:szCs w:val="24"/>
        </w:rPr>
        <w:t xml:space="preserve"> for critical parts or proprietary know-how could create monopoly-like situations, increasing procurement costs or restricting innovation opportunities. To mitigate these risks, project planners should diversify their supplier base whenever possible, negotiate </w:t>
      </w:r>
      <w:proofErr w:type="spellStart"/>
      <w:r>
        <w:rPr>
          <w:rFonts w:ascii="Times New Roman" w:eastAsia="Times New Roman" w:hAnsi="Times New Roman" w:cs="Times New Roman"/>
          <w:sz w:val="24"/>
          <w:szCs w:val="24"/>
        </w:rPr>
        <w:t>favorable</w:t>
      </w:r>
      <w:proofErr w:type="spellEnd"/>
      <w:r>
        <w:rPr>
          <w:rFonts w:ascii="Times New Roman" w:eastAsia="Times New Roman" w:hAnsi="Times New Roman" w:cs="Times New Roman"/>
          <w:sz w:val="24"/>
          <w:szCs w:val="24"/>
        </w:rPr>
        <w:t xml:space="preserve"> contract terms, establish robust logistics networks, and collaborate closely with international partners to streamline collaboration and foster mutual trust. By prioritizing resilience and adaptability in global sourcing relationships, stakeholders can strengthen the overall feasibility and sustainability of the HPC venture.</w:t>
      </w:r>
    </w:p>
    <w:p w14:paraId="5B1E5632" w14:textId="77777777" w:rsidR="00773C1A" w:rsidRP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 xml:space="preserve">It can be concluded that for a construction project to be completed on schedule, proper planning and the availability of resources are two crucial variables that should be taken into account. A power plant project called Hinkley Point C has been designed and is currently under construction in Somerset, United Kingdom. The goal of this project is to address the UK's current electrical issue. In addition, this research could aid in lowering carbon emissions. As a result, the construction of the Hinkley Point C power plant can promote environmental health. The introduction of the COVID-19 pandemic, however, has hampered this construction project's advancement. Several of the project's raw material suppliers experienced delays or brief closures. This project's progress has also been adversely impacted by other issues. The primary cause of these construction project's cost overruns, however, was the COVID-19 epidemic. One of the main obstacles to the completion of this construction project was the lack of resources, both human and material. The EDF management stated that neither British consumers nor taxpayers will be harmed by the cost overruns and delay in finishing this power facility. In order to maintain safety concerns, responsible construction companies have chosen to decrease the number of workers during the epidemic. For their safe and effective operation, nuclear reactors rely substantially on cutting-edge technology and specialised components. Critical systems that fail or break down could cause operations to be disrupted, resulting in higher maintenance costs, reduced generation capacity, or even safety incidents. Additionally, new technologies incorporated into the HPC architecture may present unexpected difficulties during operation, necessitating additional resources to deal with issues as they materialise. Therefore, during the building and commissioning phases, stringent testing standards should be used to reduce the possibility of technical faults developing later on in the asset's life cycle. </w:t>
      </w:r>
    </w:p>
    <w:p w14:paraId="35DDA24B" w14:textId="77777777" w:rsidR="00500112" w:rsidRDefault="006D30C5" w:rsidP="00500112">
      <w:pPr>
        <w:pStyle w:val="Normal1"/>
        <w:spacing w:line="480" w:lineRule="auto"/>
        <w:jc w:val="both"/>
        <w:rPr>
          <w:rFonts w:ascii="Times New Roman" w:hAnsi="Times New Roman" w:cs="Times New Roman"/>
          <w:sz w:val="24"/>
          <w:szCs w:val="24"/>
        </w:rPr>
      </w:pPr>
      <w:r w:rsidRPr="00500112">
        <w:rPr>
          <w:rFonts w:ascii="Times New Roman" w:hAnsi="Times New Roman" w:cs="Times New Roman"/>
          <w:sz w:val="24"/>
          <w:szCs w:val="24"/>
        </w:rPr>
        <w:t>It can be recommended that the authority of this construction project should recruit efficient employees and workers to maintain the progress of this project. Apart from that, the implementation of an agile</w:t>
      </w:r>
      <w:r w:rsidRPr="00500112">
        <w:rPr>
          <w:rFonts w:ascii="Times New Roman" w:hAnsi="Times New Roman" w:cs="Times New Roman"/>
          <w:b/>
          <w:i/>
          <w:sz w:val="24"/>
          <w:szCs w:val="24"/>
        </w:rPr>
        <w:t xml:space="preserve"> project management plan </w:t>
      </w:r>
      <w:r w:rsidRPr="00500112">
        <w:rPr>
          <w:rFonts w:ascii="Times New Roman" w:hAnsi="Times New Roman" w:cs="Times New Roman"/>
          <w:sz w:val="24"/>
          <w:szCs w:val="24"/>
        </w:rPr>
        <w:t xml:space="preserve">can be helpful for completing this construction project successfully. The reason behind it is that the success rate of this project management plan is higher than other project management techniques. The implementation of different technologies including </w:t>
      </w:r>
      <w:r w:rsidRPr="00500112">
        <w:rPr>
          <w:rFonts w:ascii="Times New Roman" w:hAnsi="Times New Roman" w:cs="Times New Roman"/>
          <w:b/>
          <w:i/>
          <w:sz w:val="24"/>
          <w:szCs w:val="24"/>
        </w:rPr>
        <w:t xml:space="preserve">3d printing, Artificial intelligence </w:t>
      </w:r>
      <w:r w:rsidRPr="00500112">
        <w:rPr>
          <w:rFonts w:ascii="Times New Roman" w:hAnsi="Times New Roman" w:cs="Times New Roman"/>
          <w:sz w:val="24"/>
          <w:szCs w:val="24"/>
        </w:rPr>
        <w:t xml:space="preserve">and </w:t>
      </w:r>
      <w:r w:rsidRPr="00500112">
        <w:rPr>
          <w:rFonts w:ascii="Times New Roman" w:hAnsi="Times New Roman" w:cs="Times New Roman"/>
          <w:b/>
          <w:i/>
          <w:sz w:val="24"/>
          <w:szCs w:val="24"/>
        </w:rPr>
        <w:t xml:space="preserve">building of information </w:t>
      </w:r>
      <w:r w:rsidRPr="00500112">
        <w:rPr>
          <w:rFonts w:ascii="Times New Roman" w:hAnsi="Times New Roman" w:cs="Times New Roman"/>
          <w:sz w:val="24"/>
          <w:szCs w:val="24"/>
        </w:rPr>
        <w:t xml:space="preserve">can also help the responsible construction companies to run the progress of this construction project adequately. </w:t>
      </w:r>
    </w:p>
    <w:p w14:paraId="12A7E0D4" w14:textId="77777777" w:rsidR="00773C1A" w:rsidRPr="00500112" w:rsidRDefault="00500112" w:rsidP="00500112">
      <w:pPr>
        <w:rPr>
          <w:rFonts w:cs="Times New Roman"/>
          <w:szCs w:val="24"/>
        </w:rPr>
      </w:pPr>
      <w:r>
        <w:rPr>
          <w:rFonts w:cs="Times New Roman"/>
          <w:szCs w:val="24"/>
        </w:rPr>
        <w:br w:type="page"/>
      </w:r>
    </w:p>
    <w:p w14:paraId="4D68E6BA" w14:textId="497FFF26" w:rsidR="00773C1A" w:rsidRPr="00500112" w:rsidRDefault="00500112" w:rsidP="00500112">
      <w:pPr>
        <w:pStyle w:val="Normal1"/>
        <w:spacing w:line="480" w:lineRule="auto"/>
        <w:jc w:val="both"/>
        <w:rPr>
          <w:rFonts w:ascii="Times New Roman" w:hAnsi="Times New Roman" w:cs="Times New Roman"/>
          <w:b/>
          <w:sz w:val="28"/>
          <w:szCs w:val="24"/>
        </w:rPr>
      </w:pPr>
      <w:r w:rsidRPr="00500112">
        <w:rPr>
          <w:rFonts w:ascii="Times New Roman" w:hAnsi="Times New Roman" w:cs="Times New Roman"/>
          <w:b/>
          <w:sz w:val="28"/>
          <w:szCs w:val="24"/>
        </w:rPr>
        <w:t>Reference</w:t>
      </w:r>
      <w:r w:rsidR="00AD1645">
        <w:rPr>
          <w:rFonts w:ascii="Times New Roman" w:hAnsi="Times New Roman" w:cs="Times New Roman"/>
          <w:b/>
          <w:sz w:val="28"/>
          <w:szCs w:val="24"/>
        </w:rPr>
        <w:t>s</w:t>
      </w:r>
    </w:p>
    <w:p w14:paraId="064648FA" w14:textId="77777777" w:rsidR="00AD1645" w:rsidRDefault="00AD1645" w:rsidP="00500112">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Daniel, E. and Daniel, P.A., 2019. Megaprojects as complex adaptive systems: The Hinkley point C case.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(8), pp.1017-1033.</w:t>
      </w:r>
    </w:p>
    <w:p w14:paraId="516A5AB0" w14:textId="77777777" w:rsidR="00AD1645" w:rsidRDefault="00AD1645" w:rsidP="00500112">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Dyrda, J. and Morrison, R., 2021. Overview of the Hinkley Point C EPR Project ‘J0’and Beyond. In </w:t>
      </w:r>
      <w:r>
        <w:rPr>
          <w:rFonts w:ascii="Times New Roman" w:eastAsia="Times New Roman" w:hAnsi="Times New Roman" w:cs="Times New Roman"/>
          <w:i/>
          <w:color w:val="222222"/>
          <w:sz w:val="24"/>
          <w:szCs w:val="24"/>
          <w:highlight w:val="white"/>
        </w:rPr>
        <w:t>EPJ Web of Conferences</w:t>
      </w:r>
      <w:r>
        <w:rPr>
          <w:rFonts w:ascii="Times New Roman" w:eastAsia="Times New Roman" w:hAnsi="Times New Roman" w:cs="Times New Roman"/>
          <w:color w:val="222222"/>
          <w:sz w:val="24"/>
          <w:szCs w:val="24"/>
          <w:highlight w:val="white"/>
        </w:rPr>
        <w:t xml:space="preserve"> (Vol. 247, p. 20001). EDP Sciences.</w:t>
      </w:r>
    </w:p>
    <w:p w14:paraId="7825F0CB" w14:textId="77777777" w:rsidR="00AD1645" w:rsidRPr="00500112" w:rsidRDefault="00AD1645" w:rsidP="00500112">
      <w:pPr>
        <w:rPr>
          <w:rFonts w:cs="Times New Roman"/>
          <w:szCs w:val="24"/>
          <w:shd w:val="clear" w:color="auto" w:fill="FFFFFF"/>
        </w:rPr>
      </w:pPr>
      <w:proofErr w:type="spellStart"/>
      <w:r w:rsidRPr="00500112">
        <w:rPr>
          <w:rFonts w:cs="Times New Roman"/>
          <w:szCs w:val="24"/>
          <w:shd w:val="clear" w:color="auto" w:fill="FFFFFF"/>
        </w:rPr>
        <w:t>Hedborg</w:t>
      </w:r>
      <w:proofErr w:type="spellEnd"/>
      <w:r w:rsidRPr="00500112">
        <w:rPr>
          <w:rFonts w:cs="Times New Roman"/>
          <w:szCs w:val="24"/>
          <w:shd w:val="clear" w:color="auto" w:fill="FFFFFF"/>
        </w:rPr>
        <w:t>, S. and Rosander, L., 2023. Self-organizing in urban development: developers coordinating between construction projects. </w:t>
      </w:r>
      <w:r w:rsidRPr="00500112">
        <w:rPr>
          <w:rFonts w:cs="Times New Roman"/>
          <w:i/>
          <w:iCs/>
          <w:szCs w:val="24"/>
          <w:shd w:val="clear" w:color="auto" w:fill="FFFFFF"/>
        </w:rPr>
        <w:t>Construction Management and Economics</w:t>
      </w:r>
      <w:r w:rsidRPr="00500112">
        <w:rPr>
          <w:rFonts w:cs="Times New Roman"/>
          <w:szCs w:val="24"/>
          <w:shd w:val="clear" w:color="auto" w:fill="FFFFFF"/>
        </w:rPr>
        <w:t>, pp.1-15.</w:t>
      </w:r>
    </w:p>
    <w:p w14:paraId="62939A4C"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 xml:space="preserve">Jaegle, V., </w:t>
      </w:r>
      <w:proofErr w:type="spellStart"/>
      <w:r w:rsidRPr="00500112">
        <w:rPr>
          <w:rFonts w:cs="Times New Roman"/>
          <w:szCs w:val="24"/>
          <w:shd w:val="clear" w:color="auto" w:fill="FFFFFF"/>
        </w:rPr>
        <w:t>Paillusseau</w:t>
      </w:r>
      <w:proofErr w:type="spellEnd"/>
      <w:r w:rsidRPr="00500112">
        <w:rPr>
          <w:rFonts w:cs="Times New Roman"/>
          <w:szCs w:val="24"/>
          <w:shd w:val="clear" w:color="auto" w:fill="FFFFFF"/>
        </w:rPr>
        <w:t xml:space="preserve">, C. and </w:t>
      </w:r>
      <w:proofErr w:type="spellStart"/>
      <w:r w:rsidRPr="00500112">
        <w:rPr>
          <w:rFonts w:cs="Times New Roman"/>
          <w:szCs w:val="24"/>
          <w:shd w:val="clear" w:color="auto" w:fill="FFFFFF"/>
        </w:rPr>
        <w:t>Plagne</w:t>
      </w:r>
      <w:proofErr w:type="spellEnd"/>
      <w:r w:rsidRPr="00500112">
        <w:rPr>
          <w:rFonts w:cs="Times New Roman"/>
          <w:szCs w:val="24"/>
          <w:shd w:val="clear" w:color="auto" w:fill="FFFFFF"/>
        </w:rPr>
        <w:t>, G., 2022. An innovative non-intrusive fastener to streamline Nuclear Power Plant construction.</w:t>
      </w:r>
    </w:p>
    <w:p w14:paraId="53934DDE"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Johnstone, P. and Stirling, A., 2020. Beyond and beneath megaprojects: exploring submerged drivers of nuclear infrastructures. </w:t>
      </w:r>
      <w:r w:rsidRPr="00500112">
        <w:rPr>
          <w:rFonts w:cs="Times New Roman"/>
          <w:i/>
          <w:iCs/>
          <w:szCs w:val="24"/>
          <w:shd w:val="clear" w:color="auto" w:fill="FFFFFF"/>
        </w:rPr>
        <w:t>Journal of Mega Infrastructure &amp; Sustainable Development</w:t>
      </w:r>
      <w:r w:rsidRPr="00500112">
        <w:rPr>
          <w:rFonts w:cs="Times New Roman"/>
          <w:szCs w:val="24"/>
          <w:shd w:val="clear" w:color="auto" w:fill="FFFFFF"/>
        </w:rPr>
        <w:t>, </w:t>
      </w:r>
      <w:r w:rsidRPr="00500112">
        <w:rPr>
          <w:rFonts w:cs="Times New Roman"/>
          <w:i/>
          <w:iCs/>
          <w:szCs w:val="24"/>
          <w:shd w:val="clear" w:color="auto" w:fill="FFFFFF"/>
        </w:rPr>
        <w:t>2</w:t>
      </w:r>
      <w:r w:rsidRPr="00500112">
        <w:rPr>
          <w:rFonts w:cs="Times New Roman"/>
          <w:szCs w:val="24"/>
          <w:shd w:val="clear" w:color="auto" w:fill="FFFFFF"/>
        </w:rPr>
        <w:t>(2), pp.220-241.</w:t>
      </w:r>
    </w:p>
    <w:p w14:paraId="551F2BF1"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Lehtonen, M., 2023. Brand new or more of the same nuclear?(De) constructing the economic promise of the European Pressurised Reactor in France and the UK. </w:t>
      </w:r>
      <w:r w:rsidRPr="00500112">
        <w:rPr>
          <w:rFonts w:cs="Times New Roman"/>
          <w:i/>
          <w:iCs/>
          <w:szCs w:val="24"/>
          <w:shd w:val="clear" w:color="auto" w:fill="FFFFFF"/>
        </w:rPr>
        <w:t>Science as Culture</w:t>
      </w:r>
      <w:r w:rsidRPr="00500112">
        <w:rPr>
          <w:rFonts w:cs="Times New Roman"/>
          <w:szCs w:val="24"/>
          <w:shd w:val="clear" w:color="auto" w:fill="FFFFFF"/>
        </w:rPr>
        <w:t>, </w:t>
      </w:r>
      <w:r w:rsidRPr="00500112">
        <w:rPr>
          <w:rFonts w:cs="Times New Roman"/>
          <w:i/>
          <w:iCs/>
          <w:szCs w:val="24"/>
          <w:shd w:val="clear" w:color="auto" w:fill="FFFFFF"/>
        </w:rPr>
        <w:t>32</w:t>
      </w:r>
      <w:r w:rsidRPr="00500112">
        <w:rPr>
          <w:rFonts w:cs="Times New Roman"/>
          <w:szCs w:val="24"/>
          <w:shd w:val="clear" w:color="auto" w:fill="FFFFFF"/>
        </w:rPr>
        <w:t>(1), pp.29-57.</w:t>
      </w:r>
    </w:p>
    <w:p w14:paraId="27E5A4C7"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 xml:space="preserve">Locatelli, G., </w:t>
      </w:r>
      <w:proofErr w:type="spellStart"/>
      <w:r w:rsidRPr="00500112">
        <w:rPr>
          <w:rFonts w:cs="Times New Roman"/>
          <w:szCs w:val="24"/>
          <w:shd w:val="clear" w:color="auto" w:fill="FFFFFF"/>
        </w:rPr>
        <w:t>Sainati</w:t>
      </w:r>
      <w:proofErr w:type="spellEnd"/>
      <w:r w:rsidRPr="00500112">
        <w:rPr>
          <w:rFonts w:cs="Times New Roman"/>
          <w:szCs w:val="24"/>
          <w:shd w:val="clear" w:color="auto" w:fill="FFFFFF"/>
        </w:rPr>
        <w:t>, T. and Mignacca, B., 2021. Developing UK strategy for nuclear SMRs.</w:t>
      </w:r>
    </w:p>
    <w:p w14:paraId="2FEF332C"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Murakami, T. and Anbumozhi, V., 2021. Global Situation of Small Modular Reactor Development and Deployment.</w:t>
      </w:r>
    </w:p>
    <w:p w14:paraId="068AE067"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 xml:space="preserve">Resch, G. and </w:t>
      </w:r>
      <w:proofErr w:type="spellStart"/>
      <w:r w:rsidRPr="00500112">
        <w:rPr>
          <w:rFonts w:cs="Times New Roman"/>
          <w:szCs w:val="24"/>
          <w:shd w:val="clear" w:color="auto" w:fill="FFFFFF"/>
        </w:rPr>
        <w:t>Suna</w:t>
      </w:r>
      <w:proofErr w:type="spellEnd"/>
      <w:r w:rsidRPr="00500112">
        <w:rPr>
          <w:rFonts w:cs="Times New Roman"/>
          <w:szCs w:val="24"/>
          <w:shd w:val="clear" w:color="auto" w:fill="FFFFFF"/>
        </w:rPr>
        <w:t>, D., 2019. Renewable Energies versus Nuclear Power: Comparison of Financial Support Exemplified at the Case of Hinkley Point C. </w:t>
      </w:r>
      <w:r w:rsidRPr="00500112">
        <w:rPr>
          <w:rFonts w:cs="Times New Roman"/>
          <w:i/>
          <w:iCs/>
          <w:szCs w:val="24"/>
          <w:shd w:val="clear" w:color="auto" w:fill="FFFFFF"/>
        </w:rPr>
        <w:t>The Technological and Economic Future of Nuclear Power</w:t>
      </w:r>
      <w:r w:rsidRPr="00500112">
        <w:rPr>
          <w:rFonts w:cs="Times New Roman"/>
          <w:szCs w:val="24"/>
          <w:shd w:val="clear" w:color="auto" w:fill="FFFFFF"/>
        </w:rPr>
        <w:t>, pp.117-137.</w:t>
      </w:r>
    </w:p>
    <w:p w14:paraId="18CF727D" w14:textId="77777777" w:rsidR="00AD1645" w:rsidRPr="00500112" w:rsidRDefault="00AD1645" w:rsidP="00500112">
      <w:pPr>
        <w:rPr>
          <w:rFonts w:cs="Times New Roman"/>
          <w:szCs w:val="24"/>
          <w:shd w:val="clear" w:color="auto" w:fill="FFFFFF"/>
        </w:rPr>
      </w:pPr>
      <w:proofErr w:type="spellStart"/>
      <w:r w:rsidRPr="00500112">
        <w:rPr>
          <w:rFonts w:cs="Times New Roman"/>
          <w:szCs w:val="24"/>
          <w:shd w:val="clear" w:color="auto" w:fill="FFFFFF"/>
        </w:rPr>
        <w:t>Sainati</w:t>
      </w:r>
      <w:proofErr w:type="spellEnd"/>
      <w:r w:rsidRPr="00500112">
        <w:rPr>
          <w:rFonts w:cs="Times New Roman"/>
          <w:szCs w:val="24"/>
          <w:shd w:val="clear" w:color="auto" w:fill="FFFFFF"/>
        </w:rPr>
        <w:t>, T., Locatelli, G. and Smith, N., 2019. Project financing in nuclear new build, why not? The legal and regulatory barriers. </w:t>
      </w:r>
      <w:r w:rsidRPr="00500112">
        <w:rPr>
          <w:rFonts w:cs="Times New Roman"/>
          <w:i/>
          <w:iCs/>
          <w:szCs w:val="24"/>
          <w:shd w:val="clear" w:color="auto" w:fill="FFFFFF"/>
        </w:rPr>
        <w:t>Energy policy</w:t>
      </w:r>
      <w:r w:rsidRPr="00500112">
        <w:rPr>
          <w:rFonts w:cs="Times New Roman"/>
          <w:szCs w:val="24"/>
          <w:shd w:val="clear" w:color="auto" w:fill="FFFFFF"/>
        </w:rPr>
        <w:t>, </w:t>
      </w:r>
      <w:r w:rsidRPr="00500112">
        <w:rPr>
          <w:rFonts w:cs="Times New Roman"/>
          <w:i/>
          <w:iCs/>
          <w:szCs w:val="24"/>
          <w:shd w:val="clear" w:color="auto" w:fill="FFFFFF"/>
        </w:rPr>
        <w:t>129</w:t>
      </w:r>
      <w:r w:rsidRPr="00500112">
        <w:rPr>
          <w:rFonts w:cs="Times New Roman"/>
          <w:szCs w:val="24"/>
          <w:shd w:val="clear" w:color="auto" w:fill="FFFFFF"/>
        </w:rPr>
        <w:t>, pp.111-119.</w:t>
      </w:r>
    </w:p>
    <w:p w14:paraId="6967D92F" w14:textId="77777777" w:rsidR="00AD1645" w:rsidRDefault="00AD1645" w:rsidP="00500112">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Sainati</w:t>
      </w:r>
      <w:proofErr w:type="spellEnd"/>
      <w:r>
        <w:rPr>
          <w:rFonts w:ascii="Times New Roman" w:eastAsia="Times New Roman" w:hAnsi="Times New Roman" w:cs="Times New Roman"/>
          <w:color w:val="222222"/>
          <w:sz w:val="24"/>
          <w:szCs w:val="24"/>
          <w:highlight w:val="white"/>
        </w:rPr>
        <w:t xml:space="preserve">, T., Locatelli, G. and Smith, N., 2019. Project financing in nuclear new build, why not? The legal and regulatory barriers. </w:t>
      </w:r>
      <w:r>
        <w:rPr>
          <w:rFonts w:ascii="Times New Roman" w:eastAsia="Times New Roman" w:hAnsi="Times New Roman" w:cs="Times New Roman"/>
          <w:i/>
          <w:color w:val="222222"/>
          <w:sz w:val="24"/>
          <w:szCs w:val="24"/>
          <w:highlight w:val="white"/>
        </w:rPr>
        <w:t>Energy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129</w:t>
      </w:r>
      <w:r>
        <w:rPr>
          <w:rFonts w:ascii="Times New Roman" w:eastAsia="Times New Roman" w:hAnsi="Times New Roman" w:cs="Times New Roman"/>
          <w:color w:val="222222"/>
          <w:sz w:val="24"/>
          <w:szCs w:val="24"/>
          <w:highlight w:val="white"/>
        </w:rPr>
        <w:t>, pp.111-119.</w:t>
      </w:r>
    </w:p>
    <w:p w14:paraId="5003CD9E" w14:textId="77777777" w:rsidR="00AD1645" w:rsidRDefault="00AD1645" w:rsidP="00500112">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Stašáková</w:t>
      </w:r>
      <w:proofErr w:type="spellEnd"/>
      <w:r>
        <w:rPr>
          <w:rFonts w:ascii="Times New Roman" w:eastAsia="Times New Roman" w:hAnsi="Times New Roman" w:cs="Times New Roman"/>
          <w:color w:val="222222"/>
          <w:sz w:val="24"/>
          <w:szCs w:val="24"/>
          <w:highlight w:val="white"/>
        </w:rPr>
        <w:t xml:space="preserve">, T. and Vlček, T., 2022. The multiple‐criteria decision analysis of the financial and business models for the construction of new nuclear unit in the Czech Republic. </w:t>
      </w:r>
      <w:r>
        <w:rPr>
          <w:rFonts w:ascii="Times New Roman" w:eastAsia="Times New Roman" w:hAnsi="Times New Roman" w:cs="Times New Roman"/>
          <w:i/>
          <w:color w:val="222222"/>
          <w:sz w:val="24"/>
          <w:szCs w:val="24"/>
          <w:highlight w:val="white"/>
        </w:rPr>
        <w:t>Journal of Multi‐Criteria Decision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(3-4), pp.230-243.</w:t>
      </w:r>
    </w:p>
    <w:p w14:paraId="3CF415AB" w14:textId="77777777" w:rsidR="00AD1645" w:rsidRPr="00500112" w:rsidRDefault="00AD1645" w:rsidP="00500112">
      <w:pPr>
        <w:rPr>
          <w:rFonts w:cs="Times New Roman"/>
          <w:szCs w:val="24"/>
        </w:rPr>
      </w:pPr>
      <w:r w:rsidRPr="00500112">
        <w:rPr>
          <w:rFonts w:cs="Times New Roman"/>
          <w:szCs w:val="24"/>
        </w:rPr>
        <w:t xml:space="preserve">Steigerwald, B., </w:t>
      </w:r>
      <w:proofErr w:type="spellStart"/>
      <w:r w:rsidRPr="00500112">
        <w:rPr>
          <w:rFonts w:cs="Times New Roman"/>
          <w:szCs w:val="24"/>
        </w:rPr>
        <w:t>Weibezahn</w:t>
      </w:r>
      <w:proofErr w:type="spellEnd"/>
      <w:r w:rsidRPr="00500112">
        <w:rPr>
          <w:rFonts w:cs="Times New Roman"/>
          <w:szCs w:val="24"/>
        </w:rPr>
        <w:t>, J., Slowik, M. and Von Hirschhausen, C., 2023. Uncertainties in estimating production costs of future nuclear technologies: A model-based analysis of small modular reactors. Energy, 281, p.128204.</w:t>
      </w:r>
    </w:p>
    <w:p w14:paraId="7AF010D7" w14:textId="77777777" w:rsidR="00AD1645" w:rsidRPr="00500112" w:rsidRDefault="00AD1645" w:rsidP="00500112">
      <w:pPr>
        <w:rPr>
          <w:rFonts w:cs="Times New Roman"/>
          <w:szCs w:val="24"/>
          <w:shd w:val="clear" w:color="auto" w:fill="FFFFFF"/>
        </w:rPr>
      </w:pPr>
      <w:r w:rsidRPr="00500112">
        <w:rPr>
          <w:rFonts w:cs="Times New Roman"/>
          <w:szCs w:val="24"/>
          <w:shd w:val="clear" w:color="auto" w:fill="FFFFFF"/>
        </w:rPr>
        <w:t xml:space="preserve">Stirling, A. and Johnstone, P., 2021. Hidden military implications of ‘building </w:t>
      </w:r>
      <w:proofErr w:type="spellStart"/>
      <w:r w:rsidRPr="00500112">
        <w:rPr>
          <w:rFonts w:cs="Times New Roman"/>
          <w:szCs w:val="24"/>
          <w:shd w:val="clear" w:color="auto" w:fill="FFFFFF"/>
        </w:rPr>
        <w:t>back’with</w:t>
      </w:r>
      <w:proofErr w:type="spellEnd"/>
      <w:r w:rsidRPr="00500112">
        <w:rPr>
          <w:rFonts w:cs="Times New Roman"/>
          <w:szCs w:val="24"/>
          <w:shd w:val="clear" w:color="auto" w:fill="FFFFFF"/>
        </w:rPr>
        <w:t xml:space="preserve"> new nuclear in the UK. </w:t>
      </w:r>
      <w:r w:rsidRPr="00500112">
        <w:rPr>
          <w:rFonts w:cs="Times New Roman"/>
          <w:i/>
          <w:iCs/>
          <w:szCs w:val="24"/>
          <w:shd w:val="clear" w:color="auto" w:fill="FFFFFF"/>
        </w:rPr>
        <w:t>Responsible Science</w:t>
      </w:r>
      <w:r w:rsidRPr="00500112">
        <w:rPr>
          <w:rFonts w:cs="Times New Roman"/>
          <w:szCs w:val="24"/>
          <w:shd w:val="clear" w:color="auto" w:fill="FFFFFF"/>
        </w:rPr>
        <w:t>, </w:t>
      </w:r>
      <w:r w:rsidRPr="00500112">
        <w:rPr>
          <w:rFonts w:cs="Times New Roman"/>
          <w:i/>
          <w:iCs/>
          <w:szCs w:val="24"/>
          <w:shd w:val="clear" w:color="auto" w:fill="FFFFFF"/>
        </w:rPr>
        <w:t>3</w:t>
      </w:r>
      <w:r w:rsidRPr="00500112">
        <w:rPr>
          <w:rFonts w:cs="Times New Roman"/>
          <w:szCs w:val="24"/>
          <w:shd w:val="clear" w:color="auto" w:fill="FFFFFF"/>
        </w:rPr>
        <w:t>, pp.2021-09.</w:t>
      </w:r>
    </w:p>
    <w:p w14:paraId="66C3127F" w14:textId="20049A95" w:rsidR="00AD1645" w:rsidRPr="00500112" w:rsidRDefault="00AD1645" w:rsidP="00500112">
      <w:pPr>
        <w:rPr>
          <w:rFonts w:cs="Times New Roman"/>
          <w:szCs w:val="24"/>
          <w:shd w:val="clear" w:color="auto" w:fill="FFFFFF"/>
        </w:rPr>
      </w:pPr>
      <w:r w:rsidRPr="00500112">
        <w:rPr>
          <w:rFonts w:cs="Times New Roman"/>
          <w:szCs w:val="24"/>
          <w:shd w:val="clear" w:color="auto" w:fill="FFFFFF"/>
        </w:rPr>
        <w:t>Thomas, S.T.E.V.E., Dorfman, P., Morris, S. and Ramana, M.V., 2019. Prospects for small modular reactors in the UK &amp; worldwide. </w:t>
      </w:r>
      <w:r w:rsidRPr="00500112">
        <w:rPr>
          <w:rFonts w:cs="Times New Roman"/>
          <w:i/>
          <w:iCs/>
          <w:szCs w:val="24"/>
          <w:shd w:val="clear" w:color="auto" w:fill="FFFFFF"/>
        </w:rPr>
        <w:t>Nuclear Free Local Authorities, Nuclear Consulting Group</w:t>
      </w:r>
      <w:r w:rsidRPr="00500112">
        <w:rPr>
          <w:rFonts w:cs="Times New Roman"/>
          <w:szCs w:val="24"/>
          <w:shd w:val="clear" w:color="auto" w:fill="FFFFFF"/>
        </w:rPr>
        <w:t>, p.p24.</w:t>
      </w:r>
    </w:p>
    <w:p w14:paraId="15327BD9" w14:textId="77777777" w:rsidR="00500112" w:rsidRPr="00500112" w:rsidRDefault="00500112" w:rsidP="00500112">
      <w:pPr>
        <w:pStyle w:val="Normal1"/>
        <w:spacing w:line="480" w:lineRule="auto"/>
        <w:jc w:val="both"/>
        <w:rPr>
          <w:rFonts w:ascii="Times New Roman" w:hAnsi="Times New Roman" w:cs="Times New Roman"/>
          <w:sz w:val="24"/>
          <w:szCs w:val="24"/>
        </w:rPr>
      </w:pPr>
    </w:p>
    <w:sectPr w:rsidR="00500112" w:rsidRPr="00500112" w:rsidSect="00500112">
      <w:headerReference w:type="default" r:id="rId7"/>
      <w:footerReference w:type="default" r:id="rId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B92429" w14:textId="77777777" w:rsidR="00F05CA5" w:rsidRDefault="00F05CA5" w:rsidP="00500112">
      <w:pPr>
        <w:spacing w:line="240" w:lineRule="auto"/>
      </w:pPr>
      <w:r>
        <w:separator/>
      </w:r>
    </w:p>
  </w:endnote>
  <w:endnote w:type="continuationSeparator" w:id="0">
    <w:p w14:paraId="53014B00" w14:textId="77777777" w:rsidR="00F05CA5" w:rsidRDefault="00F05CA5" w:rsidP="005001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8197378"/>
      <w:docPartObj>
        <w:docPartGallery w:val="Page Numbers (Bottom of Page)"/>
        <w:docPartUnique/>
      </w:docPartObj>
    </w:sdtPr>
    <w:sdtEndPr/>
    <w:sdtContent>
      <w:sdt>
        <w:sdtPr>
          <w:id w:val="-1769616900"/>
          <w:docPartObj>
            <w:docPartGallery w:val="Page Numbers (Top of Page)"/>
            <w:docPartUnique/>
          </w:docPartObj>
        </w:sdtPr>
        <w:sdtEndPr/>
        <w:sdtContent>
          <w:p w14:paraId="10DCC081" w14:textId="3B0FC106" w:rsidR="00FE636D" w:rsidRDefault="00FE636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7FA4F0" w14:textId="77777777" w:rsidR="00FE636D" w:rsidRDefault="00FE63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5F345" w14:textId="77777777" w:rsidR="00F05CA5" w:rsidRDefault="00F05CA5" w:rsidP="00500112">
      <w:pPr>
        <w:spacing w:line="240" w:lineRule="auto"/>
      </w:pPr>
      <w:r>
        <w:separator/>
      </w:r>
    </w:p>
  </w:footnote>
  <w:footnote w:type="continuationSeparator" w:id="0">
    <w:p w14:paraId="67C04616" w14:textId="77777777" w:rsidR="00F05CA5" w:rsidRDefault="00F05CA5" w:rsidP="005001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CBB7E1" w14:textId="47A6ECC0" w:rsidR="00FE636D" w:rsidRPr="00FE636D" w:rsidRDefault="00FE636D" w:rsidP="00FE636D">
    <w:pPr>
      <w:jc w:val="right"/>
      <w:rPr>
        <w:b/>
        <w:bCs/>
      </w:rPr>
    </w:pPr>
    <w:r w:rsidRPr="00FE636D">
      <w:rPr>
        <w:b/>
        <w:bCs/>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BB5407"/>
    <w:multiLevelType w:val="hybridMultilevel"/>
    <w:tmpl w:val="C4F683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removePersonalInformation/>
  <w:removeDateAndTime/>
  <w:proofState w:spelling="clean"/>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C1A"/>
    <w:rsid w:val="001D3354"/>
    <w:rsid w:val="002B1F59"/>
    <w:rsid w:val="003A64DB"/>
    <w:rsid w:val="00500112"/>
    <w:rsid w:val="005D7C1A"/>
    <w:rsid w:val="006D30C5"/>
    <w:rsid w:val="00773C1A"/>
    <w:rsid w:val="00860B6F"/>
    <w:rsid w:val="00AD1645"/>
    <w:rsid w:val="00D427A9"/>
    <w:rsid w:val="00F05CA5"/>
    <w:rsid w:val="00FE6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E6A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36D"/>
    <w:pPr>
      <w:spacing w:line="480" w:lineRule="auto"/>
      <w:jc w:val="both"/>
    </w:pPr>
    <w:rPr>
      <w:rFonts w:ascii="Times New Roman" w:hAnsi="Times New Roman"/>
      <w:sz w:val="24"/>
    </w:rPr>
  </w:style>
  <w:style w:type="paragraph" w:styleId="Heading1">
    <w:name w:val="heading 1"/>
    <w:basedOn w:val="Normal1"/>
    <w:next w:val="Normal1"/>
    <w:rsid w:val="00773C1A"/>
    <w:pPr>
      <w:keepNext/>
      <w:keepLines/>
      <w:spacing w:before="400" w:after="120"/>
      <w:outlineLvl w:val="0"/>
    </w:pPr>
    <w:rPr>
      <w:sz w:val="40"/>
      <w:szCs w:val="40"/>
    </w:rPr>
  </w:style>
  <w:style w:type="paragraph" w:styleId="Heading2">
    <w:name w:val="heading 2"/>
    <w:basedOn w:val="Normal1"/>
    <w:next w:val="Normal1"/>
    <w:rsid w:val="00773C1A"/>
    <w:pPr>
      <w:keepNext/>
      <w:keepLines/>
      <w:spacing w:before="360" w:after="120"/>
      <w:outlineLvl w:val="1"/>
    </w:pPr>
    <w:rPr>
      <w:sz w:val="32"/>
      <w:szCs w:val="32"/>
    </w:rPr>
  </w:style>
  <w:style w:type="paragraph" w:styleId="Heading3">
    <w:name w:val="heading 3"/>
    <w:basedOn w:val="Normal1"/>
    <w:next w:val="Normal1"/>
    <w:rsid w:val="00773C1A"/>
    <w:pPr>
      <w:keepNext/>
      <w:keepLines/>
      <w:spacing w:before="320" w:after="80"/>
      <w:outlineLvl w:val="2"/>
    </w:pPr>
    <w:rPr>
      <w:color w:val="434343"/>
      <w:sz w:val="28"/>
      <w:szCs w:val="28"/>
    </w:rPr>
  </w:style>
  <w:style w:type="paragraph" w:styleId="Heading4">
    <w:name w:val="heading 4"/>
    <w:basedOn w:val="Normal1"/>
    <w:next w:val="Normal1"/>
    <w:rsid w:val="00773C1A"/>
    <w:pPr>
      <w:keepNext/>
      <w:keepLines/>
      <w:spacing w:before="280" w:after="80"/>
      <w:outlineLvl w:val="3"/>
    </w:pPr>
    <w:rPr>
      <w:color w:val="666666"/>
      <w:sz w:val="24"/>
      <w:szCs w:val="24"/>
    </w:rPr>
  </w:style>
  <w:style w:type="paragraph" w:styleId="Heading5">
    <w:name w:val="heading 5"/>
    <w:basedOn w:val="Normal1"/>
    <w:next w:val="Normal1"/>
    <w:rsid w:val="00773C1A"/>
    <w:pPr>
      <w:keepNext/>
      <w:keepLines/>
      <w:spacing w:before="240" w:after="80"/>
      <w:outlineLvl w:val="4"/>
    </w:pPr>
    <w:rPr>
      <w:color w:val="666666"/>
    </w:rPr>
  </w:style>
  <w:style w:type="paragraph" w:styleId="Heading6">
    <w:name w:val="heading 6"/>
    <w:basedOn w:val="Normal1"/>
    <w:next w:val="Normal1"/>
    <w:rsid w:val="00773C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73C1A"/>
  </w:style>
  <w:style w:type="table" w:customStyle="1" w:styleId="TableNormal1">
    <w:name w:val="Table Normal1"/>
    <w:rsid w:val="00773C1A"/>
    <w:tblPr>
      <w:tblCellMar>
        <w:top w:w="0" w:type="dxa"/>
        <w:left w:w="0" w:type="dxa"/>
        <w:bottom w:w="0" w:type="dxa"/>
        <w:right w:w="0" w:type="dxa"/>
      </w:tblCellMar>
    </w:tblPr>
  </w:style>
  <w:style w:type="paragraph" w:styleId="Title">
    <w:name w:val="Title"/>
    <w:basedOn w:val="Normal1"/>
    <w:next w:val="Normal1"/>
    <w:rsid w:val="00773C1A"/>
    <w:pPr>
      <w:keepNext/>
      <w:keepLines/>
      <w:spacing w:after="60"/>
    </w:pPr>
    <w:rPr>
      <w:sz w:val="52"/>
      <w:szCs w:val="52"/>
    </w:rPr>
  </w:style>
  <w:style w:type="paragraph" w:styleId="Subtitle">
    <w:name w:val="Subtitle"/>
    <w:basedOn w:val="Normal1"/>
    <w:next w:val="Normal1"/>
    <w:rsid w:val="00773C1A"/>
    <w:pPr>
      <w:keepNext/>
      <w:keepLines/>
      <w:spacing w:after="320"/>
    </w:pPr>
    <w:rPr>
      <w:color w:val="666666"/>
      <w:sz w:val="30"/>
      <w:szCs w:val="30"/>
    </w:rPr>
  </w:style>
  <w:style w:type="paragraph" w:styleId="Header">
    <w:name w:val="header"/>
    <w:basedOn w:val="Normal"/>
    <w:link w:val="HeaderChar"/>
    <w:uiPriority w:val="99"/>
    <w:unhideWhenUsed/>
    <w:rsid w:val="00500112"/>
    <w:pPr>
      <w:tabs>
        <w:tab w:val="center" w:pos="4680"/>
        <w:tab w:val="right" w:pos="9360"/>
      </w:tabs>
      <w:spacing w:line="240" w:lineRule="auto"/>
    </w:pPr>
  </w:style>
  <w:style w:type="character" w:customStyle="1" w:styleId="HeaderChar">
    <w:name w:val="Header Char"/>
    <w:basedOn w:val="DefaultParagraphFont"/>
    <w:link w:val="Header"/>
    <w:uiPriority w:val="99"/>
    <w:rsid w:val="00500112"/>
  </w:style>
  <w:style w:type="paragraph" w:styleId="Footer">
    <w:name w:val="footer"/>
    <w:basedOn w:val="Normal"/>
    <w:link w:val="FooterChar"/>
    <w:uiPriority w:val="99"/>
    <w:unhideWhenUsed/>
    <w:rsid w:val="00500112"/>
    <w:pPr>
      <w:tabs>
        <w:tab w:val="center" w:pos="4680"/>
        <w:tab w:val="right" w:pos="9360"/>
      </w:tabs>
      <w:spacing w:line="240" w:lineRule="auto"/>
    </w:pPr>
  </w:style>
  <w:style w:type="character" w:customStyle="1" w:styleId="FooterChar">
    <w:name w:val="Footer Char"/>
    <w:basedOn w:val="DefaultParagraphFont"/>
    <w:link w:val="Footer"/>
    <w:uiPriority w:val="99"/>
    <w:rsid w:val="00500112"/>
  </w:style>
  <w:style w:type="paragraph" w:styleId="ListParagraph">
    <w:name w:val="List Paragraph"/>
    <w:basedOn w:val="Normal"/>
    <w:uiPriority w:val="34"/>
    <w:qFormat/>
    <w:rsid w:val="00500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2887</Words>
  <Characters>16461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2023-08-07T04:00:00Z</dcterms:created>
  <dcterms:modified xsi:type="dcterms:W3CDTF">2023-08-22T10:33:00Z</dcterms:modified>
</cp:coreProperties>
</file>