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88F9B" w14:textId="040ED407" w:rsidR="008F49D0" w:rsidRPr="001A7622" w:rsidRDefault="006D21EC" w:rsidP="00DB786E">
      <w:pPr>
        <w:spacing w:line="360" w:lineRule="auto"/>
        <w:jc w:val="center"/>
        <w:rPr>
          <w:rFonts w:ascii="Times New Roman" w:hAnsi="Times New Roman" w:cs="Times New Roman"/>
          <w:sz w:val="48"/>
          <w:szCs w:val="48"/>
        </w:rPr>
      </w:pPr>
      <w:r w:rsidRPr="00E34227">
        <w:br/>
      </w:r>
      <w:r w:rsidRPr="00E34227">
        <w:br/>
      </w:r>
      <w:r w:rsidRPr="00E34227">
        <w:br/>
      </w:r>
      <w:r w:rsidRPr="00E34227">
        <w:br/>
      </w:r>
      <w:bookmarkStart w:id="0" w:name="_Hlk120892333"/>
      <w:r w:rsidRPr="00E34227">
        <w:br/>
      </w:r>
      <w:r w:rsidR="13ED293F" w:rsidRPr="001A7622">
        <w:rPr>
          <w:rFonts w:ascii="Times New Roman" w:hAnsi="Times New Roman" w:cs="Times New Roman"/>
          <w:sz w:val="48"/>
          <w:szCs w:val="48"/>
        </w:rPr>
        <w:t xml:space="preserve">Community </w:t>
      </w:r>
      <w:r w:rsidR="00F712D5" w:rsidRPr="001A7622">
        <w:rPr>
          <w:rFonts w:ascii="Times New Roman" w:hAnsi="Times New Roman" w:cs="Times New Roman"/>
          <w:sz w:val="48"/>
          <w:szCs w:val="48"/>
        </w:rPr>
        <w:t>E</w:t>
      </w:r>
      <w:r w:rsidR="13ED293F" w:rsidRPr="001A7622">
        <w:rPr>
          <w:rFonts w:ascii="Times New Roman" w:hAnsi="Times New Roman" w:cs="Times New Roman"/>
          <w:sz w:val="48"/>
          <w:szCs w:val="48"/>
        </w:rPr>
        <w:t>ngagement</w:t>
      </w:r>
      <w:r w:rsidR="001A7622">
        <w:rPr>
          <w:rFonts w:ascii="Times New Roman" w:hAnsi="Times New Roman" w:cs="Times New Roman"/>
          <w:sz w:val="48"/>
          <w:szCs w:val="48"/>
        </w:rPr>
        <w:t xml:space="preserve"> 1</w:t>
      </w:r>
    </w:p>
    <w:p w14:paraId="38DE8160" w14:textId="21A36BD6" w:rsidR="006D21EC" w:rsidRDefault="006D21EC" w:rsidP="00DB786E">
      <w:pPr>
        <w:spacing w:line="360" w:lineRule="auto"/>
        <w:jc w:val="center"/>
        <w:rPr>
          <w:b/>
          <w:bCs/>
        </w:rPr>
      </w:pPr>
      <w:r w:rsidRPr="001A7622">
        <w:rPr>
          <w:rFonts w:ascii="Times New Roman" w:hAnsi="Times New Roman" w:cs="Times New Roman"/>
          <w:b/>
          <w:bCs/>
          <w:sz w:val="24"/>
          <w:szCs w:val="24"/>
        </w:rPr>
        <w:t xml:space="preserve">Student </w:t>
      </w:r>
      <w:r w:rsidR="001A7622" w:rsidRPr="001A7622">
        <w:rPr>
          <w:rFonts w:ascii="Times New Roman" w:hAnsi="Times New Roman" w:cs="Times New Roman"/>
          <w:b/>
          <w:bCs/>
          <w:sz w:val="24"/>
          <w:szCs w:val="24"/>
        </w:rPr>
        <w:t>N</w:t>
      </w:r>
      <w:r w:rsidRPr="001A7622">
        <w:rPr>
          <w:rFonts w:ascii="Times New Roman" w:hAnsi="Times New Roman" w:cs="Times New Roman"/>
          <w:b/>
          <w:bCs/>
          <w:sz w:val="24"/>
          <w:szCs w:val="24"/>
        </w:rPr>
        <w:t>umber:</w:t>
      </w:r>
      <w:r w:rsidR="001A7622" w:rsidRPr="001A7622">
        <w:rPr>
          <w:rFonts w:ascii="Times New Roman" w:hAnsi="Times New Roman" w:cs="Times New Roman"/>
          <w:b/>
          <w:bCs/>
          <w:sz w:val="24"/>
          <w:szCs w:val="24"/>
        </w:rPr>
        <w:t xml:space="preserve"> </w:t>
      </w:r>
      <w:hyperlink r:id="rId8" w:history="1">
        <w:r w:rsidR="001A7622" w:rsidRPr="001A7622">
          <w:rPr>
            <w:rStyle w:val="Hyperlink"/>
            <w:rFonts w:ascii="Segoe UI" w:hAnsi="Segoe UI" w:cs="Segoe UI"/>
            <w:b/>
            <w:bCs/>
            <w:color w:val="000A0F"/>
            <w:sz w:val="23"/>
            <w:szCs w:val="23"/>
          </w:rPr>
          <w:t>2129397</w:t>
        </w:r>
      </w:hyperlink>
    </w:p>
    <w:p w14:paraId="156CAB6A" w14:textId="23801C4E" w:rsidR="001A7622" w:rsidRPr="001A7622" w:rsidRDefault="001A7622" w:rsidP="00DB786E">
      <w:pPr>
        <w:spacing w:line="360" w:lineRule="auto"/>
        <w:jc w:val="center"/>
        <w:rPr>
          <w:rFonts w:ascii="Times New Roman" w:hAnsi="Times New Roman" w:cs="Times New Roman"/>
          <w:b/>
          <w:bCs/>
          <w:sz w:val="24"/>
          <w:szCs w:val="24"/>
        </w:rPr>
      </w:pPr>
      <w:r w:rsidRPr="001A7622">
        <w:rPr>
          <w:rFonts w:ascii="Times New Roman" w:hAnsi="Times New Roman" w:cs="Times New Roman"/>
          <w:b/>
          <w:bCs/>
          <w:sz w:val="24"/>
          <w:szCs w:val="24"/>
        </w:rPr>
        <w:t>Name:</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Alexandru</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Bara</w:t>
      </w:r>
      <w:r w:rsidR="0056435F">
        <w:rPr>
          <w:rFonts w:ascii="Times New Roman" w:hAnsi="Times New Roman" w:cs="Times New Roman"/>
          <w:b/>
          <w:bCs/>
          <w:sz w:val="24"/>
          <w:szCs w:val="24"/>
        </w:rPr>
        <w:t>ctaru</w:t>
      </w:r>
      <w:proofErr w:type="spellEnd"/>
    </w:p>
    <w:p w14:paraId="45DD5AB3" w14:textId="0F9FD56C" w:rsidR="001A7622" w:rsidRPr="001A7622" w:rsidRDefault="001A7622" w:rsidP="00DB786E">
      <w:pPr>
        <w:spacing w:line="360" w:lineRule="auto"/>
        <w:jc w:val="center"/>
        <w:rPr>
          <w:rFonts w:ascii="Times New Roman" w:hAnsi="Times New Roman" w:cs="Times New Roman"/>
          <w:b/>
          <w:bCs/>
          <w:sz w:val="24"/>
          <w:szCs w:val="24"/>
        </w:rPr>
      </w:pPr>
      <w:r w:rsidRPr="001A7622">
        <w:rPr>
          <w:rFonts w:ascii="Times New Roman" w:hAnsi="Times New Roman" w:cs="Times New Roman"/>
          <w:b/>
          <w:bCs/>
          <w:sz w:val="24"/>
          <w:szCs w:val="24"/>
        </w:rPr>
        <w:t>Submission:</w:t>
      </w:r>
      <w:r>
        <w:rPr>
          <w:rFonts w:ascii="Times New Roman" w:hAnsi="Times New Roman" w:cs="Times New Roman"/>
          <w:b/>
          <w:bCs/>
          <w:sz w:val="24"/>
          <w:szCs w:val="24"/>
        </w:rPr>
        <w:t xml:space="preserve"> 02.12.2022</w:t>
      </w:r>
    </w:p>
    <w:p w14:paraId="6A89B43C" w14:textId="66D9031B" w:rsidR="001A7622" w:rsidRDefault="001A7622" w:rsidP="00DB786E">
      <w:pPr>
        <w:spacing w:line="360" w:lineRule="auto"/>
        <w:jc w:val="center"/>
        <w:rPr>
          <w:rFonts w:ascii="Times New Roman" w:hAnsi="Times New Roman" w:cs="Times New Roman"/>
          <w:b/>
          <w:bCs/>
          <w:sz w:val="24"/>
          <w:szCs w:val="24"/>
        </w:rPr>
      </w:pPr>
      <w:r w:rsidRPr="001A7622">
        <w:rPr>
          <w:rFonts w:ascii="Times New Roman" w:hAnsi="Times New Roman" w:cs="Times New Roman"/>
          <w:b/>
          <w:bCs/>
          <w:sz w:val="24"/>
          <w:szCs w:val="24"/>
        </w:rPr>
        <w:t xml:space="preserve">Lecturer Name: </w:t>
      </w:r>
      <w:proofErr w:type="spellStart"/>
      <w:r w:rsidR="0056435F">
        <w:rPr>
          <w:rFonts w:ascii="Times New Roman" w:hAnsi="Times New Roman" w:cs="Times New Roman"/>
          <w:b/>
          <w:bCs/>
          <w:sz w:val="24"/>
          <w:szCs w:val="24"/>
        </w:rPr>
        <w:t>Akinseye</w:t>
      </w:r>
      <w:proofErr w:type="spellEnd"/>
      <w:r w:rsidR="0056435F">
        <w:rPr>
          <w:rFonts w:ascii="Times New Roman" w:hAnsi="Times New Roman" w:cs="Times New Roman"/>
          <w:b/>
          <w:bCs/>
          <w:sz w:val="24"/>
          <w:szCs w:val="24"/>
        </w:rPr>
        <w:t xml:space="preserve"> Aluko</w:t>
      </w:r>
    </w:p>
    <w:p w14:paraId="713BA8E5" w14:textId="1CF5ED75" w:rsidR="001A7622" w:rsidRPr="001A7622" w:rsidRDefault="001A7622" w:rsidP="00DB786E">
      <w:pPr>
        <w:spacing w:line="360" w:lineRule="auto"/>
        <w:jc w:val="center"/>
        <w:rPr>
          <w:rFonts w:ascii="Times New Roman" w:hAnsi="Times New Roman" w:cs="Times New Roman"/>
          <w:b/>
          <w:bCs/>
          <w:sz w:val="24"/>
          <w:szCs w:val="24"/>
        </w:rPr>
      </w:pPr>
    </w:p>
    <w:p w14:paraId="70DBBFD9" w14:textId="77777777" w:rsidR="001A7622" w:rsidRPr="001A7622" w:rsidRDefault="001A7622" w:rsidP="00DB786E">
      <w:pPr>
        <w:spacing w:line="360" w:lineRule="auto"/>
        <w:jc w:val="center"/>
        <w:rPr>
          <w:rFonts w:ascii="Times New Roman" w:hAnsi="Times New Roman" w:cs="Times New Roman"/>
          <w:b/>
          <w:bCs/>
          <w:sz w:val="24"/>
          <w:szCs w:val="24"/>
        </w:rPr>
      </w:pPr>
    </w:p>
    <w:p w14:paraId="29023D5F" w14:textId="77777777" w:rsidR="13ED293F" w:rsidRPr="00E34227" w:rsidRDefault="13ED293F" w:rsidP="00E34227">
      <w:pPr>
        <w:spacing w:after="0" w:line="360" w:lineRule="auto"/>
        <w:contextualSpacing/>
        <w:rPr>
          <w:rFonts w:ascii="Times New Roman" w:hAnsi="Times New Roman" w:cs="Times New Roman"/>
          <w:sz w:val="24"/>
          <w:szCs w:val="24"/>
        </w:rPr>
      </w:pPr>
      <w:r w:rsidRPr="00E34227">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868528535"/>
        <w:docPartObj>
          <w:docPartGallery w:val="Table of Contents"/>
          <w:docPartUnique/>
        </w:docPartObj>
      </w:sdtPr>
      <w:sdtEndPr>
        <w:rPr>
          <w:noProof/>
        </w:rPr>
      </w:sdtEndPr>
      <w:sdtContent>
        <w:p w14:paraId="3E94F86A" w14:textId="6ADAC755" w:rsidR="00325C48" w:rsidRPr="00325C48" w:rsidRDefault="00325C48">
          <w:pPr>
            <w:pStyle w:val="TOCHeading"/>
            <w:rPr>
              <w:rFonts w:ascii="Times New Roman" w:hAnsi="Times New Roman" w:cs="Times New Roman"/>
              <w:b/>
              <w:bCs/>
              <w:color w:val="auto"/>
              <w:sz w:val="24"/>
              <w:szCs w:val="24"/>
            </w:rPr>
          </w:pPr>
          <w:r w:rsidRPr="00325C48">
            <w:rPr>
              <w:rFonts w:ascii="Times New Roman" w:hAnsi="Times New Roman" w:cs="Times New Roman"/>
              <w:b/>
              <w:bCs/>
              <w:color w:val="auto"/>
              <w:sz w:val="24"/>
              <w:szCs w:val="24"/>
            </w:rPr>
            <w:t>Table of Contents</w:t>
          </w:r>
        </w:p>
        <w:p w14:paraId="4D309A0B" w14:textId="295F6145" w:rsidR="00325C48" w:rsidRPr="00325C48" w:rsidRDefault="00325C48">
          <w:pPr>
            <w:pStyle w:val="TOC1"/>
            <w:tabs>
              <w:tab w:val="right" w:leader="dot" w:pos="9350"/>
            </w:tabs>
            <w:rPr>
              <w:rFonts w:ascii="Times New Roman" w:hAnsi="Times New Roman" w:cs="Times New Roman"/>
              <w:noProof/>
              <w:sz w:val="24"/>
              <w:szCs w:val="24"/>
            </w:rPr>
          </w:pPr>
          <w:r w:rsidRPr="00325C48">
            <w:rPr>
              <w:rFonts w:ascii="Times New Roman" w:hAnsi="Times New Roman" w:cs="Times New Roman"/>
              <w:sz w:val="24"/>
              <w:szCs w:val="24"/>
            </w:rPr>
            <w:fldChar w:fldCharType="begin"/>
          </w:r>
          <w:r w:rsidRPr="00325C48">
            <w:rPr>
              <w:rFonts w:ascii="Times New Roman" w:hAnsi="Times New Roman" w:cs="Times New Roman"/>
              <w:sz w:val="24"/>
              <w:szCs w:val="24"/>
            </w:rPr>
            <w:instrText xml:space="preserve"> TOC \o "1-3" \h \z \u </w:instrText>
          </w:r>
          <w:r w:rsidRPr="00325C48">
            <w:rPr>
              <w:rFonts w:ascii="Times New Roman" w:hAnsi="Times New Roman" w:cs="Times New Roman"/>
              <w:sz w:val="24"/>
              <w:szCs w:val="24"/>
            </w:rPr>
            <w:fldChar w:fldCharType="separate"/>
          </w:r>
          <w:hyperlink w:anchor="_Toc120897629" w:history="1">
            <w:r w:rsidRPr="00325C48">
              <w:rPr>
                <w:rStyle w:val="Hyperlink"/>
                <w:rFonts w:ascii="Times New Roman" w:eastAsia="Times New Roman" w:hAnsi="Times New Roman" w:cs="Times New Roman"/>
                <w:noProof/>
                <w:sz w:val="24"/>
                <w:szCs w:val="24"/>
              </w:rPr>
              <w:t>Introduction</w:t>
            </w:r>
            <w:r w:rsidRPr="00325C48">
              <w:rPr>
                <w:rFonts w:ascii="Times New Roman" w:hAnsi="Times New Roman" w:cs="Times New Roman"/>
                <w:noProof/>
                <w:webHidden/>
                <w:sz w:val="24"/>
                <w:szCs w:val="24"/>
              </w:rPr>
              <w:tab/>
            </w:r>
            <w:r w:rsidRPr="00325C48">
              <w:rPr>
                <w:rFonts w:ascii="Times New Roman" w:hAnsi="Times New Roman" w:cs="Times New Roman"/>
                <w:noProof/>
                <w:webHidden/>
                <w:sz w:val="24"/>
                <w:szCs w:val="24"/>
              </w:rPr>
              <w:fldChar w:fldCharType="begin"/>
            </w:r>
            <w:r w:rsidRPr="00325C48">
              <w:rPr>
                <w:rFonts w:ascii="Times New Roman" w:hAnsi="Times New Roman" w:cs="Times New Roman"/>
                <w:noProof/>
                <w:webHidden/>
                <w:sz w:val="24"/>
                <w:szCs w:val="24"/>
              </w:rPr>
              <w:instrText xml:space="preserve"> PAGEREF _Toc120897629 \h </w:instrText>
            </w:r>
            <w:r w:rsidRPr="00325C48">
              <w:rPr>
                <w:rFonts w:ascii="Times New Roman" w:hAnsi="Times New Roman" w:cs="Times New Roman"/>
                <w:noProof/>
                <w:webHidden/>
                <w:sz w:val="24"/>
                <w:szCs w:val="24"/>
              </w:rPr>
            </w:r>
            <w:r w:rsidRPr="00325C48">
              <w:rPr>
                <w:rFonts w:ascii="Times New Roman" w:hAnsi="Times New Roman" w:cs="Times New Roman"/>
                <w:noProof/>
                <w:webHidden/>
                <w:sz w:val="24"/>
                <w:szCs w:val="24"/>
              </w:rPr>
              <w:fldChar w:fldCharType="separate"/>
            </w:r>
            <w:r w:rsidR="0056435F">
              <w:rPr>
                <w:rFonts w:ascii="Times New Roman" w:hAnsi="Times New Roman" w:cs="Times New Roman"/>
                <w:noProof/>
                <w:webHidden/>
                <w:sz w:val="24"/>
                <w:szCs w:val="24"/>
              </w:rPr>
              <w:t>3</w:t>
            </w:r>
            <w:r w:rsidRPr="00325C48">
              <w:rPr>
                <w:rFonts w:ascii="Times New Roman" w:hAnsi="Times New Roman" w:cs="Times New Roman"/>
                <w:noProof/>
                <w:webHidden/>
                <w:sz w:val="24"/>
                <w:szCs w:val="24"/>
              </w:rPr>
              <w:fldChar w:fldCharType="end"/>
            </w:r>
          </w:hyperlink>
        </w:p>
        <w:p w14:paraId="5C926E89" w14:textId="244B67DC" w:rsidR="00325C48" w:rsidRPr="00325C48" w:rsidRDefault="00000000">
          <w:pPr>
            <w:pStyle w:val="TOC1"/>
            <w:tabs>
              <w:tab w:val="right" w:leader="dot" w:pos="9350"/>
            </w:tabs>
            <w:rPr>
              <w:rFonts w:ascii="Times New Roman" w:hAnsi="Times New Roman" w:cs="Times New Roman"/>
              <w:noProof/>
              <w:sz w:val="24"/>
              <w:szCs w:val="24"/>
            </w:rPr>
          </w:pPr>
          <w:hyperlink w:anchor="_Toc120897630" w:history="1">
            <w:r w:rsidR="00325C48" w:rsidRPr="00325C48">
              <w:rPr>
                <w:rStyle w:val="Hyperlink"/>
                <w:rFonts w:ascii="Times New Roman" w:hAnsi="Times New Roman" w:cs="Times New Roman"/>
                <w:noProof/>
                <w:sz w:val="24"/>
                <w:szCs w:val="24"/>
              </w:rPr>
              <w:t>Background of the project</w:t>
            </w:r>
            <w:r w:rsidR="00325C48" w:rsidRPr="00325C48">
              <w:rPr>
                <w:rFonts w:ascii="Times New Roman" w:hAnsi="Times New Roman" w:cs="Times New Roman"/>
                <w:noProof/>
                <w:webHidden/>
                <w:sz w:val="24"/>
                <w:szCs w:val="24"/>
              </w:rPr>
              <w:tab/>
            </w:r>
            <w:r w:rsidR="00325C48" w:rsidRPr="00325C48">
              <w:rPr>
                <w:rFonts w:ascii="Times New Roman" w:hAnsi="Times New Roman" w:cs="Times New Roman"/>
                <w:noProof/>
                <w:webHidden/>
                <w:sz w:val="24"/>
                <w:szCs w:val="24"/>
              </w:rPr>
              <w:fldChar w:fldCharType="begin"/>
            </w:r>
            <w:r w:rsidR="00325C48" w:rsidRPr="00325C48">
              <w:rPr>
                <w:rFonts w:ascii="Times New Roman" w:hAnsi="Times New Roman" w:cs="Times New Roman"/>
                <w:noProof/>
                <w:webHidden/>
                <w:sz w:val="24"/>
                <w:szCs w:val="24"/>
              </w:rPr>
              <w:instrText xml:space="preserve"> PAGEREF _Toc120897630 \h </w:instrText>
            </w:r>
            <w:r w:rsidR="00325C48" w:rsidRPr="00325C48">
              <w:rPr>
                <w:rFonts w:ascii="Times New Roman" w:hAnsi="Times New Roman" w:cs="Times New Roman"/>
                <w:noProof/>
                <w:webHidden/>
                <w:sz w:val="24"/>
                <w:szCs w:val="24"/>
              </w:rPr>
            </w:r>
            <w:r w:rsidR="00325C48" w:rsidRPr="00325C48">
              <w:rPr>
                <w:rFonts w:ascii="Times New Roman" w:hAnsi="Times New Roman" w:cs="Times New Roman"/>
                <w:noProof/>
                <w:webHidden/>
                <w:sz w:val="24"/>
                <w:szCs w:val="24"/>
              </w:rPr>
              <w:fldChar w:fldCharType="separate"/>
            </w:r>
            <w:r w:rsidR="0056435F">
              <w:rPr>
                <w:rFonts w:ascii="Times New Roman" w:hAnsi="Times New Roman" w:cs="Times New Roman"/>
                <w:noProof/>
                <w:webHidden/>
                <w:sz w:val="24"/>
                <w:szCs w:val="24"/>
              </w:rPr>
              <w:t>3</w:t>
            </w:r>
            <w:r w:rsidR="00325C48" w:rsidRPr="00325C48">
              <w:rPr>
                <w:rFonts w:ascii="Times New Roman" w:hAnsi="Times New Roman" w:cs="Times New Roman"/>
                <w:noProof/>
                <w:webHidden/>
                <w:sz w:val="24"/>
                <w:szCs w:val="24"/>
              </w:rPr>
              <w:fldChar w:fldCharType="end"/>
            </w:r>
          </w:hyperlink>
        </w:p>
        <w:p w14:paraId="78A7761A" w14:textId="46C9C7EA" w:rsidR="00325C48" w:rsidRPr="00325C48" w:rsidRDefault="00000000">
          <w:pPr>
            <w:pStyle w:val="TOC1"/>
            <w:tabs>
              <w:tab w:val="right" w:leader="dot" w:pos="9350"/>
            </w:tabs>
            <w:rPr>
              <w:rFonts w:ascii="Times New Roman" w:hAnsi="Times New Roman" w:cs="Times New Roman"/>
              <w:noProof/>
              <w:sz w:val="24"/>
              <w:szCs w:val="24"/>
            </w:rPr>
          </w:pPr>
          <w:hyperlink w:anchor="_Toc120897631" w:history="1">
            <w:r w:rsidR="00325C48" w:rsidRPr="00325C48">
              <w:rPr>
                <w:rStyle w:val="Hyperlink"/>
                <w:rFonts w:ascii="Times New Roman" w:hAnsi="Times New Roman" w:cs="Times New Roman"/>
                <w:noProof/>
                <w:sz w:val="24"/>
                <w:szCs w:val="24"/>
              </w:rPr>
              <w:t>Guiding principles</w:t>
            </w:r>
            <w:r w:rsidR="00325C48" w:rsidRPr="00325C48">
              <w:rPr>
                <w:rFonts w:ascii="Times New Roman" w:hAnsi="Times New Roman" w:cs="Times New Roman"/>
                <w:noProof/>
                <w:webHidden/>
                <w:sz w:val="24"/>
                <w:szCs w:val="24"/>
              </w:rPr>
              <w:tab/>
            </w:r>
            <w:r w:rsidR="00325C48" w:rsidRPr="00325C48">
              <w:rPr>
                <w:rFonts w:ascii="Times New Roman" w:hAnsi="Times New Roman" w:cs="Times New Roman"/>
                <w:noProof/>
                <w:webHidden/>
                <w:sz w:val="24"/>
                <w:szCs w:val="24"/>
              </w:rPr>
              <w:fldChar w:fldCharType="begin"/>
            </w:r>
            <w:r w:rsidR="00325C48" w:rsidRPr="00325C48">
              <w:rPr>
                <w:rFonts w:ascii="Times New Roman" w:hAnsi="Times New Roman" w:cs="Times New Roman"/>
                <w:noProof/>
                <w:webHidden/>
                <w:sz w:val="24"/>
                <w:szCs w:val="24"/>
              </w:rPr>
              <w:instrText xml:space="preserve"> PAGEREF _Toc120897631 \h </w:instrText>
            </w:r>
            <w:r w:rsidR="00325C48" w:rsidRPr="00325C48">
              <w:rPr>
                <w:rFonts w:ascii="Times New Roman" w:hAnsi="Times New Roman" w:cs="Times New Roman"/>
                <w:noProof/>
                <w:webHidden/>
                <w:sz w:val="24"/>
                <w:szCs w:val="24"/>
              </w:rPr>
            </w:r>
            <w:r w:rsidR="00325C48" w:rsidRPr="00325C48">
              <w:rPr>
                <w:rFonts w:ascii="Times New Roman" w:hAnsi="Times New Roman" w:cs="Times New Roman"/>
                <w:noProof/>
                <w:webHidden/>
                <w:sz w:val="24"/>
                <w:szCs w:val="24"/>
              </w:rPr>
              <w:fldChar w:fldCharType="separate"/>
            </w:r>
            <w:r w:rsidR="0056435F">
              <w:rPr>
                <w:rFonts w:ascii="Times New Roman" w:hAnsi="Times New Roman" w:cs="Times New Roman"/>
                <w:noProof/>
                <w:webHidden/>
                <w:sz w:val="24"/>
                <w:szCs w:val="24"/>
              </w:rPr>
              <w:t>3</w:t>
            </w:r>
            <w:r w:rsidR="00325C48" w:rsidRPr="00325C48">
              <w:rPr>
                <w:rFonts w:ascii="Times New Roman" w:hAnsi="Times New Roman" w:cs="Times New Roman"/>
                <w:noProof/>
                <w:webHidden/>
                <w:sz w:val="24"/>
                <w:szCs w:val="24"/>
              </w:rPr>
              <w:fldChar w:fldCharType="end"/>
            </w:r>
          </w:hyperlink>
        </w:p>
        <w:p w14:paraId="4B6AB8B5" w14:textId="1DCC15F4" w:rsidR="00325C48" w:rsidRPr="00325C48" w:rsidRDefault="00000000">
          <w:pPr>
            <w:pStyle w:val="TOC1"/>
            <w:tabs>
              <w:tab w:val="right" w:leader="dot" w:pos="9350"/>
            </w:tabs>
            <w:rPr>
              <w:rFonts w:ascii="Times New Roman" w:hAnsi="Times New Roman" w:cs="Times New Roman"/>
              <w:noProof/>
              <w:sz w:val="24"/>
              <w:szCs w:val="24"/>
            </w:rPr>
          </w:pPr>
          <w:hyperlink w:anchor="_Toc120897632" w:history="1">
            <w:r w:rsidR="00325C48" w:rsidRPr="00325C48">
              <w:rPr>
                <w:rStyle w:val="Hyperlink"/>
                <w:rFonts w:ascii="Times New Roman" w:eastAsia="Times New Roman" w:hAnsi="Times New Roman" w:cs="Times New Roman"/>
                <w:noProof/>
                <w:sz w:val="24"/>
                <w:szCs w:val="24"/>
              </w:rPr>
              <w:t xml:space="preserve">Stake holder’s participation, their relationship with strategies and </w:t>
            </w:r>
            <w:r w:rsidR="00325C48" w:rsidRPr="00325C48">
              <w:rPr>
                <w:rStyle w:val="Hyperlink"/>
                <w:rFonts w:ascii="Times New Roman" w:hAnsi="Times New Roman" w:cs="Times New Roman"/>
                <w:noProof/>
                <w:sz w:val="24"/>
                <w:szCs w:val="24"/>
              </w:rPr>
              <w:t>relevant avenues</w:t>
            </w:r>
            <w:r w:rsidR="00325C48" w:rsidRPr="00325C48">
              <w:rPr>
                <w:rFonts w:ascii="Times New Roman" w:hAnsi="Times New Roman" w:cs="Times New Roman"/>
                <w:noProof/>
                <w:webHidden/>
                <w:sz w:val="24"/>
                <w:szCs w:val="24"/>
              </w:rPr>
              <w:tab/>
            </w:r>
            <w:r w:rsidR="00325C48" w:rsidRPr="00325C48">
              <w:rPr>
                <w:rFonts w:ascii="Times New Roman" w:hAnsi="Times New Roman" w:cs="Times New Roman"/>
                <w:noProof/>
                <w:webHidden/>
                <w:sz w:val="24"/>
                <w:szCs w:val="24"/>
              </w:rPr>
              <w:fldChar w:fldCharType="begin"/>
            </w:r>
            <w:r w:rsidR="00325C48" w:rsidRPr="00325C48">
              <w:rPr>
                <w:rFonts w:ascii="Times New Roman" w:hAnsi="Times New Roman" w:cs="Times New Roman"/>
                <w:noProof/>
                <w:webHidden/>
                <w:sz w:val="24"/>
                <w:szCs w:val="24"/>
              </w:rPr>
              <w:instrText xml:space="preserve"> PAGEREF _Toc120897632 \h </w:instrText>
            </w:r>
            <w:r w:rsidR="00325C48" w:rsidRPr="00325C48">
              <w:rPr>
                <w:rFonts w:ascii="Times New Roman" w:hAnsi="Times New Roman" w:cs="Times New Roman"/>
                <w:noProof/>
                <w:webHidden/>
                <w:sz w:val="24"/>
                <w:szCs w:val="24"/>
              </w:rPr>
            </w:r>
            <w:r w:rsidR="00325C48" w:rsidRPr="00325C48">
              <w:rPr>
                <w:rFonts w:ascii="Times New Roman" w:hAnsi="Times New Roman" w:cs="Times New Roman"/>
                <w:noProof/>
                <w:webHidden/>
                <w:sz w:val="24"/>
                <w:szCs w:val="24"/>
              </w:rPr>
              <w:fldChar w:fldCharType="separate"/>
            </w:r>
            <w:r w:rsidR="0056435F">
              <w:rPr>
                <w:rFonts w:ascii="Times New Roman" w:hAnsi="Times New Roman" w:cs="Times New Roman"/>
                <w:noProof/>
                <w:webHidden/>
                <w:sz w:val="24"/>
                <w:szCs w:val="24"/>
              </w:rPr>
              <w:t>6</w:t>
            </w:r>
            <w:r w:rsidR="00325C48" w:rsidRPr="00325C48">
              <w:rPr>
                <w:rFonts w:ascii="Times New Roman" w:hAnsi="Times New Roman" w:cs="Times New Roman"/>
                <w:noProof/>
                <w:webHidden/>
                <w:sz w:val="24"/>
                <w:szCs w:val="24"/>
              </w:rPr>
              <w:fldChar w:fldCharType="end"/>
            </w:r>
          </w:hyperlink>
        </w:p>
        <w:p w14:paraId="583CDBEF" w14:textId="0BD19346" w:rsidR="00325C48" w:rsidRPr="00325C48" w:rsidRDefault="00000000">
          <w:pPr>
            <w:pStyle w:val="TOC1"/>
            <w:tabs>
              <w:tab w:val="right" w:leader="dot" w:pos="9350"/>
            </w:tabs>
            <w:rPr>
              <w:rFonts w:ascii="Times New Roman" w:hAnsi="Times New Roman" w:cs="Times New Roman"/>
              <w:noProof/>
              <w:sz w:val="24"/>
              <w:szCs w:val="24"/>
            </w:rPr>
          </w:pPr>
          <w:hyperlink w:anchor="_Toc120897633" w:history="1">
            <w:r w:rsidR="00325C48" w:rsidRPr="00325C48">
              <w:rPr>
                <w:rStyle w:val="Hyperlink"/>
                <w:rFonts w:ascii="Times New Roman" w:hAnsi="Times New Roman" w:cs="Times New Roman"/>
                <w:noProof/>
                <w:sz w:val="24"/>
                <w:szCs w:val="24"/>
              </w:rPr>
              <w:t>Importance of forward-looking approach in in educating community members</w:t>
            </w:r>
            <w:r w:rsidR="00325C48" w:rsidRPr="00325C48">
              <w:rPr>
                <w:rFonts w:ascii="Times New Roman" w:hAnsi="Times New Roman" w:cs="Times New Roman"/>
                <w:noProof/>
                <w:webHidden/>
                <w:sz w:val="24"/>
                <w:szCs w:val="24"/>
              </w:rPr>
              <w:tab/>
            </w:r>
            <w:r w:rsidR="00325C48" w:rsidRPr="00325C48">
              <w:rPr>
                <w:rFonts w:ascii="Times New Roman" w:hAnsi="Times New Roman" w:cs="Times New Roman"/>
                <w:noProof/>
                <w:webHidden/>
                <w:sz w:val="24"/>
                <w:szCs w:val="24"/>
              </w:rPr>
              <w:fldChar w:fldCharType="begin"/>
            </w:r>
            <w:r w:rsidR="00325C48" w:rsidRPr="00325C48">
              <w:rPr>
                <w:rFonts w:ascii="Times New Roman" w:hAnsi="Times New Roman" w:cs="Times New Roman"/>
                <w:noProof/>
                <w:webHidden/>
                <w:sz w:val="24"/>
                <w:szCs w:val="24"/>
              </w:rPr>
              <w:instrText xml:space="preserve"> PAGEREF _Toc120897633 \h </w:instrText>
            </w:r>
            <w:r w:rsidR="00325C48" w:rsidRPr="00325C48">
              <w:rPr>
                <w:rFonts w:ascii="Times New Roman" w:hAnsi="Times New Roman" w:cs="Times New Roman"/>
                <w:noProof/>
                <w:webHidden/>
                <w:sz w:val="24"/>
                <w:szCs w:val="24"/>
              </w:rPr>
            </w:r>
            <w:r w:rsidR="00325C48" w:rsidRPr="00325C48">
              <w:rPr>
                <w:rFonts w:ascii="Times New Roman" w:hAnsi="Times New Roman" w:cs="Times New Roman"/>
                <w:noProof/>
                <w:webHidden/>
                <w:sz w:val="24"/>
                <w:szCs w:val="24"/>
              </w:rPr>
              <w:fldChar w:fldCharType="separate"/>
            </w:r>
            <w:r w:rsidR="0056435F">
              <w:rPr>
                <w:rFonts w:ascii="Times New Roman" w:hAnsi="Times New Roman" w:cs="Times New Roman"/>
                <w:noProof/>
                <w:webHidden/>
                <w:sz w:val="24"/>
                <w:szCs w:val="24"/>
              </w:rPr>
              <w:t>6</w:t>
            </w:r>
            <w:r w:rsidR="00325C48" w:rsidRPr="00325C48">
              <w:rPr>
                <w:rFonts w:ascii="Times New Roman" w:hAnsi="Times New Roman" w:cs="Times New Roman"/>
                <w:noProof/>
                <w:webHidden/>
                <w:sz w:val="24"/>
                <w:szCs w:val="24"/>
              </w:rPr>
              <w:fldChar w:fldCharType="end"/>
            </w:r>
          </w:hyperlink>
        </w:p>
        <w:p w14:paraId="31CE340B" w14:textId="14DD4DC8" w:rsidR="00325C48" w:rsidRPr="00325C48" w:rsidRDefault="00000000">
          <w:pPr>
            <w:pStyle w:val="TOC1"/>
            <w:tabs>
              <w:tab w:val="right" w:leader="dot" w:pos="9350"/>
            </w:tabs>
            <w:rPr>
              <w:rFonts w:ascii="Times New Roman" w:hAnsi="Times New Roman" w:cs="Times New Roman"/>
              <w:noProof/>
              <w:sz w:val="24"/>
              <w:szCs w:val="24"/>
            </w:rPr>
          </w:pPr>
          <w:hyperlink w:anchor="_Toc120897634" w:history="1">
            <w:r w:rsidR="00325C48" w:rsidRPr="00325C48">
              <w:rPr>
                <w:rStyle w:val="Hyperlink"/>
                <w:rFonts w:ascii="Times New Roman" w:eastAsia="Times New Roman" w:hAnsi="Times New Roman" w:cs="Times New Roman"/>
                <w:noProof/>
                <w:sz w:val="24"/>
                <w:szCs w:val="24"/>
              </w:rPr>
              <w:t>Conclusion</w:t>
            </w:r>
            <w:r w:rsidR="00325C48" w:rsidRPr="00325C48">
              <w:rPr>
                <w:rFonts w:ascii="Times New Roman" w:hAnsi="Times New Roman" w:cs="Times New Roman"/>
                <w:noProof/>
                <w:webHidden/>
                <w:sz w:val="24"/>
                <w:szCs w:val="24"/>
              </w:rPr>
              <w:tab/>
            </w:r>
            <w:r w:rsidR="00325C48" w:rsidRPr="00325C48">
              <w:rPr>
                <w:rFonts w:ascii="Times New Roman" w:hAnsi="Times New Roman" w:cs="Times New Roman"/>
                <w:noProof/>
                <w:webHidden/>
                <w:sz w:val="24"/>
                <w:szCs w:val="24"/>
              </w:rPr>
              <w:fldChar w:fldCharType="begin"/>
            </w:r>
            <w:r w:rsidR="00325C48" w:rsidRPr="00325C48">
              <w:rPr>
                <w:rFonts w:ascii="Times New Roman" w:hAnsi="Times New Roman" w:cs="Times New Roman"/>
                <w:noProof/>
                <w:webHidden/>
                <w:sz w:val="24"/>
                <w:szCs w:val="24"/>
              </w:rPr>
              <w:instrText xml:space="preserve"> PAGEREF _Toc120897634 \h </w:instrText>
            </w:r>
            <w:r w:rsidR="00325C48" w:rsidRPr="00325C48">
              <w:rPr>
                <w:rFonts w:ascii="Times New Roman" w:hAnsi="Times New Roman" w:cs="Times New Roman"/>
                <w:noProof/>
                <w:webHidden/>
                <w:sz w:val="24"/>
                <w:szCs w:val="24"/>
              </w:rPr>
            </w:r>
            <w:r w:rsidR="00325C48" w:rsidRPr="00325C48">
              <w:rPr>
                <w:rFonts w:ascii="Times New Roman" w:hAnsi="Times New Roman" w:cs="Times New Roman"/>
                <w:noProof/>
                <w:webHidden/>
                <w:sz w:val="24"/>
                <w:szCs w:val="24"/>
              </w:rPr>
              <w:fldChar w:fldCharType="separate"/>
            </w:r>
            <w:r w:rsidR="0056435F">
              <w:rPr>
                <w:rFonts w:ascii="Times New Roman" w:hAnsi="Times New Roman" w:cs="Times New Roman"/>
                <w:noProof/>
                <w:webHidden/>
                <w:sz w:val="24"/>
                <w:szCs w:val="24"/>
              </w:rPr>
              <w:t>7</w:t>
            </w:r>
            <w:r w:rsidR="00325C48" w:rsidRPr="00325C48">
              <w:rPr>
                <w:rFonts w:ascii="Times New Roman" w:hAnsi="Times New Roman" w:cs="Times New Roman"/>
                <w:noProof/>
                <w:webHidden/>
                <w:sz w:val="24"/>
                <w:szCs w:val="24"/>
              </w:rPr>
              <w:fldChar w:fldCharType="end"/>
            </w:r>
          </w:hyperlink>
        </w:p>
        <w:p w14:paraId="4EAF6A21" w14:textId="0461C14A" w:rsidR="00325C48" w:rsidRPr="00325C48" w:rsidRDefault="00000000">
          <w:pPr>
            <w:pStyle w:val="TOC1"/>
            <w:tabs>
              <w:tab w:val="right" w:leader="dot" w:pos="9350"/>
            </w:tabs>
            <w:rPr>
              <w:rFonts w:ascii="Times New Roman" w:hAnsi="Times New Roman" w:cs="Times New Roman"/>
              <w:noProof/>
              <w:sz w:val="24"/>
              <w:szCs w:val="24"/>
            </w:rPr>
          </w:pPr>
          <w:hyperlink w:anchor="_Toc120897635" w:history="1">
            <w:r w:rsidR="00325C48" w:rsidRPr="00325C48">
              <w:rPr>
                <w:rStyle w:val="Hyperlink"/>
                <w:rFonts w:ascii="Times New Roman" w:hAnsi="Times New Roman" w:cs="Times New Roman"/>
                <w:noProof/>
                <w:sz w:val="24"/>
                <w:szCs w:val="24"/>
              </w:rPr>
              <w:t>References</w:t>
            </w:r>
            <w:r w:rsidR="00325C48" w:rsidRPr="00325C48">
              <w:rPr>
                <w:rFonts w:ascii="Times New Roman" w:hAnsi="Times New Roman" w:cs="Times New Roman"/>
                <w:noProof/>
                <w:webHidden/>
                <w:sz w:val="24"/>
                <w:szCs w:val="24"/>
              </w:rPr>
              <w:tab/>
            </w:r>
            <w:r w:rsidR="00325C48" w:rsidRPr="00325C48">
              <w:rPr>
                <w:rFonts w:ascii="Times New Roman" w:hAnsi="Times New Roman" w:cs="Times New Roman"/>
                <w:noProof/>
                <w:webHidden/>
                <w:sz w:val="24"/>
                <w:szCs w:val="24"/>
              </w:rPr>
              <w:fldChar w:fldCharType="begin"/>
            </w:r>
            <w:r w:rsidR="00325C48" w:rsidRPr="00325C48">
              <w:rPr>
                <w:rFonts w:ascii="Times New Roman" w:hAnsi="Times New Roman" w:cs="Times New Roman"/>
                <w:noProof/>
                <w:webHidden/>
                <w:sz w:val="24"/>
                <w:szCs w:val="24"/>
              </w:rPr>
              <w:instrText xml:space="preserve"> PAGEREF _Toc120897635 \h </w:instrText>
            </w:r>
            <w:r w:rsidR="00325C48" w:rsidRPr="00325C48">
              <w:rPr>
                <w:rFonts w:ascii="Times New Roman" w:hAnsi="Times New Roman" w:cs="Times New Roman"/>
                <w:noProof/>
                <w:webHidden/>
                <w:sz w:val="24"/>
                <w:szCs w:val="24"/>
              </w:rPr>
            </w:r>
            <w:r w:rsidR="00325C48" w:rsidRPr="00325C48">
              <w:rPr>
                <w:rFonts w:ascii="Times New Roman" w:hAnsi="Times New Roman" w:cs="Times New Roman"/>
                <w:noProof/>
                <w:webHidden/>
                <w:sz w:val="24"/>
                <w:szCs w:val="24"/>
              </w:rPr>
              <w:fldChar w:fldCharType="separate"/>
            </w:r>
            <w:r w:rsidR="0056435F">
              <w:rPr>
                <w:rFonts w:ascii="Times New Roman" w:hAnsi="Times New Roman" w:cs="Times New Roman"/>
                <w:noProof/>
                <w:webHidden/>
                <w:sz w:val="24"/>
                <w:szCs w:val="24"/>
              </w:rPr>
              <w:t>9</w:t>
            </w:r>
            <w:r w:rsidR="00325C48" w:rsidRPr="00325C48">
              <w:rPr>
                <w:rFonts w:ascii="Times New Roman" w:hAnsi="Times New Roman" w:cs="Times New Roman"/>
                <w:noProof/>
                <w:webHidden/>
                <w:sz w:val="24"/>
                <w:szCs w:val="24"/>
              </w:rPr>
              <w:fldChar w:fldCharType="end"/>
            </w:r>
          </w:hyperlink>
        </w:p>
        <w:p w14:paraId="740AE0B5" w14:textId="2213C0DE" w:rsidR="00325C48" w:rsidRDefault="00325C48">
          <w:r w:rsidRPr="00325C48">
            <w:rPr>
              <w:rFonts w:ascii="Times New Roman" w:hAnsi="Times New Roman" w:cs="Times New Roman"/>
              <w:noProof/>
              <w:sz w:val="24"/>
              <w:szCs w:val="24"/>
            </w:rPr>
            <w:fldChar w:fldCharType="end"/>
          </w:r>
        </w:p>
      </w:sdtContent>
    </w:sdt>
    <w:p w14:paraId="25EF56AA" w14:textId="77777777" w:rsidR="00325C48" w:rsidRDefault="00325C4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5F92B32" w14:textId="582F341E" w:rsidR="000B3058" w:rsidRPr="00E34227" w:rsidRDefault="000B3058" w:rsidP="00325C48">
      <w:pPr>
        <w:pStyle w:val="Heading1"/>
        <w:spacing w:before="0" w:line="240" w:lineRule="auto"/>
        <w:rPr>
          <w:rFonts w:ascii="Times New Roman" w:eastAsia="Times New Roman" w:hAnsi="Times New Roman" w:cs="Times New Roman"/>
          <w:b/>
          <w:color w:val="auto"/>
          <w:sz w:val="24"/>
          <w:szCs w:val="24"/>
        </w:rPr>
      </w:pPr>
      <w:bookmarkStart w:id="1" w:name="_Toc120897629"/>
      <w:r w:rsidRPr="00E34227">
        <w:rPr>
          <w:rFonts w:ascii="Times New Roman" w:eastAsia="Times New Roman" w:hAnsi="Times New Roman" w:cs="Times New Roman"/>
          <w:b/>
          <w:color w:val="auto"/>
          <w:sz w:val="24"/>
          <w:szCs w:val="24"/>
        </w:rPr>
        <w:t>Introduction</w:t>
      </w:r>
      <w:bookmarkEnd w:id="1"/>
      <w:r w:rsidRPr="00E34227">
        <w:rPr>
          <w:rFonts w:ascii="Times New Roman" w:eastAsia="Times New Roman" w:hAnsi="Times New Roman" w:cs="Times New Roman"/>
          <w:b/>
          <w:color w:val="auto"/>
          <w:sz w:val="24"/>
          <w:szCs w:val="24"/>
        </w:rPr>
        <w:t xml:space="preserve"> </w:t>
      </w:r>
    </w:p>
    <w:p w14:paraId="52FAF428" w14:textId="77777777" w:rsidR="13ED293F" w:rsidRPr="00E34227" w:rsidRDefault="13ED293F" w:rsidP="00E34227">
      <w:pPr>
        <w:spacing w:after="0" w:line="360" w:lineRule="auto"/>
        <w:contextualSpacing/>
        <w:rPr>
          <w:rFonts w:ascii="Times New Roman" w:hAnsi="Times New Roman" w:cs="Times New Roman"/>
          <w:sz w:val="24"/>
          <w:szCs w:val="24"/>
        </w:rPr>
      </w:pPr>
      <w:r w:rsidRPr="00E34227">
        <w:rPr>
          <w:rFonts w:ascii="Times New Roman" w:eastAsia="Times New Roman" w:hAnsi="Times New Roman" w:cs="Times New Roman"/>
          <w:sz w:val="24"/>
          <w:szCs w:val="24"/>
        </w:rPr>
        <w:t>Every member of the community should be involved in making decisions that will have an impact on the community, according to the idea of community involvement. It presents the possibility that civic engagement could influence decisions that affect the provision of services, long-term objectives, and community upkeep (</w:t>
      </w:r>
      <w:proofErr w:type="spellStart"/>
      <w:r w:rsidRPr="00E34227">
        <w:rPr>
          <w:rFonts w:ascii="Times New Roman" w:eastAsia="Calibri" w:hAnsi="Times New Roman" w:cs="Times New Roman"/>
          <w:sz w:val="24"/>
          <w:szCs w:val="24"/>
        </w:rPr>
        <w:t>Smilde</w:t>
      </w:r>
      <w:proofErr w:type="spellEnd"/>
      <w:r w:rsidRPr="00E34227">
        <w:rPr>
          <w:rFonts w:ascii="Times New Roman" w:eastAsia="Calibri" w:hAnsi="Times New Roman" w:cs="Times New Roman"/>
          <w:sz w:val="24"/>
          <w:szCs w:val="24"/>
        </w:rPr>
        <w:t>, 2018)</w:t>
      </w:r>
      <w:r w:rsidRPr="00E34227">
        <w:rPr>
          <w:rFonts w:ascii="Times New Roman" w:eastAsia="Times New Roman" w:hAnsi="Times New Roman" w:cs="Times New Roman"/>
          <w:sz w:val="24"/>
          <w:szCs w:val="24"/>
        </w:rPr>
        <w:t>. Despite the fact that there is no single, agreed-upon meaning of the term and that there are many different ways it is used, community engagement has its greatest relevance in shared decision-making. Plans for a sustainable society are developed and put into action by governments, businesses, and individuals for their local communities. These two organizations must work together and interact with the populace in order to create enduring relationships and offer practical solutions to challenging issues (</w:t>
      </w:r>
      <w:proofErr w:type="spellStart"/>
      <w:r w:rsidRPr="00E34227">
        <w:rPr>
          <w:rFonts w:ascii="Times New Roman" w:eastAsia="Calibri" w:hAnsi="Times New Roman" w:cs="Times New Roman"/>
          <w:sz w:val="24"/>
          <w:szCs w:val="24"/>
        </w:rPr>
        <w:t>Smilde</w:t>
      </w:r>
      <w:proofErr w:type="spellEnd"/>
      <w:r w:rsidRPr="00E34227">
        <w:rPr>
          <w:rFonts w:ascii="Times New Roman" w:eastAsia="Calibri" w:hAnsi="Times New Roman" w:cs="Times New Roman"/>
          <w:sz w:val="24"/>
          <w:szCs w:val="24"/>
        </w:rPr>
        <w:t>, 2018)</w:t>
      </w:r>
      <w:r w:rsidRPr="00E34227">
        <w:rPr>
          <w:rFonts w:ascii="Times New Roman" w:eastAsia="Times New Roman" w:hAnsi="Times New Roman" w:cs="Times New Roman"/>
          <w:sz w:val="24"/>
          <w:szCs w:val="24"/>
        </w:rPr>
        <w:t>. The notion of inclusivity should play a significant role in how government institutions connect with the diversity of their communities. By making these linkages stronger, this may be accomplished. Through intentional interactions between governmental organizations and the community, community engagement promotes the idea that citizens can and do influence how policies are developed. Recognizing the desires and requirements of every member helps to achieve this. Thus, a key objective of community involvement is to effectively involve the community in determining how public policy is to be implemented. Consequently, it is a viewpoint on how important it is for community members' experiences to impact interactions between political bodies and the public as well as a system that governs these interactions (</w:t>
      </w:r>
      <w:proofErr w:type="spellStart"/>
      <w:r w:rsidRPr="00E34227">
        <w:rPr>
          <w:rFonts w:ascii="Times New Roman" w:eastAsia="Calibri" w:hAnsi="Times New Roman" w:cs="Times New Roman"/>
          <w:sz w:val="24"/>
          <w:szCs w:val="24"/>
        </w:rPr>
        <w:t>Smilde</w:t>
      </w:r>
      <w:proofErr w:type="spellEnd"/>
      <w:r w:rsidRPr="00E34227">
        <w:rPr>
          <w:rFonts w:ascii="Times New Roman" w:eastAsia="Calibri" w:hAnsi="Times New Roman" w:cs="Times New Roman"/>
          <w:sz w:val="24"/>
          <w:szCs w:val="24"/>
        </w:rPr>
        <w:t>, 2018)</w:t>
      </w:r>
      <w:r w:rsidRPr="00E34227">
        <w:rPr>
          <w:rFonts w:ascii="Times New Roman" w:eastAsia="Times New Roman" w:hAnsi="Times New Roman" w:cs="Times New Roman"/>
          <w:sz w:val="24"/>
          <w:szCs w:val="24"/>
        </w:rPr>
        <w:t xml:space="preserve">. </w:t>
      </w:r>
      <w:bookmarkStart w:id="2" w:name="_Int_oyTnOzEk"/>
      <w:r w:rsidRPr="00E34227">
        <w:rPr>
          <w:rFonts w:ascii="Times New Roman" w:eastAsia="Times New Roman" w:hAnsi="Times New Roman" w:cs="Times New Roman"/>
          <w:sz w:val="24"/>
          <w:szCs w:val="24"/>
        </w:rPr>
        <w:t>Therefore,</w:t>
      </w:r>
      <w:bookmarkEnd w:id="2"/>
      <w:r w:rsidRPr="00E34227">
        <w:rPr>
          <w:rFonts w:ascii="Times New Roman" w:eastAsia="Times New Roman" w:hAnsi="Times New Roman" w:cs="Times New Roman"/>
          <w:sz w:val="24"/>
          <w:szCs w:val="24"/>
        </w:rPr>
        <w:t xml:space="preserve"> this </w:t>
      </w:r>
      <w:r w:rsidR="000B0AD5" w:rsidRPr="00E34227">
        <w:rPr>
          <w:rFonts w:ascii="Times New Roman" w:eastAsia="Times New Roman" w:hAnsi="Times New Roman" w:cs="Times New Roman"/>
          <w:sz w:val="24"/>
          <w:szCs w:val="24"/>
        </w:rPr>
        <w:t xml:space="preserve">report discuses </w:t>
      </w:r>
      <w:r w:rsidR="000B0AD5" w:rsidRPr="00E34227">
        <w:rPr>
          <w:rFonts w:ascii="Times New Roman" w:hAnsi="Times New Roman" w:cs="Times New Roman"/>
          <w:sz w:val="24"/>
          <w:szCs w:val="24"/>
        </w:rPr>
        <w:t xml:space="preserve">Community Engagement on the recent commonwealth games held in Birmingham. The report shall discus the guiding principles and how the stakeholders we engaged and communicated. </w:t>
      </w:r>
    </w:p>
    <w:p w14:paraId="007577F4" w14:textId="77777777" w:rsidR="00000B6F" w:rsidRPr="00E34227" w:rsidRDefault="00000B6F" w:rsidP="00325C48">
      <w:pPr>
        <w:pStyle w:val="Heading1"/>
        <w:spacing w:before="0" w:line="240" w:lineRule="auto"/>
        <w:rPr>
          <w:rFonts w:ascii="Times New Roman" w:hAnsi="Times New Roman" w:cs="Times New Roman"/>
          <w:b/>
          <w:color w:val="auto"/>
          <w:sz w:val="24"/>
          <w:szCs w:val="24"/>
        </w:rPr>
      </w:pPr>
      <w:bookmarkStart w:id="3" w:name="_Toc120897630"/>
      <w:r w:rsidRPr="00E34227">
        <w:rPr>
          <w:rFonts w:ascii="Times New Roman" w:hAnsi="Times New Roman" w:cs="Times New Roman"/>
          <w:b/>
          <w:color w:val="auto"/>
          <w:sz w:val="24"/>
          <w:szCs w:val="24"/>
        </w:rPr>
        <w:t>Background of the project</w:t>
      </w:r>
      <w:bookmarkEnd w:id="3"/>
      <w:r w:rsidRPr="00E34227">
        <w:rPr>
          <w:rFonts w:ascii="Times New Roman" w:hAnsi="Times New Roman" w:cs="Times New Roman"/>
          <w:b/>
          <w:color w:val="auto"/>
          <w:sz w:val="24"/>
          <w:szCs w:val="24"/>
        </w:rPr>
        <w:t xml:space="preserve"> </w:t>
      </w:r>
    </w:p>
    <w:p w14:paraId="358781D1" w14:textId="77777777" w:rsidR="0051089B" w:rsidRPr="00E34227" w:rsidRDefault="0051089B" w:rsidP="00E34227">
      <w:pPr>
        <w:spacing w:line="360" w:lineRule="auto"/>
        <w:contextualSpacing/>
        <w:rPr>
          <w:rFonts w:ascii="Times New Roman" w:hAnsi="Times New Roman" w:cs="Times New Roman"/>
          <w:sz w:val="24"/>
          <w:szCs w:val="24"/>
        </w:rPr>
      </w:pPr>
      <w:r w:rsidRPr="00E34227">
        <w:rPr>
          <w:rFonts w:ascii="Times New Roman" w:hAnsi="Times New Roman" w:cs="Times New Roman"/>
          <w:sz w:val="24"/>
          <w:szCs w:val="24"/>
        </w:rPr>
        <w:t xml:space="preserve">The community </w:t>
      </w:r>
      <w:r w:rsidR="007A5F96" w:rsidRPr="00E34227">
        <w:rPr>
          <w:rFonts w:ascii="Times New Roman" w:hAnsi="Times New Roman" w:cs="Times New Roman"/>
          <w:sz w:val="24"/>
          <w:szCs w:val="24"/>
        </w:rPr>
        <w:t>engagement</w:t>
      </w:r>
      <w:r w:rsidRPr="00E34227">
        <w:rPr>
          <w:rFonts w:ascii="Times New Roman" w:hAnsi="Times New Roman" w:cs="Times New Roman"/>
          <w:sz w:val="24"/>
          <w:szCs w:val="24"/>
        </w:rPr>
        <w:t xml:space="preserve"> is about the Birmingham 2022 Commonwealth Games. Following </w:t>
      </w:r>
      <w:r w:rsidR="007A5F96" w:rsidRPr="00E34227">
        <w:rPr>
          <w:rFonts w:ascii="Times New Roman" w:hAnsi="Times New Roman" w:cs="Times New Roman"/>
          <w:sz w:val="24"/>
          <w:szCs w:val="24"/>
        </w:rPr>
        <w:t xml:space="preserve">the </w:t>
      </w:r>
      <w:r w:rsidR="007A5F96" w:rsidRPr="00E34227">
        <w:rPr>
          <w:rFonts w:ascii="Times New Roman" w:hAnsi="Times New Roman" w:cs="Times New Roman"/>
          <w:sz w:val="24"/>
          <w:szCs w:val="24"/>
          <w:shd w:val="clear" w:color="auto" w:fill="F1F1F1"/>
        </w:rPr>
        <w:t>Windrush</w:t>
      </w:r>
      <w:r w:rsidRPr="00E34227">
        <w:rPr>
          <w:rFonts w:ascii="Times New Roman" w:hAnsi="Times New Roman" w:cs="Times New Roman"/>
          <w:sz w:val="24"/>
          <w:szCs w:val="24"/>
        </w:rPr>
        <w:t xml:space="preserve"> statue </w:t>
      </w:r>
      <w:r w:rsidR="007A5F96" w:rsidRPr="00E34227">
        <w:rPr>
          <w:rFonts w:ascii="Times New Roman" w:hAnsi="Times New Roman" w:cs="Times New Roman"/>
          <w:sz w:val="24"/>
          <w:szCs w:val="24"/>
        </w:rPr>
        <w:t>unveiling</w:t>
      </w:r>
      <w:r w:rsidRPr="00E34227">
        <w:rPr>
          <w:rFonts w:ascii="Times New Roman" w:hAnsi="Times New Roman" w:cs="Times New Roman"/>
          <w:sz w:val="24"/>
          <w:szCs w:val="24"/>
        </w:rPr>
        <w:t xml:space="preserve"> the </w:t>
      </w:r>
      <w:r w:rsidRPr="00E34227">
        <w:rPr>
          <w:rFonts w:ascii="Times New Roman" w:hAnsi="Times New Roman" w:cs="Times New Roman"/>
          <w:sz w:val="24"/>
          <w:szCs w:val="24"/>
          <w:shd w:val="clear" w:color="auto" w:fill="F1F1F1"/>
        </w:rPr>
        <w:t xml:space="preserve">B2022 Community Engagement Team </w:t>
      </w:r>
      <w:r w:rsidR="007A5F96" w:rsidRPr="00E34227">
        <w:rPr>
          <w:rFonts w:ascii="Times New Roman" w:hAnsi="Times New Roman" w:cs="Times New Roman"/>
          <w:sz w:val="24"/>
          <w:szCs w:val="24"/>
          <w:shd w:val="clear" w:color="auto" w:fill="F1F1F1"/>
        </w:rPr>
        <w:t>partnered</w:t>
      </w:r>
      <w:r w:rsidRPr="00E34227">
        <w:rPr>
          <w:rFonts w:ascii="Times New Roman" w:hAnsi="Times New Roman" w:cs="Times New Roman"/>
          <w:sz w:val="24"/>
          <w:szCs w:val="24"/>
          <w:shd w:val="clear" w:color="auto" w:fill="F1F1F1"/>
        </w:rPr>
        <w:t xml:space="preserve"> with community to host an event. The community was </w:t>
      </w:r>
      <w:r w:rsidR="007A5F96" w:rsidRPr="00E34227">
        <w:rPr>
          <w:rFonts w:ascii="Times New Roman" w:hAnsi="Times New Roman" w:cs="Times New Roman"/>
          <w:sz w:val="24"/>
          <w:szCs w:val="24"/>
          <w:shd w:val="clear" w:color="auto" w:fill="F1F1F1"/>
        </w:rPr>
        <w:t>invited</w:t>
      </w:r>
      <w:r w:rsidRPr="00E34227">
        <w:rPr>
          <w:rFonts w:ascii="Times New Roman" w:hAnsi="Times New Roman" w:cs="Times New Roman"/>
          <w:sz w:val="24"/>
          <w:szCs w:val="24"/>
          <w:shd w:val="clear" w:color="auto" w:fill="F1F1F1"/>
        </w:rPr>
        <w:t xml:space="preserve"> to perform in the event. The event was open and all th</w:t>
      </w:r>
      <w:r w:rsidR="007A5F96" w:rsidRPr="00E34227">
        <w:rPr>
          <w:rFonts w:ascii="Times New Roman" w:hAnsi="Times New Roman" w:cs="Times New Roman"/>
          <w:sz w:val="24"/>
          <w:szCs w:val="24"/>
          <w:shd w:val="clear" w:color="auto" w:fill="F1F1F1"/>
        </w:rPr>
        <w:t>e communities were invited to</w:t>
      </w:r>
      <w:r w:rsidRPr="00E34227">
        <w:rPr>
          <w:rFonts w:ascii="Times New Roman" w:hAnsi="Times New Roman" w:cs="Times New Roman"/>
          <w:sz w:val="24"/>
          <w:szCs w:val="24"/>
          <w:shd w:val="clear" w:color="auto" w:fill="F1F1F1"/>
        </w:rPr>
        <w:t xml:space="preserve"> connect and share the </w:t>
      </w:r>
      <w:r w:rsidR="007A5F96" w:rsidRPr="00E34227">
        <w:rPr>
          <w:rFonts w:ascii="Times New Roman" w:hAnsi="Times New Roman" w:cs="Times New Roman"/>
          <w:sz w:val="24"/>
          <w:szCs w:val="24"/>
          <w:shd w:val="clear" w:color="auto" w:fill="F1F1F1"/>
        </w:rPr>
        <w:t>history</w:t>
      </w:r>
      <w:r w:rsidRPr="00E34227">
        <w:rPr>
          <w:rFonts w:ascii="Times New Roman" w:hAnsi="Times New Roman" w:cs="Times New Roman"/>
          <w:sz w:val="24"/>
          <w:szCs w:val="24"/>
          <w:shd w:val="clear" w:color="auto" w:fill="F1F1F1"/>
        </w:rPr>
        <w:t xml:space="preserve"> of migration which </w:t>
      </w:r>
      <w:r w:rsidR="007A5F96" w:rsidRPr="00E34227">
        <w:rPr>
          <w:rFonts w:ascii="Times New Roman" w:hAnsi="Times New Roman" w:cs="Times New Roman"/>
          <w:sz w:val="24"/>
          <w:szCs w:val="24"/>
          <w:shd w:val="clear" w:color="auto" w:fill="F1F1F1"/>
        </w:rPr>
        <w:t>was</w:t>
      </w:r>
      <w:r w:rsidRPr="00E34227">
        <w:rPr>
          <w:rFonts w:ascii="Times New Roman" w:hAnsi="Times New Roman" w:cs="Times New Roman"/>
          <w:sz w:val="24"/>
          <w:szCs w:val="24"/>
          <w:shd w:val="clear" w:color="auto" w:fill="F1F1F1"/>
        </w:rPr>
        <w:t xml:space="preserve"> based on culture and sport</w:t>
      </w:r>
      <w:r w:rsidR="00263CC1" w:rsidRPr="00E34227">
        <w:rPr>
          <w:rFonts w:ascii="Times New Roman" w:hAnsi="Times New Roman" w:cs="Times New Roman"/>
          <w:sz w:val="24"/>
          <w:szCs w:val="24"/>
          <w:shd w:val="clear" w:color="auto" w:fill="F1F1F1"/>
        </w:rPr>
        <w:t>.</w:t>
      </w:r>
    </w:p>
    <w:p w14:paraId="2A8BEEEB" w14:textId="77777777" w:rsidR="007703A9" w:rsidRPr="00E34227" w:rsidRDefault="007703A9" w:rsidP="00E34227">
      <w:pPr>
        <w:spacing w:line="360" w:lineRule="auto"/>
        <w:contextualSpacing/>
        <w:rPr>
          <w:rFonts w:ascii="Times New Roman" w:hAnsi="Times New Roman" w:cs="Times New Roman"/>
          <w:sz w:val="24"/>
          <w:szCs w:val="24"/>
        </w:rPr>
      </w:pPr>
    </w:p>
    <w:p w14:paraId="555970F5" w14:textId="77777777" w:rsidR="00000B6F" w:rsidRPr="00E34227" w:rsidRDefault="004B1D91" w:rsidP="00325C48">
      <w:pPr>
        <w:pStyle w:val="Heading1"/>
        <w:spacing w:before="0" w:line="240" w:lineRule="auto"/>
        <w:rPr>
          <w:rFonts w:ascii="Times New Roman" w:hAnsi="Times New Roman" w:cs="Times New Roman"/>
          <w:b/>
          <w:color w:val="auto"/>
          <w:sz w:val="24"/>
          <w:szCs w:val="24"/>
        </w:rPr>
      </w:pPr>
      <w:bookmarkStart w:id="4" w:name="_Toc120897631"/>
      <w:r>
        <w:rPr>
          <w:rFonts w:ascii="Times New Roman" w:hAnsi="Times New Roman" w:cs="Times New Roman"/>
          <w:b/>
          <w:color w:val="auto"/>
          <w:sz w:val="24"/>
          <w:szCs w:val="24"/>
        </w:rPr>
        <w:t>Guiding principles</w:t>
      </w:r>
      <w:bookmarkEnd w:id="4"/>
    </w:p>
    <w:p w14:paraId="634F3AB2" w14:textId="77777777" w:rsidR="13ED293F" w:rsidRPr="00E34227" w:rsidRDefault="00F81CC2" w:rsidP="00E34227">
      <w:pPr>
        <w:spacing w:after="0" w:line="360" w:lineRule="auto"/>
        <w:contextualSpacing/>
        <w:rPr>
          <w:rFonts w:ascii="Times New Roman" w:hAnsi="Times New Roman" w:cs="Times New Roman"/>
          <w:sz w:val="24"/>
          <w:szCs w:val="24"/>
        </w:rPr>
      </w:pPr>
      <w:r w:rsidRPr="00E34227">
        <w:rPr>
          <w:rFonts w:ascii="Times New Roman" w:eastAsia="Times New Roman" w:hAnsi="Times New Roman" w:cs="Times New Roman"/>
          <w:sz w:val="24"/>
          <w:szCs w:val="24"/>
        </w:rPr>
        <w:t>G</w:t>
      </w:r>
      <w:r w:rsidR="13ED293F" w:rsidRPr="00E34227">
        <w:rPr>
          <w:rFonts w:ascii="Times New Roman" w:eastAsia="Times New Roman" w:hAnsi="Times New Roman" w:cs="Times New Roman"/>
          <w:sz w:val="24"/>
          <w:szCs w:val="24"/>
        </w:rPr>
        <w:t xml:space="preserve">uiding principles are typically used in community engagement, and they help to guarantee that relationships and involvement among community members are effectively developed. Community leaders are required to constantly reinvent the offer that is being offered to the community since it is acknowledged to bring value to the complete social experience. The fundamental tenet of this community involvement is that it's critical to have </w:t>
      </w:r>
      <w:bookmarkStart w:id="5" w:name="_Int_p1KL4icC"/>
      <w:r w:rsidR="13ED293F" w:rsidRPr="00E34227">
        <w:rPr>
          <w:rFonts w:ascii="Times New Roman" w:eastAsia="Times New Roman" w:hAnsi="Times New Roman" w:cs="Times New Roman"/>
          <w:sz w:val="24"/>
          <w:szCs w:val="24"/>
        </w:rPr>
        <w:t>an understanding</w:t>
      </w:r>
      <w:bookmarkEnd w:id="5"/>
      <w:r w:rsidR="13ED293F" w:rsidRPr="00E34227">
        <w:rPr>
          <w:rFonts w:ascii="Times New Roman" w:eastAsia="Times New Roman" w:hAnsi="Times New Roman" w:cs="Times New Roman"/>
          <w:sz w:val="24"/>
          <w:szCs w:val="24"/>
        </w:rPr>
        <w:t xml:space="preserve"> of the area and the people one interacts with (</w:t>
      </w:r>
      <w:r w:rsidR="13ED293F" w:rsidRPr="00E34227">
        <w:rPr>
          <w:rFonts w:ascii="Times New Roman" w:eastAsia="Calibri" w:hAnsi="Times New Roman" w:cs="Times New Roman"/>
          <w:sz w:val="24"/>
          <w:szCs w:val="24"/>
        </w:rPr>
        <w:t xml:space="preserve">De </w:t>
      </w:r>
      <w:proofErr w:type="spellStart"/>
      <w:r w:rsidR="13ED293F" w:rsidRPr="00E34227">
        <w:rPr>
          <w:rFonts w:ascii="Times New Roman" w:eastAsia="Calibri" w:hAnsi="Times New Roman" w:cs="Times New Roman"/>
          <w:sz w:val="24"/>
          <w:szCs w:val="24"/>
        </w:rPr>
        <w:t>Weger</w:t>
      </w:r>
      <w:proofErr w:type="spellEnd"/>
      <w:r w:rsidR="13ED293F" w:rsidRPr="00E34227">
        <w:rPr>
          <w:rFonts w:ascii="Times New Roman" w:eastAsia="Calibri" w:hAnsi="Times New Roman" w:cs="Times New Roman"/>
          <w:sz w:val="24"/>
          <w:szCs w:val="24"/>
        </w:rPr>
        <w:t xml:space="preserve"> et al. 2018)</w:t>
      </w:r>
      <w:r w:rsidR="13ED293F" w:rsidRPr="00E34227">
        <w:rPr>
          <w:rFonts w:ascii="Times New Roman" w:eastAsia="Times New Roman" w:hAnsi="Times New Roman" w:cs="Times New Roman"/>
          <w:sz w:val="24"/>
          <w:szCs w:val="24"/>
        </w:rPr>
        <w:t>. This implies that it is always vital to do research on the society's population and customer base in the event that a new society business must be formed quickly. Effective collaboration with the people in your immediate neighborhood and the organizations of society is required to achieve this. This is done through researching societal demands, behaviors, and ambitions (</w:t>
      </w:r>
      <w:r w:rsidR="13ED293F" w:rsidRPr="00E34227">
        <w:rPr>
          <w:rFonts w:ascii="Times New Roman" w:eastAsia="Calibri" w:hAnsi="Times New Roman" w:cs="Times New Roman"/>
          <w:sz w:val="24"/>
          <w:szCs w:val="24"/>
        </w:rPr>
        <w:t xml:space="preserve">De </w:t>
      </w:r>
      <w:proofErr w:type="spellStart"/>
      <w:r w:rsidR="13ED293F" w:rsidRPr="00E34227">
        <w:rPr>
          <w:rFonts w:ascii="Times New Roman" w:eastAsia="Calibri" w:hAnsi="Times New Roman" w:cs="Times New Roman"/>
          <w:sz w:val="24"/>
          <w:szCs w:val="24"/>
        </w:rPr>
        <w:t>Weger</w:t>
      </w:r>
      <w:proofErr w:type="spellEnd"/>
      <w:r w:rsidR="13ED293F" w:rsidRPr="00E34227">
        <w:rPr>
          <w:rFonts w:ascii="Times New Roman" w:eastAsia="Calibri" w:hAnsi="Times New Roman" w:cs="Times New Roman"/>
          <w:sz w:val="24"/>
          <w:szCs w:val="24"/>
        </w:rPr>
        <w:t xml:space="preserve"> et al. 2018)</w:t>
      </w:r>
      <w:r w:rsidR="13ED293F" w:rsidRPr="00E34227">
        <w:rPr>
          <w:rFonts w:ascii="Times New Roman" w:eastAsia="Times New Roman" w:hAnsi="Times New Roman" w:cs="Times New Roman"/>
          <w:sz w:val="24"/>
          <w:szCs w:val="24"/>
        </w:rPr>
        <w:t>. A tactic in line with this notion is community survey. This is a tactic that a business might use to comprehend the neighborhood and have an impact on a significant amount of business. It is critical to comprehend the variables that may affect the number of people who enter the market as well as their perception of current trends. A community survey is a crucial data collection approach because it allows people to appreciate the benefits of a society and what it has to offer. The community will get stronger as a result of this survey, and the demands and ideals of the participants will be successfully addressed because the survey's goal is to assist the community (</w:t>
      </w:r>
      <w:r w:rsidR="13ED293F" w:rsidRPr="00E34227">
        <w:rPr>
          <w:rFonts w:ascii="Times New Roman" w:eastAsia="Calibri" w:hAnsi="Times New Roman" w:cs="Times New Roman"/>
          <w:sz w:val="24"/>
          <w:szCs w:val="24"/>
        </w:rPr>
        <w:t>CTSA Community Engagement Key Function Committee Task Force, 2011)</w:t>
      </w:r>
      <w:r w:rsidR="13ED293F" w:rsidRPr="00E34227">
        <w:rPr>
          <w:rFonts w:ascii="Times New Roman" w:eastAsia="Times New Roman" w:hAnsi="Times New Roman" w:cs="Times New Roman"/>
          <w:sz w:val="24"/>
          <w:szCs w:val="24"/>
        </w:rPr>
        <w:t>.</w:t>
      </w:r>
    </w:p>
    <w:p w14:paraId="718BBABE" w14:textId="77777777" w:rsidR="13ED293F" w:rsidRPr="00E34227" w:rsidRDefault="13ED293F" w:rsidP="00E34227">
      <w:pPr>
        <w:spacing w:after="0" w:line="360" w:lineRule="auto"/>
        <w:contextualSpacing/>
        <w:rPr>
          <w:rFonts w:ascii="Times New Roman" w:eastAsia="Times New Roman" w:hAnsi="Times New Roman" w:cs="Times New Roman"/>
          <w:sz w:val="24"/>
          <w:szCs w:val="24"/>
        </w:rPr>
      </w:pPr>
      <w:r w:rsidRPr="00E34227">
        <w:rPr>
          <w:rFonts w:ascii="Times New Roman" w:eastAsia="Times New Roman" w:hAnsi="Times New Roman" w:cs="Times New Roman"/>
          <w:sz w:val="24"/>
          <w:szCs w:val="24"/>
        </w:rPr>
        <w:t>Another principle is to put the members in the forefront (</w:t>
      </w: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et al. 2018)</w:t>
      </w:r>
      <w:r w:rsidRPr="00E34227">
        <w:rPr>
          <w:rFonts w:ascii="Times New Roman" w:eastAsia="Times New Roman" w:hAnsi="Times New Roman" w:cs="Times New Roman"/>
          <w:sz w:val="24"/>
          <w:szCs w:val="24"/>
        </w:rPr>
        <w:t>. This theory explains why it is important to pay attention to people and their relationships, as well as why it is crucial to publicly recognize their efforts and achievements. With this theory, as members become more visible, the probability that members and community volunteers will find and create connections in the form of true relationships with others who share their interests rises. An individual has a terrific potential to become self-aware and comprehend the issues and experiences that the group is going through by creating a space where all members may come together and making sure that connections and solutions are available for their aims (</w:t>
      </w: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et al. 2018)</w:t>
      </w:r>
      <w:r w:rsidRPr="00E34227">
        <w:rPr>
          <w:rFonts w:ascii="Times New Roman" w:eastAsia="Times New Roman" w:hAnsi="Times New Roman" w:cs="Times New Roman"/>
          <w:sz w:val="24"/>
          <w:szCs w:val="24"/>
        </w:rPr>
        <w:t xml:space="preserve">. According to </w:t>
      </w:r>
      <w:bookmarkStart w:id="6" w:name="_Int_ImwpUUxn"/>
      <w:r w:rsidRPr="00E34227">
        <w:rPr>
          <w:rFonts w:ascii="Times New Roman" w:eastAsia="Calibri" w:hAnsi="Times New Roman" w:cs="Times New Roman"/>
          <w:sz w:val="24"/>
          <w:szCs w:val="24"/>
        </w:rPr>
        <w:t>Plummer et al.</w:t>
      </w:r>
      <w:bookmarkEnd w:id="6"/>
      <w:r w:rsidRPr="00E34227">
        <w:rPr>
          <w:rFonts w:ascii="Times New Roman" w:eastAsia="Times New Roman" w:hAnsi="Times New Roman" w:cs="Times New Roman"/>
          <w:sz w:val="24"/>
          <w:szCs w:val="24"/>
        </w:rPr>
        <w:t xml:space="preserve"> (2022) by paying attention to them and being knowledgeable about their needs, the community should also feel empowered and elevated in their everyday activities. Another guiding principle in managing a community is that a key concept should always be explained simply and to the community (</w:t>
      </w: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et al. 2018)</w:t>
      </w:r>
      <w:r w:rsidRPr="00E34227">
        <w:rPr>
          <w:rFonts w:ascii="Times New Roman" w:eastAsia="Times New Roman" w:hAnsi="Times New Roman" w:cs="Times New Roman"/>
          <w:sz w:val="24"/>
          <w:szCs w:val="24"/>
        </w:rPr>
        <w:t xml:space="preserve">. This is done so that the neighborhood can comprehend the concepts and participate in social change by making choices and adding to the idea, and the Start small is used in engagement-boosting techniques. By starting with the neighborhood, the concept is established, and these concepts must be made accessible and well-lit so that neighborhood residents can see </w:t>
      </w:r>
      <w:bookmarkStart w:id="7" w:name="_Int_Lw2jEOU3"/>
      <w:r w:rsidRPr="00E34227">
        <w:rPr>
          <w:rFonts w:ascii="Times New Roman" w:eastAsia="Times New Roman" w:hAnsi="Times New Roman" w:cs="Times New Roman"/>
          <w:sz w:val="24"/>
          <w:szCs w:val="24"/>
        </w:rPr>
        <w:t>them (</w:t>
      </w: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et al. 2018)</w:t>
      </w:r>
      <w:r w:rsidRPr="00E34227">
        <w:rPr>
          <w:rFonts w:ascii="Times New Roman" w:eastAsia="Times New Roman" w:hAnsi="Times New Roman" w:cs="Times New Roman"/>
          <w:sz w:val="24"/>
          <w:szCs w:val="24"/>
        </w:rPr>
        <w:t>.</w:t>
      </w:r>
      <w:bookmarkEnd w:id="7"/>
      <w:r w:rsidRPr="00E34227">
        <w:rPr>
          <w:rFonts w:ascii="Times New Roman" w:eastAsia="Times New Roman" w:hAnsi="Times New Roman" w:cs="Times New Roman"/>
          <w:sz w:val="24"/>
          <w:szCs w:val="24"/>
        </w:rPr>
        <w:t xml:space="preserve"> However, this concept conversation has to go as quickly as possible since many participants might need to deal with this idea in a hurry. It also needs to be straightforward because certain participants need to debate ideas that make sense. According to this theory, society's culture serves as the driving force since it makes prompt guidance possible (</w:t>
      </w:r>
      <w:r w:rsidRPr="00E34227">
        <w:rPr>
          <w:rFonts w:ascii="Times New Roman" w:eastAsia="Calibri" w:hAnsi="Times New Roman" w:cs="Times New Roman"/>
          <w:sz w:val="24"/>
          <w:szCs w:val="24"/>
        </w:rPr>
        <w:t>Plummer et al.</w:t>
      </w:r>
      <w:r w:rsidRPr="00E34227">
        <w:rPr>
          <w:rFonts w:ascii="Times New Roman" w:eastAsia="Times New Roman" w:hAnsi="Times New Roman" w:cs="Times New Roman"/>
          <w:sz w:val="24"/>
          <w:szCs w:val="24"/>
        </w:rPr>
        <w:t xml:space="preserve"> 2022).</w:t>
      </w:r>
    </w:p>
    <w:p w14:paraId="18880370" w14:textId="77777777" w:rsidR="13ED293F" w:rsidRPr="00E34227" w:rsidRDefault="13ED293F" w:rsidP="00E34227">
      <w:pPr>
        <w:spacing w:after="0" w:line="360" w:lineRule="auto"/>
        <w:contextualSpacing/>
        <w:rPr>
          <w:rFonts w:ascii="Times New Roman" w:eastAsia="Times New Roman" w:hAnsi="Times New Roman" w:cs="Times New Roman"/>
          <w:sz w:val="24"/>
          <w:szCs w:val="24"/>
        </w:rPr>
      </w:pPr>
      <w:r w:rsidRPr="00E34227">
        <w:rPr>
          <w:rFonts w:ascii="Times New Roman" w:eastAsia="Times New Roman" w:hAnsi="Times New Roman" w:cs="Times New Roman"/>
          <w:sz w:val="24"/>
          <w:szCs w:val="24"/>
        </w:rPr>
        <w:t>The community participant should always include the community and take part in community events is another guiding concept (</w:t>
      </w: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et al. 2018)</w:t>
      </w:r>
      <w:r w:rsidRPr="00E34227">
        <w:rPr>
          <w:rFonts w:ascii="Times New Roman" w:eastAsia="Times New Roman" w:hAnsi="Times New Roman" w:cs="Times New Roman"/>
          <w:sz w:val="24"/>
          <w:szCs w:val="24"/>
        </w:rPr>
        <w:t>. Since the engager's participation and interaction will work as a role model for the culture and behaviors that the individual wants to see in the community, this will act as the basis for the members of the community's motivation. By interacting in the groups developed especially for the target populations, this may also be done via social media (</w:t>
      </w: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et al. 2018)</w:t>
      </w:r>
      <w:r w:rsidRPr="00E34227">
        <w:rPr>
          <w:rFonts w:ascii="Times New Roman" w:eastAsia="Times New Roman" w:hAnsi="Times New Roman" w:cs="Times New Roman"/>
          <w:sz w:val="24"/>
          <w:szCs w:val="24"/>
        </w:rPr>
        <w:t>. The contributions must be seen as helpful, considerate, and advantageous for the people who are a part of society. The more influential people who engage in the politics and atmosphere of the community, the more at ease and protected the members would feel, enabling them to be their true selves (</w:t>
      </w:r>
      <w:r w:rsidRPr="00E34227">
        <w:rPr>
          <w:rFonts w:ascii="Times New Roman" w:eastAsia="Calibri" w:hAnsi="Times New Roman" w:cs="Times New Roman"/>
          <w:sz w:val="24"/>
          <w:szCs w:val="24"/>
        </w:rPr>
        <w:t>Plummer et al.</w:t>
      </w:r>
      <w:r w:rsidRPr="00E34227">
        <w:rPr>
          <w:rFonts w:ascii="Times New Roman" w:eastAsia="Times New Roman" w:hAnsi="Times New Roman" w:cs="Times New Roman"/>
          <w:sz w:val="24"/>
          <w:szCs w:val="24"/>
        </w:rPr>
        <w:t xml:space="preserve"> 2022). Community members may be inspired to speak honestly and authentically as a result of this. Another community engagement concept is to always be tenacious, dependable, and thorough while interacting with the neighborhood (</w:t>
      </w: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et al. 2018)</w:t>
      </w:r>
      <w:r w:rsidRPr="00E34227">
        <w:rPr>
          <w:rFonts w:ascii="Times New Roman" w:eastAsia="Times New Roman" w:hAnsi="Times New Roman" w:cs="Times New Roman"/>
          <w:sz w:val="24"/>
          <w:szCs w:val="24"/>
        </w:rPr>
        <w:t>. Every engagement process has a strategy, which implies that the process must be successfully carried out in order for the plan to be effective. The calendar in this scenario is important since the plan contains a calendar that lists all the events that must take place. The community interaction points that need to be addressed should be shown in this plan calendar, which should be well-crafted and unambiguous (</w:t>
      </w: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et al. 2018)</w:t>
      </w:r>
      <w:r w:rsidRPr="00E34227">
        <w:rPr>
          <w:rFonts w:ascii="Times New Roman" w:eastAsia="Times New Roman" w:hAnsi="Times New Roman" w:cs="Times New Roman"/>
          <w:sz w:val="24"/>
          <w:szCs w:val="24"/>
        </w:rPr>
        <w:t>. This calendar will provide information on completed events and demonstrate the growth of the community.  To ascertain what is and is not functioning, it may be helpful to look at the performance data that underlies the activities. Therefore, before learning how to carry out the activity, it must be tried in the community. This principle is expected to be followed during the trial as well. In the event when the community engagement rate is at its lowest, the person must start again and devise the best plan of action for engaging the community (</w:t>
      </w:r>
      <w:r w:rsidRPr="00E34227">
        <w:rPr>
          <w:rFonts w:ascii="Times New Roman" w:eastAsia="Calibri" w:hAnsi="Times New Roman" w:cs="Times New Roman"/>
          <w:sz w:val="24"/>
          <w:szCs w:val="24"/>
        </w:rPr>
        <w:t>Plummer et al.</w:t>
      </w:r>
      <w:r w:rsidRPr="00E34227">
        <w:rPr>
          <w:rFonts w:ascii="Times New Roman" w:eastAsia="Times New Roman" w:hAnsi="Times New Roman" w:cs="Times New Roman"/>
          <w:sz w:val="24"/>
          <w:szCs w:val="24"/>
        </w:rPr>
        <w:t xml:space="preserve"> 2022). However, it is important to allow engagement efforts time to flourish because not everything that is done will be a major success right away.</w:t>
      </w:r>
    </w:p>
    <w:p w14:paraId="34F88F45" w14:textId="77777777" w:rsidR="00880F52" w:rsidRPr="00E34227" w:rsidRDefault="00880F52" w:rsidP="00325C48">
      <w:pPr>
        <w:pStyle w:val="Heading1"/>
        <w:spacing w:before="0" w:line="240" w:lineRule="auto"/>
        <w:rPr>
          <w:rFonts w:ascii="Times New Roman" w:hAnsi="Times New Roman" w:cs="Times New Roman"/>
          <w:b/>
          <w:color w:val="auto"/>
          <w:sz w:val="24"/>
          <w:szCs w:val="24"/>
        </w:rPr>
      </w:pPr>
      <w:bookmarkStart w:id="8" w:name="_Toc120897632"/>
      <w:r w:rsidRPr="00E34227">
        <w:rPr>
          <w:rFonts w:ascii="Times New Roman" w:eastAsia="Times New Roman" w:hAnsi="Times New Roman" w:cs="Times New Roman"/>
          <w:b/>
          <w:color w:val="auto"/>
          <w:sz w:val="24"/>
          <w:szCs w:val="24"/>
        </w:rPr>
        <w:t xml:space="preserve">Stake </w:t>
      </w:r>
      <w:r w:rsidR="00F81CC2" w:rsidRPr="00E34227">
        <w:rPr>
          <w:rFonts w:ascii="Times New Roman" w:eastAsia="Times New Roman" w:hAnsi="Times New Roman" w:cs="Times New Roman"/>
          <w:b/>
          <w:color w:val="auto"/>
          <w:sz w:val="24"/>
          <w:szCs w:val="24"/>
        </w:rPr>
        <w:t>holder’s</w:t>
      </w:r>
      <w:r w:rsidR="004B1D91">
        <w:rPr>
          <w:rFonts w:ascii="Times New Roman" w:eastAsia="Times New Roman" w:hAnsi="Times New Roman" w:cs="Times New Roman"/>
          <w:b/>
          <w:color w:val="auto"/>
          <w:sz w:val="24"/>
          <w:szCs w:val="24"/>
        </w:rPr>
        <w:t xml:space="preserve"> participation, </w:t>
      </w:r>
      <w:r w:rsidRPr="00E34227">
        <w:rPr>
          <w:rFonts w:ascii="Times New Roman" w:eastAsia="Times New Roman" w:hAnsi="Times New Roman" w:cs="Times New Roman"/>
          <w:b/>
          <w:color w:val="auto"/>
          <w:sz w:val="24"/>
          <w:szCs w:val="24"/>
        </w:rPr>
        <w:t>their relationship with strategies</w:t>
      </w:r>
      <w:r w:rsidR="004B1D91">
        <w:rPr>
          <w:rFonts w:ascii="Times New Roman" w:eastAsia="Times New Roman" w:hAnsi="Times New Roman" w:cs="Times New Roman"/>
          <w:b/>
          <w:color w:val="auto"/>
          <w:sz w:val="24"/>
          <w:szCs w:val="24"/>
        </w:rPr>
        <w:t xml:space="preserve"> and </w:t>
      </w:r>
      <w:r w:rsidR="004B1D91" w:rsidRPr="00E34227">
        <w:rPr>
          <w:rFonts w:ascii="Times New Roman" w:hAnsi="Times New Roman" w:cs="Times New Roman"/>
          <w:b/>
          <w:color w:val="auto"/>
          <w:sz w:val="24"/>
          <w:szCs w:val="24"/>
        </w:rPr>
        <w:t>relevant avenues</w:t>
      </w:r>
      <w:bookmarkEnd w:id="8"/>
    </w:p>
    <w:p w14:paraId="3E9D0AA8" w14:textId="77777777" w:rsidR="13ED293F" w:rsidRPr="00E34227" w:rsidRDefault="13ED293F" w:rsidP="00E34227">
      <w:pPr>
        <w:spacing w:after="0" w:line="360" w:lineRule="auto"/>
        <w:contextualSpacing/>
        <w:rPr>
          <w:rFonts w:ascii="Times New Roman" w:eastAsia="Times New Roman" w:hAnsi="Times New Roman" w:cs="Times New Roman"/>
          <w:sz w:val="24"/>
          <w:szCs w:val="24"/>
        </w:rPr>
      </w:pPr>
      <w:r w:rsidRPr="00E34227">
        <w:rPr>
          <w:rFonts w:ascii="Times New Roman" w:eastAsia="Times New Roman" w:hAnsi="Times New Roman" w:cs="Times New Roman"/>
          <w:sz w:val="24"/>
          <w:szCs w:val="24"/>
        </w:rPr>
        <w:t>The success of every organization depends on its ability to interact with its stakeholders. An organization needs a clear purpose that comes from a thorough strategy formulation process in order to flourish, and only stakeholder participation can result in a planning process or marketing program that is successful (</w:t>
      </w:r>
      <w:r w:rsidRPr="00E34227">
        <w:rPr>
          <w:rFonts w:ascii="Times New Roman" w:eastAsia="Calibri" w:hAnsi="Times New Roman" w:cs="Times New Roman"/>
          <w:sz w:val="24"/>
          <w:szCs w:val="24"/>
        </w:rPr>
        <w:t>Taysom, 2019)</w:t>
      </w:r>
      <w:r w:rsidRPr="00E34227">
        <w:rPr>
          <w:rFonts w:ascii="Times New Roman" w:eastAsia="Times New Roman" w:hAnsi="Times New Roman" w:cs="Times New Roman"/>
          <w:sz w:val="24"/>
          <w:szCs w:val="24"/>
        </w:rPr>
        <w:t xml:space="preserve">. Engagement by stakeholders results in strengthening and shared initiative ownership. The initiative should begin with discussion, develop through agreement, and conclude with a decision made by all parties involved in order to encourage involvement. </w:t>
      </w:r>
      <w:r w:rsidRPr="00E34227">
        <w:rPr>
          <w:rFonts w:ascii="Times New Roman" w:hAnsi="Times New Roman" w:cs="Times New Roman"/>
          <w:sz w:val="24"/>
          <w:szCs w:val="24"/>
        </w:rPr>
        <w:t>Engaging with various stakeholders gives an organization the chance to learn from them and even alter their strategy so that it better suits their demands (</w:t>
      </w:r>
      <w:proofErr w:type="spellStart"/>
      <w:r w:rsidRPr="00E34227">
        <w:rPr>
          <w:rFonts w:ascii="Times New Roman" w:eastAsia="Calibri" w:hAnsi="Times New Roman" w:cs="Times New Roman"/>
          <w:sz w:val="24"/>
          <w:szCs w:val="24"/>
        </w:rPr>
        <w:t>Siles</w:t>
      </w:r>
      <w:proofErr w:type="spellEnd"/>
      <w:r w:rsidRPr="00E34227">
        <w:rPr>
          <w:rFonts w:ascii="Times New Roman" w:eastAsia="Calibri" w:hAnsi="Times New Roman" w:cs="Times New Roman"/>
          <w:sz w:val="24"/>
          <w:szCs w:val="24"/>
        </w:rPr>
        <w:t>, 2018)</w:t>
      </w:r>
      <w:r w:rsidRPr="00E34227">
        <w:rPr>
          <w:rFonts w:ascii="Times New Roman" w:hAnsi="Times New Roman" w:cs="Times New Roman"/>
          <w:sz w:val="24"/>
          <w:szCs w:val="24"/>
        </w:rPr>
        <w:t>. It's</w:t>
      </w:r>
      <w:r w:rsidR="007A5F96" w:rsidRPr="00E34227">
        <w:rPr>
          <w:rFonts w:ascii="Times New Roman" w:hAnsi="Times New Roman" w:cs="Times New Roman"/>
          <w:sz w:val="24"/>
          <w:szCs w:val="24"/>
        </w:rPr>
        <w:t xml:space="preserve"> </w:t>
      </w:r>
      <w:r w:rsidRPr="00E34227">
        <w:rPr>
          <w:rFonts w:ascii="Times New Roman" w:hAnsi="Times New Roman" w:cs="Times New Roman"/>
          <w:sz w:val="24"/>
          <w:szCs w:val="24"/>
        </w:rPr>
        <w:t>produced occasionally unexpected findings from both popular opinion and international expertise. Most significantly, it has resulted in stronger policies and programs, with all of the concepts and methods having been put to the test and improved. Rich ideas into a person's</w:t>
      </w:r>
      <w:r w:rsidR="007A5F96" w:rsidRPr="00E34227">
        <w:rPr>
          <w:rFonts w:ascii="Times New Roman" w:hAnsi="Times New Roman" w:cs="Times New Roman"/>
          <w:sz w:val="24"/>
          <w:szCs w:val="24"/>
        </w:rPr>
        <w:t xml:space="preserve"> </w:t>
      </w:r>
      <w:r w:rsidRPr="00E34227">
        <w:rPr>
          <w:rFonts w:ascii="Times New Roman" w:hAnsi="Times New Roman" w:cs="Times New Roman"/>
          <w:sz w:val="24"/>
          <w:szCs w:val="24"/>
        </w:rPr>
        <w:t>personal experiences have also been given by it (</w:t>
      </w:r>
      <w:proofErr w:type="spellStart"/>
      <w:r w:rsidRPr="00E34227">
        <w:rPr>
          <w:rFonts w:ascii="Times New Roman" w:eastAsia="Calibri" w:hAnsi="Times New Roman" w:cs="Times New Roman"/>
          <w:sz w:val="24"/>
          <w:szCs w:val="24"/>
        </w:rPr>
        <w:t>Siles</w:t>
      </w:r>
      <w:proofErr w:type="spellEnd"/>
      <w:r w:rsidRPr="00E34227">
        <w:rPr>
          <w:rFonts w:ascii="Times New Roman" w:eastAsia="Calibri" w:hAnsi="Times New Roman" w:cs="Times New Roman"/>
          <w:sz w:val="24"/>
          <w:szCs w:val="24"/>
        </w:rPr>
        <w:t>, 2018)</w:t>
      </w:r>
      <w:r w:rsidRPr="00E34227">
        <w:rPr>
          <w:rFonts w:ascii="Times New Roman" w:hAnsi="Times New Roman" w:cs="Times New Roman"/>
          <w:sz w:val="24"/>
          <w:szCs w:val="24"/>
        </w:rPr>
        <w:t xml:space="preserve">. According </w:t>
      </w:r>
      <w:bookmarkStart w:id="9" w:name="_Int_GZf1j0zJ"/>
      <w:r w:rsidRPr="00E34227">
        <w:rPr>
          <w:rFonts w:ascii="Times New Roman" w:hAnsi="Times New Roman" w:cs="Times New Roman"/>
          <w:sz w:val="24"/>
          <w:szCs w:val="24"/>
        </w:rPr>
        <w:t>to Frick</w:t>
      </w:r>
      <w:bookmarkEnd w:id="9"/>
      <w:r w:rsidRPr="00E34227">
        <w:rPr>
          <w:rFonts w:ascii="Times New Roman" w:eastAsia="Calibri" w:hAnsi="Times New Roman" w:cs="Times New Roman"/>
          <w:sz w:val="24"/>
          <w:szCs w:val="24"/>
        </w:rPr>
        <w:t xml:space="preserve"> (2019), </w:t>
      </w:r>
      <w:r w:rsidRPr="00E34227">
        <w:rPr>
          <w:rFonts w:ascii="Times New Roman" w:hAnsi="Times New Roman" w:cs="Times New Roman"/>
          <w:sz w:val="24"/>
          <w:szCs w:val="24"/>
        </w:rPr>
        <w:t>Making better informed decisions can help an organization consider the needs and different points of view of the stakeholders. Correct language usage is only one aspect of this. It gives the chance to consider what might function and the reasons it won't by helping to grasp issues and worries. Long-term economies in both money and time might result from early engagement (</w:t>
      </w:r>
      <w:proofErr w:type="spellStart"/>
      <w:r w:rsidRPr="00E34227">
        <w:rPr>
          <w:rFonts w:ascii="Times New Roman" w:eastAsia="Calibri" w:hAnsi="Times New Roman" w:cs="Times New Roman"/>
          <w:sz w:val="24"/>
          <w:szCs w:val="24"/>
        </w:rPr>
        <w:t>Siles</w:t>
      </w:r>
      <w:proofErr w:type="spellEnd"/>
      <w:r w:rsidRPr="00E34227">
        <w:rPr>
          <w:rFonts w:ascii="Times New Roman" w:eastAsia="Calibri" w:hAnsi="Times New Roman" w:cs="Times New Roman"/>
          <w:sz w:val="24"/>
          <w:szCs w:val="24"/>
        </w:rPr>
        <w:t>, 2018)</w:t>
      </w:r>
      <w:r w:rsidRPr="00E34227">
        <w:rPr>
          <w:rFonts w:ascii="Times New Roman" w:hAnsi="Times New Roman" w:cs="Times New Roman"/>
          <w:sz w:val="24"/>
          <w:szCs w:val="24"/>
        </w:rPr>
        <w:t>. The creation of a solid policy or product as well as the creation of a true knowledge of needs depend on this. Additionally, Frick</w:t>
      </w:r>
      <w:r w:rsidRPr="00E34227">
        <w:rPr>
          <w:rFonts w:ascii="Times New Roman" w:eastAsia="Calibri" w:hAnsi="Times New Roman" w:cs="Times New Roman"/>
          <w:sz w:val="24"/>
          <w:szCs w:val="24"/>
        </w:rPr>
        <w:t xml:space="preserve"> (2019</w:t>
      </w:r>
      <w:bookmarkStart w:id="10" w:name="_Int_auGg7TU9"/>
      <w:r w:rsidRPr="00E34227">
        <w:rPr>
          <w:rFonts w:ascii="Times New Roman" w:eastAsia="Calibri" w:hAnsi="Times New Roman" w:cs="Times New Roman"/>
          <w:sz w:val="24"/>
          <w:szCs w:val="24"/>
        </w:rPr>
        <w:t>), argues</w:t>
      </w:r>
      <w:bookmarkEnd w:id="10"/>
      <w:r w:rsidRPr="00E34227">
        <w:rPr>
          <w:rFonts w:ascii="Times New Roman" w:eastAsia="Calibri" w:hAnsi="Times New Roman" w:cs="Times New Roman"/>
          <w:sz w:val="24"/>
          <w:szCs w:val="24"/>
        </w:rPr>
        <w:t xml:space="preserve"> that </w:t>
      </w:r>
      <w:r w:rsidRPr="00E34227">
        <w:rPr>
          <w:rFonts w:ascii="Times New Roman" w:hAnsi="Times New Roman" w:cs="Times New Roman"/>
          <w:sz w:val="24"/>
          <w:szCs w:val="24"/>
        </w:rPr>
        <w:t xml:space="preserve">strong stakeholder participation is essential to establishing the organization or product's long-term reputation and confidence. Being receptive to other viewpoints may help an organization mitigate risks by perhaps bringing to light problems that it might not have previously been conscious of and by assisting it in setting </w:t>
      </w:r>
      <w:bookmarkStart w:id="11" w:name="_Int_moZTomYY"/>
      <w:r w:rsidRPr="00E34227">
        <w:rPr>
          <w:rFonts w:ascii="Times New Roman" w:hAnsi="Times New Roman" w:cs="Times New Roman"/>
          <w:sz w:val="24"/>
          <w:szCs w:val="24"/>
        </w:rPr>
        <w:t>priorities. Furthermore</w:t>
      </w:r>
      <w:bookmarkEnd w:id="11"/>
      <w:r w:rsidRPr="00E34227">
        <w:rPr>
          <w:rFonts w:ascii="Times New Roman" w:eastAsia="Times New Roman" w:hAnsi="Times New Roman" w:cs="Times New Roman"/>
          <w:sz w:val="24"/>
          <w:szCs w:val="24"/>
        </w:rPr>
        <w:t>, enhancing responsibility both within the organization and to the larger market depends on involving the stakeholders</w:t>
      </w:r>
      <w:r w:rsidRPr="00E34227">
        <w:rPr>
          <w:rFonts w:ascii="Times New Roman" w:hAnsi="Times New Roman" w:cs="Times New Roman"/>
          <w:sz w:val="24"/>
          <w:szCs w:val="24"/>
        </w:rPr>
        <w:t xml:space="preserve"> (</w:t>
      </w:r>
      <w:proofErr w:type="spellStart"/>
      <w:r w:rsidRPr="00E34227">
        <w:rPr>
          <w:rFonts w:ascii="Times New Roman" w:eastAsia="Calibri" w:hAnsi="Times New Roman" w:cs="Times New Roman"/>
          <w:sz w:val="24"/>
          <w:szCs w:val="24"/>
        </w:rPr>
        <w:t>Siles</w:t>
      </w:r>
      <w:proofErr w:type="spellEnd"/>
      <w:r w:rsidRPr="00E34227">
        <w:rPr>
          <w:rFonts w:ascii="Times New Roman" w:eastAsia="Calibri" w:hAnsi="Times New Roman" w:cs="Times New Roman"/>
          <w:sz w:val="24"/>
          <w:szCs w:val="24"/>
        </w:rPr>
        <w:t>, 2018)</w:t>
      </w:r>
      <w:r w:rsidRPr="00E34227">
        <w:rPr>
          <w:rFonts w:ascii="Times New Roman" w:eastAsia="Times New Roman" w:hAnsi="Times New Roman" w:cs="Times New Roman"/>
          <w:sz w:val="24"/>
          <w:szCs w:val="24"/>
        </w:rPr>
        <w:t>. Transparency is vital since the initiative ought to be explicit about the results that the organization hopes to achieve as well as the procedures to get there. It serves as an essential tactic for gaining backing for the initiative, securing the project's commitment and eventually raising the likelihood of sustainability once the project is concluded. Instead,</w:t>
      </w:r>
      <w:r w:rsidR="009E28CB" w:rsidRPr="00E34227">
        <w:rPr>
          <w:rFonts w:ascii="Times New Roman" w:eastAsia="Times New Roman" w:hAnsi="Times New Roman" w:cs="Times New Roman"/>
          <w:sz w:val="24"/>
          <w:szCs w:val="24"/>
        </w:rPr>
        <w:t xml:space="preserve"> </w:t>
      </w:r>
      <w:r w:rsidRPr="00E34227">
        <w:rPr>
          <w:rFonts w:ascii="Times New Roman" w:eastAsia="Times New Roman" w:hAnsi="Times New Roman" w:cs="Times New Roman"/>
          <w:sz w:val="24"/>
          <w:szCs w:val="24"/>
        </w:rPr>
        <w:t>of focusing on outputs, real progress demands a people-centered strategy.</w:t>
      </w:r>
    </w:p>
    <w:p w14:paraId="29AE988A" w14:textId="77777777" w:rsidR="009E28CB" w:rsidRPr="00E34227" w:rsidRDefault="005129AF" w:rsidP="00325C48">
      <w:pPr>
        <w:pStyle w:val="Heading1"/>
        <w:spacing w:before="0" w:line="240" w:lineRule="auto"/>
        <w:rPr>
          <w:rFonts w:ascii="Times New Roman" w:hAnsi="Times New Roman" w:cs="Times New Roman"/>
          <w:b/>
          <w:color w:val="auto"/>
          <w:sz w:val="24"/>
          <w:szCs w:val="24"/>
        </w:rPr>
      </w:pPr>
      <w:bookmarkStart w:id="12" w:name="_Toc120897633"/>
      <w:r w:rsidRPr="00E34227">
        <w:rPr>
          <w:rFonts w:ascii="Times New Roman" w:hAnsi="Times New Roman" w:cs="Times New Roman"/>
          <w:b/>
          <w:color w:val="auto"/>
          <w:sz w:val="24"/>
          <w:szCs w:val="24"/>
        </w:rPr>
        <w:t xml:space="preserve">Importance of </w:t>
      </w:r>
      <w:r w:rsidR="009E28CB" w:rsidRPr="00E34227">
        <w:rPr>
          <w:rFonts w:ascii="Times New Roman" w:hAnsi="Times New Roman" w:cs="Times New Roman"/>
          <w:b/>
          <w:color w:val="auto"/>
          <w:sz w:val="24"/>
          <w:szCs w:val="24"/>
        </w:rPr>
        <w:t>forward-looking approach</w:t>
      </w:r>
      <w:r w:rsidRPr="00E34227">
        <w:rPr>
          <w:rFonts w:ascii="Times New Roman" w:hAnsi="Times New Roman" w:cs="Times New Roman"/>
          <w:b/>
          <w:color w:val="auto"/>
          <w:sz w:val="24"/>
          <w:szCs w:val="24"/>
        </w:rPr>
        <w:t xml:space="preserve"> in </w:t>
      </w:r>
      <w:r w:rsidR="009605AD" w:rsidRPr="00E34227">
        <w:rPr>
          <w:rFonts w:ascii="Times New Roman" w:hAnsi="Times New Roman" w:cs="Times New Roman"/>
          <w:b/>
          <w:color w:val="auto"/>
          <w:sz w:val="24"/>
          <w:szCs w:val="24"/>
        </w:rPr>
        <w:t>in educating community members</w:t>
      </w:r>
      <w:bookmarkEnd w:id="12"/>
    </w:p>
    <w:p w14:paraId="2A1EA0E1" w14:textId="77777777" w:rsidR="009E28CB" w:rsidRPr="00E34227" w:rsidRDefault="005129AF" w:rsidP="00E34227">
      <w:pPr>
        <w:spacing w:line="360" w:lineRule="auto"/>
        <w:contextualSpacing/>
        <w:rPr>
          <w:rFonts w:ascii="Times New Roman" w:hAnsi="Times New Roman" w:cs="Times New Roman"/>
          <w:sz w:val="24"/>
          <w:szCs w:val="24"/>
        </w:rPr>
      </w:pPr>
      <w:r w:rsidRPr="00E34227">
        <w:rPr>
          <w:rFonts w:ascii="Times New Roman" w:hAnsi="Times New Roman" w:cs="Times New Roman"/>
          <w:sz w:val="24"/>
          <w:szCs w:val="24"/>
        </w:rPr>
        <w:t>When formulating plans, a forward-looking strategy takes future advancements into account, particularly when employing contemporary techniques or equipment</w:t>
      </w:r>
      <w:r w:rsidR="001C494D" w:rsidRPr="00E34227">
        <w:rPr>
          <w:rFonts w:ascii="Times New Roman" w:hAnsi="Times New Roman" w:cs="Times New Roman"/>
          <w:sz w:val="24"/>
          <w:szCs w:val="24"/>
        </w:rPr>
        <w:t xml:space="preserve"> (ACAPS. 2019)</w:t>
      </w:r>
      <w:r w:rsidRPr="00E34227">
        <w:rPr>
          <w:rFonts w:ascii="Times New Roman" w:hAnsi="Times New Roman" w:cs="Times New Roman"/>
          <w:sz w:val="24"/>
          <w:szCs w:val="24"/>
        </w:rPr>
        <w:t>. A community project might experience any incident which might result in errors or even the occurrence hours, and these events could be brought on by internal or external forces. If a community engagement practitioner presents the forward method prior to this, any community engagement may prepare for an incident to guarantee that, should it occur, the operations can recover swiftly and return to their pre-event condition</w:t>
      </w:r>
      <w:r w:rsidR="00E56183" w:rsidRPr="00E34227">
        <w:rPr>
          <w:rFonts w:ascii="Times New Roman" w:hAnsi="Times New Roman" w:cs="Times New Roman"/>
          <w:sz w:val="24"/>
          <w:szCs w:val="24"/>
        </w:rPr>
        <w:t xml:space="preserve"> (</w:t>
      </w:r>
      <w:r w:rsidR="00E56183" w:rsidRPr="00E34227">
        <w:rPr>
          <w:rFonts w:ascii="Times New Roman" w:hAnsi="Times New Roman" w:cs="Times New Roman"/>
          <w:sz w:val="24"/>
          <w:szCs w:val="24"/>
          <w:shd w:val="clear" w:color="auto" w:fill="FFFFFF"/>
        </w:rPr>
        <w:t xml:space="preserve">Volkov, </w:t>
      </w:r>
      <w:proofErr w:type="spellStart"/>
      <w:r w:rsidR="00E56183" w:rsidRPr="00E34227">
        <w:rPr>
          <w:rFonts w:ascii="Times New Roman" w:hAnsi="Times New Roman" w:cs="Times New Roman"/>
          <w:sz w:val="24"/>
          <w:szCs w:val="24"/>
          <w:shd w:val="clear" w:color="auto" w:fill="FFFFFF"/>
        </w:rPr>
        <w:t>Hoyo</w:t>
      </w:r>
      <w:proofErr w:type="spellEnd"/>
      <w:r w:rsidR="00E56183" w:rsidRPr="00E34227">
        <w:rPr>
          <w:rFonts w:ascii="Times New Roman" w:hAnsi="Times New Roman" w:cs="Times New Roman"/>
          <w:sz w:val="24"/>
          <w:szCs w:val="24"/>
          <w:shd w:val="clear" w:color="auto" w:fill="FFFFFF"/>
        </w:rPr>
        <w:t xml:space="preserve"> and Hunt, 2022).</w:t>
      </w:r>
      <w:r w:rsidRPr="00E34227">
        <w:rPr>
          <w:rFonts w:ascii="Times New Roman" w:hAnsi="Times New Roman" w:cs="Times New Roman"/>
          <w:sz w:val="24"/>
          <w:szCs w:val="24"/>
        </w:rPr>
        <w:t xml:space="preserve"> When this planning is done, stakeholders' morale is higher because they understand that the community engagement practitioner is concerned with them and with their future.</w:t>
      </w:r>
      <w:r w:rsidR="009605AD" w:rsidRPr="00E34227">
        <w:rPr>
          <w:rFonts w:ascii="Times New Roman" w:hAnsi="Times New Roman" w:cs="Times New Roman"/>
          <w:sz w:val="24"/>
          <w:szCs w:val="24"/>
        </w:rPr>
        <w:t xml:space="preserve"> </w:t>
      </w:r>
      <w:r w:rsidR="009605AD" w:rsidRPr="00E34227">
        <w:rPr>
          <w:rFonts w:ascii="Times New Roman" w:eastAsia="Times New Roman" w:hAnsi="Times New Roman" w:cs="Times New Roman"/>
          <w:sz w:val="24"/>
          <w:szCs w:val="24"/>
        </w:rPr>
        <w:t>Organization and the cost they will pay are two of the most crucial factors that must be considered while engaging the community. The entire organization will be impacted if there are significant drops in finances. The engagement practitioner will guarantee that, despite any obstacles that may arise, the financial part of the organization is secure and will prevent resource wastage by putting forward planning into practice</w:t>
      </w:r>
      <w:r w:rsidR="001C494D" w:rsidRPr="00E34227">
        <w:rPr>
          <w:rFonts w:ascii="Times New Roman" w:hAnsi="Times New Roman" w:cs="Times New Roman"/>
          <w:sz w:val="24"/>
          <w:szCs w:val="24"/>
        </w:rPr>
        <w:t xml:space="preserve"> (ACAPS. 2019)</w:t>
      </w:r>
      <w:r w:rsidR="009605AD" w:rsidRPr="00E34227">
        <w:rPr>
          <w:rFonts w:ascii="Times New Roman" w:eastAsia="Times New Roman" w:hAnsi="Times New Roman" w:cs="Times New Roman"/>
          <w:sz w:val="24"/>
          <w:szCs w:val="24"/>
        </w:rPr>
        <w:t>.</w:t>
      </w:r>
    </w:p>
    <w:p w14:paraId="740E9ACC" w14:textId="77777777" w:rsidR="00A2658D" w:rsidRPr="00E34227" w:rsidRDefault="00A2658D" w:rsidP="00325C48">
      <w:pPr>
        <w:pStyle w:val="Heading1"/>
        <w:spacing w:before="0" w:line="240" w:lineRule="auto"/>
        <w:rPr>
          <w:rFonts w:ascii="Times New Roman" w:hAnsi="Times New Roman" w:cs="Times New Roman"/>
          <w:b/>
          <w:color w:val="auto"/>
          <w:sz w:val="24"/>
          <w:szCs w:val="24"/>
        </w:rPr>
      </w:pPr>
      <w:bookmarkStart w:id="13" w:name="_Toc120897634"/>
      <w:r w:rsidRPr="00E34227">
        <w:rPr>
          <w:rFonts w:ascii="Times New Roman" w:eastAsia="Times New Roman" w:hAnsi="Times New Roman" w:cs="Times New Roman"/>
          <w:b/>
          <w:color w:val="auto"/>
          <w:sz w:val="24"/>
          <w:szCs w:val="24"/>
        </w:rPr>
        <w:t>Conclusion</w:t>
      </w:r>
      <w:bookmarkEnd w:id="13"/>
      <w:r w:rsidRPr="00E34227">
        <w:rPr>
          <w:rFonts w:ascii="Times New Roman" w:eastAsia="Times New Roman" w:hAnsi="Times New Roman" w:cs="Times New Roman"/>
          <w:b/>
          <w:color w:val="auto"/>
          <w:sz w:val="24"/>
          <w:szCs w:val="24"/>
        </w:rPr>
        <w:t xml:space="preserve"> </w:t>
      </w:r>
    </w:p>
    <w:p w14:paraId="6F5573C0" w14:textId="77777777" w:rsidR="13ED293F" w:rsidRPr="00E34227" w:rsidRDefault="13ED293F" w:rsidP="00E34227">
      <w:pPr>
        <w:spacing w:after="0" w:line="360" w:lineRule="auto"/>
        <w:contextualSpacing/>
        <w:rPr>
          <w:rFonts w:ascii="Times New Roman" w:eastAsia="Times New Roman" w:hAnsi="Times New Roman" w:cs="Times New Roman"/>
          <w:sz w:val="24"/>
          <w:szCs w:val="24"/>
        </w:rPr>
      </w:pPr>
      <w:bookmarkStart w:id="14" w:name="_Int_czgFdHly"/>
      <w:r w:rsidRPr="00E34227">
        <w:rPr>
          <w:rFonts w:ascii="Times New Roman" w:eastAsia="Times New Roman" w:hAnsi="Times New Roman" w:cs="Times New Roman"/>
          <w:sz w:val="24"/>
          <w:szCs w:val="24"/>
        </w:rPr>
        <w:t>It</w:t>
      </w:r>
      <w:bookmarkEnd w:id="14"/>
      <w:r w:rsidR="007703A9" w:rsidRPr="00E34227">
        <w:rPr>
          <w:rFonts w:ascii="Times New Roman" w:eastAsia="Times New Roman" w:hAnsi="Times New Roman" w:cs="Times New Roman"/>
          <w:sz w:val="24"/>
          <w:szCs w:val="24"/>
        </w:rPr>
        <w:t xml:space="preserve"> is evident from this report</w:t>
      </w:r>
      <w:r w:rsidRPr="00E34227">
        <w:rPr>
          <w:rFonts w:ascii="Times New Roman" w:eastAsia="Times New Roman" w:hAnsi="Times New Roman" w:cs="Times New Roman"/>
          <w:sz w:val="24"/>
          <w:szCs w:val="24"/>
        </w:rPr>
        <w:t xml:space="preserve"> that community involvement guarantees that every member of the community takes part in decision-making and actively contributes to its development. This demonstrates the value of community involvement in fostering a sense of belonging and having an impact on the expansion of the community. The way the stakeholders interact with the community is demonstrated via this essay's critical analysis of the community engagement's guiding principles. This day has shown that there are five guiding principles for community engagement that serve as standards for the activity. Ineffective community engagement will result if these guidelines are not followed. Further evidence of the role community participation plays in bridging the gap between the populace and the stakeholders is provided. The essay </w:t>
      </w:r>
      <w:bookmarkStart w:id="15" w:name="_Int_byZnef3K"/>
      <w:r w:rsidRPr="00E34227">
        <w:rPr>
          <w:rFonts w:ascii="Times New Roman" w:eastAsia="Times New Roman" w:hAnsi="Times New Roman" w:cs="Times New Roman"/>
          <w:sz w:val="24"/>
          <w:szCs w:val="24"/>
        </w:rPr>
        <w:t>has</w:t>
      </w:r>
      <w:bookmarkStart w:id="16" w:name="_Int_UCbEADMV"/>
      <w:bookmarkEnd w:id="15"/>
      <w:r w:rsidR="007703A9" w:rsidRPr="00E34227">
        <w:rPr>
          <w:rFonts w:ascii="Times New Roman" w:eastAsia="Times New Roman" w:hAnsi="Times New Roman" w:cs="Times New Roman"/>
          <w:sz w:val="24"/>
          <w:szCs w:val="24"/>
        </w:rPr>
        <w:t xml:space="preserve"> </w:t>
      </w:r>
      <w:r w:rsidRPr="00E34227">
        <w:rPr>
          <w:rFonts w:ascii="Times New Roman" w:eastAsia="Times New Roman" w:hAnsi="Times New Roman" w:cs="Times New Roman"/>
          <w:sz w:val="24"/>
          <w:szCs w:val="24"/>
        </w:rPr>
        <w:t>also</w:t>
      </w:r>
      <w:bookmarkStart w:id="17" w:name="_Int_Yc1mTJCY"/>
      <w:bookmarkEnd w:id="16"/>
      <w:r w:rsidR="007703A9" w:rsidRPr="00E34227">
        <w:rPr>
          <w:rFonts w:ascii="Times New Roman" w:eastAsia="Times New Roman" w:hAnsi="Times New Roman" w:cs="Times New Roman"/>
          <w:sz w:val="24"/>
          <w:szCs w:val="24"/>
        </w:rPr>
        <w:t xml:space="preserve"> </w:t>
      </w:r>
      <w:r w:rsidRPr="00E34227">
        <w:rPr>
          <w:rFonts w:ascii="Times New Roman" w:eastAsia="Times New Roman" w:hAnsi="Times New Roman" w:cs="Times New Roman"/>
          <w:sz w:val="24"/>
          <w:szCs w:val="24"/>
        </w:rPr>
        <w:t>discussed</w:t>
      </w:r>
      <w:bookmarkEnd w:id="17"/>
      <w:r w:rsidRPr="00E34227">
        <w:rPr>
          <w:rFonts w:ascii="Times New Roman" w:eastAsia="Times New Roman" w:hAnsi="Times New Roman" w:cs="Times New Roman"/>
          <w:sz w:val="24"/>
          <w:szCs w:val="24"/>
        </w:rPr>
        <w:t xml:space="preserve"> the importance of the stakeholder's </w:t>
      </w:r>
      <w:bookmarkStart w:id="18" w:name="_Int_A30RcL7P"/>
      <w:r w:rsidRPr="00E34227">
        <w:rPr>
          <w:rFonts w:ascii="Times New Roman" w:eastAsia="Times New Roman" w:hAnsi="Times New Roman" w:cs="Times New Roman"/>
          <w:sz w:val="24"/>
          <w:szCs w:val="24"/>
        </w:rPr>
        <w:t>participation</w:t>
      </w:r>
      <w:bookmarkEnd w:id="18"/>
      <w:r w:rsidRPr="00E34227">
        <w:rPr>
          <w:rFonts w:ascii="Times New Roman" w:eastAsia="Times New Roman" w:hAnsi="Times New Roman" w:cs="Times New Roman"/>
          <w:sz w:val="24"/>
          <w:szCs w:val="24"/>
        </w:rPr>
        <w:t xml:space="preserve">. It can be noted from the importance of the </w:t>
      </w:r>
      <w:bookmarkStart w:id="19" w:name="_Int_xJBpU94G"/>
      <w:r w:rsidRPr="00E34227">
        <w:rPr>
          <w:rFonts w:ascii="Times New Roman" w:eastAsia="Times New Roman" w:hAnsi="Times New Roman" w:cs="Times New Roman"/>
          <w:sz w:val="24"/>
          <w:szCs w:val="24"/>
        </w:rPr>
        <w:t>stakeholder's</w:t>
      </w:r>
      <w:bookmarkEnd w:id="19"/>
      <w:r w:rsidRPr="00E34227">
        <w:rPr>
          <w:rFonts w:ascii="Times New Roman" w:eastAsia="Times New Roman" w:hAnsi="Times New Roman" w:cs="Times New Roman"/>
          <w:sz w:val="24"/>
          <w:szCs w:val="24"/>
        </w:rPr>
        <w:t xml:space="preserve"> participation that an </w:t>
      </w:r>
      <w:bookmarkStart w:id="20" w:name="_Int_h0pOOL27"/>
      <w:r w:rsidRPr="00E34227">
        <w:rPr>
          <w:rFonts w:ascii="Times New Roman" w:eastAsia="Times New Roman" w:hAnsi="Times New Roman" w:cs="Times New Roman"/>
          <w:sz w:val="24"/>
          <w:szCs w:val="24"/>
        </w:rPr>
        <w:t>organization</w:t>
      </w:r>
      <w:bookmarkEnd w:id="20"/>
      <w:r w:rsidRPr="00E34227">
        <w:rPr>
          <w:rFonts w:ascii="Times New Roman" w:eastAsia="Times New Roman" w:hAnsi="Times New Roman" w:cs="Times New Roman"/>
          <w:sz w:val="24"/>
          <w:szCs w:val="24"/>
        </w:rPr>
        <w:t xml:space="preserve"> can experience improved project involvement and all the activities than be </w:t>
      </w:r>
      <w:bookmarkStart w:id="21" w:name="_Int_sOUbPjDc"/>
      <w:r w:rsidRPr="00E34227">
        <w:rPr>
          <w:rFonts w:ascii="Times New Roman" w:eastAsia="Times New Roman" w:hAnsi="Times New Roman" w:cs="Times New Roman"/>
          <w:sz w:val="24"/>
          <w:szCs w:val="24"/>
        </w:rPr>
        <w:t>effective</w:t>
      </w:r>
      <w:bookmarkStart w:id="22" w:name="_Int_WdP1kpdW"/>
      <w:bookmarkEnd w:id="21"/>
      <w:r w:rsidRPr="00E34227">
        <w:rPr>
          <w:rFonts w:ascii="Times New Roman" w:eastAsia="Times New Roman" w:hAnsi="Times New Roman" w:cs="Times New Roman"/>
          <w:sz w:val="24"/>
          <w:szCs w:val="24"/>
        </w:rPr>
        <w:t xml:space="preserve">. </w:t>
      </w:r>
      <w:bookmarkStart w:id="23" w:name="_Int_vOpGAEBb"/>
      <w:bookmarkEnd w:id="22"/>
      <w:r w:rsidRPr="00E34227">
        <w:rPr>
          <w:rFonts w:ascii="Times New Roman" w:eastAsia="Times New Roman" w:hAnsi="Times New Roman" w:cs="Times New Roman"/>
          <w:sz w:val="24"/>
          <w:szCs w:val="24"/>
        </w:rPr>
        <w:t>Therefore,</w:t>
      </w:r>
      <w:bookmarkEnd w:id="23"/>
      <w:r w:rsidRPr="00E34227">
        <w:rPr>
          <w:rFonts w:ascii="Times New Roman" w:eastAsia="Times New Roman" w:hAnsi="Times New Roman" w:cs="Times New Roman"/>
          <w:sz w:val="24"/>
          <w:szCs w:val="24"/>
        </w:rPr>
        <w:t xml:space="preserve"> through </w:t>
      </w:r>
      <w:bookmarkStart w:id="24" w:name="_Int_mdRtSk7z"/>
      <w:r w:rsidRPr="00E34227">
        <w:rPr>
          <w:rFonts w:ascii="Times New Roman" w:eastAsia="Times New Roman" w:hAnsi="Times New Roman" w:cs="Times New Roman"/>
          <w:sz w:val="24"/>
          <w:szCs w:val="24"/>
        </w:rPr>
        <w:t>this</w:t>
      </w:r>
      <w:bookmarkStart w:id="25" w:name="_Int_9IRYdA2U"/>
      <w:bookmarkEnd w:id="24"/>
      <w:r w:rsidR="007703A9" w:rsidRPr="00E34227">
        <w:rPr>
          <w:rFonts w:ascii="Times New Roman" w:eastAsia="Times New Roman" w:hAnsi="Times New Roman" w:cs="Times New Roman"/>
          <w:sz w:val="24"/>
          <w:szCs w:val="24"/>
        </w:rPr>
        <w:t xml:space="preserve"> </w:t>
      </w:r>
      <w:r w:rsidRPr="00E34227">
        <w:rPr>
          <w:rFonts w:ascii="Times New Roman" w:eastAsia="Times New Roman" w:hAnsi="Times New Roman" w:cs="Times New Roman"/>
          <w:sz w:val="24"/>
          <w:szCs w:val="24"/>
        </w:rPr>
        <w:t>essay</w:t>
      </w:r>
      <w:bookmarkEnd w:id="25"/>
      <w:r w:rsidRPr="00E34227">
        <w:rPr>
          <w:rFonts w:ascii="Times New Roman" w:eastAsia="Times New Roman" w:hAnsi="Times New Roman" w:cs="Times New Roman"/>
          <w:sz w:val="24"/>
          <w:szCs w:val="24"/>
        </w:rPr>
        <w:t xml:space="preserve"> it is </w:t>
      </w:r>
      <w:bookmarkStart w:id="26" w:name="_Int_UnmwcbUX"/>
      <w:r w:rsidRPr="00E34227">
        <w:rPr>
          <w:rFonts w:ascii="Times New Roman" w:eastAsia="Times New Roman" w:hAnsi="Times New Roman" w:cs="Times New Roman"/>
          <w:sz w:val="24"/>
          <w:szCs w:val="24"/>
        </w:rPr>
        <w:t>important</w:t>
      </w:r>
      <w:bookmarkEnd w:id="26"/>
      <w:r w:rsidRPr="00E34227">
        <w:rPr>
          <w:rFonts w:ascii="Times New Roman" w:eastAsia="Times New Roman" w:hAnsi="Times New Roman" w:cs="Times New Roman"/>
          <w:sz w:val="24"/>
          <w:szCs w:val="24"/>
        </w:rPr>
        <w:t xml:space="preserve"> to involve stakeholders in any project. In light of this, it is simple to comment that, </w:t>
      </w:r>
      <w:bookmarkStart w:id="27" w:name="_Int_3g5D6uUr"/>
      <w:r w:rsidRPr="00E34227">
        <w:rPr>
          <w:rFonts w:ascii="Times New Roman" w:eastAsia="Times New Roman" w:hAnsi="Times New Roman" w:cs="Times New Roman"/>
          <w:sz w:val="24"/>
          <w:szCs w:val="24"/>
        </w:rPr>
        <w:t>although</w:t>
      </w:r>
      <w:bookmarkEnd w:id="27"/>
      <w:r w:rsidRPr="00E34227">
        <w:rPr>
          <w:rFonts w:ascii="Times New Roman" w:eastAsia="Times New Roman" w:hAnsi="Times New Roman" w:cs="Times New Roman"/>
          <w:sz w:val="24"/>
          <w:szCs w:val="24"/>
        </w:rPr>
        <w:t xml:space="preserve"> engagement may be harder to accomplish and may demand more time and money, it will result in a greater dedication to the initiative. Stakeholders are much more likely to support an initiative if they are given a voice and are included in the process.</w:t>
      </w:r>
    </w:p>
    <w:p w14:paraId="3C467F77" w14:textId="77777777" w:rsidR="13ED293F" w:rsidRPr="00E34227" w:rsidRDefault="13ED293F" w:rsidP="00E34227">
      <w:pPr>
        <w:spacing w:after="0" w:line="360" w:lineRule="auto"/>
        <w:contextualSpacing/>
        <w:rPr>
          <w:rFonts w:ascii="Times New Roman" w:eastAsia="Times New Roman" w:hAnsi="Times New Roman" w:cs="Times New Roman"/>
          <w:sz w:val="24"/>
          <w:szCs w:val="24"/>
        </w:rPr>
      </w:pPr>
    </w:p>
    <w:p w14:paraId="7794D5AA" w14:textId="77777777" w:rsidR="13ED293F" w:rsidRPr="00E34227" w:rsidRDefault="13ED293F" w:rsidP="00E34227">
      <w:pPr>
        <w:spacing w:after="0" w:line="360" w:lineRule="auto"/>
        <w:contextualSpacing/>
        <w:rPr>
          <w:rFonts w:ascii="Times New Roman" w:eastAsia="Times New Roman" w:hAnsi="Times New Roman" w:cs="Times New Roman"/>
          <w:sz w:val="24"/>
          <w:szCs w:val="24"/>
        </w:rPr>
      </w:pPr>
    </w:p>
    <w:p w14:paraId="23D5C801" w14:textId="77777777" w:rsidR="13ED293F" w:rsidRPr="00E34227" w:rsidRDefault="13ED293F" w:rsidP="00E34227">
      <w:pPr>
        <w:spacing w:after="0" w:line="360" w:lineRule="auto"/>
        <w:contextualSpacing/>
        <w:rPr>
          <w:rFonts w:ascii="Times New Roman" w:hAnsi="Times New Roman" w:cs="Times New Roman"/>
          <w:sz w:val="24"/>
          <w:szCs w:val="24"/>
        </w:rPr>
      </w:pPr>
      <w:r w:rsidRPr="00E34227">
        <w:rPr>
          <w:rFonts w:ascii="Times New Roman" w:hAnsi="Times New Roman" w:cs="Times New Roman"/>
          <w:sz w:val="24"/>
          <w:szCs w:val="24"/>
        </w:rPr>
        <w:br w:type="page"/>
      </w:r>
    </w:p>
    <w:p w14:paraId="5B66A1E8" w14:textId="77777777" w:rsidR="00E34227" w:rsidRPr="00E34227" w:rsidRDefault="13ED293F" w:rsidP="00325C48">
      <w:pPr>
        <w:pStyle w:val="Heading1"/>
        <w:spacing w:before="0" w:line="240" w:lineRule="auto"/>
        <w:rPr>
          <w:rFonts w:ascii="Times New Roman" w:hAnsi="Times New Roman" w:cs="Times New Roman"/>
          <w:b/>
          <w:color w:val="auto"/>
          <w:sz w:val="24"/>
          <w:szCs w:val="24"/>
        </w:rPr>
      </w:pPr>
      <w:bookmarkStart w:id="28" w:name="_Toc120897635"/>
      <w:r w:rsidRPr="00E34227">
        <w:rPr>
          <w:rFonts w:ascii="Times New Roman" w:hAnsi="Times New Roman" w:cs="Times New Roman"/>
          <w:b/>
          <w:color w:val="auto"/>
          <w:sz w:val="24"/>
          <w:szCs w:val="24"/>
        </w:rPr>
        <w:t>References</w:t>
      </w:r>
      <w:bookmarkEnd w:id="28"/>
      <w:r w:rsidRPr="00E34227">
        <w:rPr>
          <w:rFonts w:ascii="Times New Roman" w:hAnsi="Times New Roman" w:cs="Times New Roman"/>
          <w:b/>
          <w:color w:val="auto"/>
          <w:sz w:val="24"/>
          <w:szCs w:val="24"/>
        </w:rPr>
        <w:t xml:space="preserve"> </w:t>
      </w:r>
    </w:p>
    <w:p w14:paraId="0B5E2F6E" w14:textId="77777777" w:rsidR="00E34227" w:rsidRPr="00E34227" w:rsidRDefault="00E34227" w:rsidP="00E34227">
      <w:pPr>
        <w:spacing w:line="360" w:lineRule="auto"/>
        <w:ind w:left="720" w:hanging="720"/>
        <w:contextualSpacing/>
        <w:rPr>
          <w:rFonts w:ascii="Times New Roman" w:hAnsi="Times New Roman" w:cs="Times New Roman"/>
          <w:sz w:val="24"/>
          <w:szCs w:val="24"/>
        </w:rPr>
      </w:pPr>
      <w:r w:rsidRPr="00E34227">
        <w:rPr>
          <w:rFonts w:ascii="Times New Roman" w:hAnsi="Times New Roman" w:cs="Times New Roman"/>
          <w:sz w:val="24"/>
          <w:szCs w:val="24"/>
        </w:rPr>
        <w:t>ACAPS. (2019). </w:t>
      </w:r>
      <w:r w:rsidRPr="00E34227">
        <w:rPr>
          <w:rFonts w:ascii="Times New Roman" w:hAnsi="Times New Roman" w:cs="Times New Roman"/>
          <w:i/>
          <w:iCs/>
          <w:sz w:val="24"/>
          <w:szCs w:val="24"/>
        </w:rPr>
        <w:t>Forward-Looking</w:t>
      </w:r>
      <w:r w:rsidRPr="00E34227">
        <w:rPr>
          <w:rFonts w:ascii="Times New Roman" w:hAnsi="Times New Roman" w:cs="Times New Roman"/>
          <w:sz w:val="24"/>
          <w:szCs w:val="24"/>
        </w:rPr>
        <w:t>. [online] Available at: https://www.acaps.org/methodology/forward-looking.</w:t>
      </w:r>
    </w:p>
    <w:p w14:paraId="374E42E3" w14:textId="77777777" w:rsidR="00E34227" w:rsidRPr="00E34227" w:rsidRDefault="00E34227" w:rsidP="00E34227">
      <w:pPr>
        <w:spacing w:after="0" w:line="360" w:lineRule="auto"/>
        <w:ind w:left="720" w:hanging="720"/>
        <w:contextualSpacing/>
        <w:rPr>
          <w:rFonts w:ascii="Times New Roman" w:hAnsi="Times New Roman" w:cs="Times New Roman"/>
          <w:sz w:val="24"/>
          <w:szCs w:val="24"/>
        </w:rPr>
      </w:pPr>
      <w:r w:rsidRPr="00E34227">
        <w:rPr>
          <w:rFonts w:ascii="Times New Roman" w:eastAsia="Calibri" w:hAnsi="Times New Roman" w:cs="Times New Roman"/>
          <w:sz w:val="24"/>
          <w:szCs w:val="24"/>
        </w:rPr>
        <w:t xml:space="preserve">‌CTSA Community Engagement Key Function Committee Task Force (2011). </w:t>
      </w:r>
      <w:r w:rsidRPr="00E34227">
        <w:rPr>
          <w:rFonts w:ascii="Times New Roman" w:eastAsia="Calibri" w:hAnsi="Times New Roman" w:cs="Times New Roman"/>
          <w:iCs/>
          <w:sz w:val="24"/>
          <w:szCs w:val="24"/>
        </w:rPr>
        <w:t>PR I NC I PL E S OF COMMUNITY ENGAGEMENT Community Engagement Key Function Committee Task Force on the Principles of Community Engagement</w:t>
      </w:r>
      <w:r w:rsidRPr="00E34227">
        <w:rPr>
          <w:rFonts w:ascii="Times New Roman" w:eastAsia="Calibri" w:hAnsi="Times New Roman" w:cs="Times New Roman"/>
          <w:sz w:val="24"/>
          <w:szCs w:val="24"/>
        </w:rPr>
        <w:t xml:space="preserve">. [online] Available at: </w:t>
      </w:r>
      <w:hyperlink r:id="rId9">
        <w:r w:rsidRPr="00E34227">
          <w:rPr>
            <w:rStyle w:val="Hyperlink"/>
            <w:rFonts w:ascii="Times New Roman" w:eastAsia="Calibri" w:hAnsi="Times New Roman" w:cs="Times New Roman"/>
            <w:color w:val="auto"/>
            <w:sz w:val="24"/>
            <w:szCs w:val="24"/>
          </w:rPr>
          <w:t>https://www.atsdr.cdc.gov/communityengagement/pdf/PCE_Report_508_FINAL.pdf</w:t>
        </w:r>
      </w:hyperlink>
      <w:r w:rsidRPr="00E34227">
        <w:rPr>
          <w:rFonts w:ascii="Times New Roman" w:eastAsia="Calibri" w:hAnsi="Times New Roman" w:cs="Times New Roman"/>
          <w:sz w:val="24"/>
          <w:szCs w:val="24"/>
        </w:rPr>
        <w:t>.</w:t>
      </w:r>
    </w:p>
    <w:p w14:paraId="5068D395" w14:textId="77777777" w:rsidR="00E34227" w:rsidRPr="00E34227" w:rsidRDefault="00E34227" w:rsidP="00E34227">
      <w:pPr>
        <w:spacing w:after="0" w:line="360" w:lineRule="auto"/>
        <w:ind w:left="720" w:hanging="720"/>
        <w:contextualSpacing/>
        <w:rPr>
          <w:rFonts w:ascii="Times New Roman" w:hAnsi="Times New Roman" w:cs="Times New Roman"/>
          <w:sz w:val="24"/>
          <w:szCs w:val="24"/>
        </w:rPr>
      </w:pPr>
      <w:r w:rsidRPr="00E34227">
        <w:rPr>
          <w:rFonts w:ascii="Times New Roman" w:eastAsia="Calibri" w:hAnsi="Times New Roman" w:cs="Times New Roman"/>
          <w:sz w:val="24"/>
          <w:szCs w:val="24"/>
        </w:rPr>
        <w:t xml:space="preserve">De </w:t>
      </w:r>
      <w:proofErr w:type="spellStart"/>
      <w:r w:rsidRPr="00E34227">
        <w:rPr>
          <w:rFonts w:ascii="Times New Roman" w:eastAsia="Calibri" w:hAnsi="Times New Roman" w:cs="Times New Roman"/>
          <w:sz w:val="24"/>
          <w:szCs w:val="24"/>
        </w:rPr>
        <w:t>Weger</w:t>
      </w:r>
      <w:proofErr w:type="spellEnd"/>
      <w:r w:rsidRPr="00E34227">
        <w:rPr>
          <w:rFonts w:ascii="Times New Roman" w:eastAsia="Calibri" w:hAnsi="Times New Roman" w:cs="Times New Roman"/>
          <w:sz w:val="24"/>
          <w:szCs w:val="24"/>
        </w:rPr>
        <w:t xml:space="preserve">, E., Van </w:t>
      </w:r>
      <w:proofErr w:type="spellStart"/>
      <w:r w:rsidRPr="00E34227">
        <w:rPr>
          <w:rFonts w:ascii="Times New Roman" w:eastAsia="Calibri" w:hAnsi="Times New Roman" w:cs="Times New Roman"/>
          <w:sz w:val="24"/>
          <w:szCs w:val="24"/>
        </w:rPr>
        <w:t>Vooren</w:t>
      </w:r>
      <w:proofErr w:type="spellEnd"/>
      <w:r w:rsidRPr="00E34227">
        <w:rPr>
          <w:rFonts w:ascii="Times New Roman" w:eastAsia="Calibri" w:hAnsi="Times New Roman" w:cs="Times New Roman"/>
          <w:sz w:val="24"/>
          <w:szCs w:val="24"/>
        </w:rPr>
        <w:t xml:space="preserve">, N., </w:t>
      </w:r>
      <w:proofErr w:type="spellStart"/>
      <w:r w:rsidRPr="00E34227">
        <w:rPr>
          <w:rFonts w:ascii="Times New Roman" w:eastAsia="Calibri" w:hAnsi="Times New Roman" w:cs="Times New Roman"/>
          <w:sz w:val="24"/>
          <w:szCs w:val="24"/>
        </w:rPr>
        <w:t>Luijkx</w:t>
      </w:r>
      <w:proofErr w:type="spellEnd"/>
      <w:r w:rsidRPr="00E34227">
        <w:rPr>
          <w:rFonts w:ascii="Times New Roman" w:eastAsia="Calibri" w:hAnsi="Times New Roman" w:cs="Times New Roman"/>
          <w:sz w:val="24"/>
          <w:szCs w:val="24"/>
        </w:rPr>
        <w:t xml:space="preserve">, K. G., Baan, C. A., &amp; Drewes, H. W. (2018). Achieving successful community engagement: a rapid realist review. </w:t>
      </w:r>
      <w:r w:rsidRPr="00E34227">
        <w:rPr>
          <w:rFonts w:ascii="Times New Roman" w:eastAsia="Calibri" w:hAnsi="Times New Roman" w:cs="Times New Roman"/>
          <w:iCs/>
          <w:sz w:val="24"/>
          <w:szCs w:val="24"/>
        </w:rPr>
        <w:t>BMC health services research</w:t>
      </w:r>
      <w:r w:rsidRPr="00E34227">
        <w:rPr>
          <w:rFonts w:ascii="Times New Roman" w:eastAsia="Calibri" w:hAnsi="Times New Roman" w:cs="Times New Roman"/>
          <w:sz w:val="24"/>
          <w:szCs w:val="24"/>
        </w:rPr>
        <w:t xml:space="preserve">, </w:t>
      </w:r>
      <w:r w:rsidRPr="00E34227">
        <w:rPr>
          <w:rFonts w:ascii="Times New Roman" w:eastAsia="Calibri" w:hAnsi="Times New Roman" w:cs="Times New Roman"/>
          <w:iCs/>
          <w:sz w:val="24"/>
          <w:szCs w:val="24"/>
        </w:rPr>
        <w:t>18</w:t>
      </w:r>
      <w:r w:rsidRPr="00E34227">
        <w:rPr>
          <w:rFonts w:ascii="Times New Roman" w:eastAsia="Calibri" w:hAnsi="Times New Roman" w:cs="Times New Roman"/>
          <w:sz w:val="24"/>
          <w:szCs w:val="24"/>
        </w:rPr>
        <w:t>(1), 1-18.</w:t>
      </w:r>
    </w:p>
    <w:p w14:paraId="6089E227" w14:textId="77777777" w:rsidR="00E34227" w:rsidRPr="00E34227" w:rsidRDefault="00E34227" w:rsidP="00E34227">
      <w:pPr>
        <w:spacing w:after="0" w:line="360" w:lineRule="auto"/>
        <w:ind w:left="720" w:hanging="720"/>
        <w:contextualSpacing/>
        <w:rPr>
          <w:rFonts w:ascii="Times New Roman" w:hAnsi="Times New Roman" w:cs="Times New Roman"/>
          <w:sz w:val="24"/>
          <w:szCs w:val="24"/>
        </w:rPr>
      </w:pPr>
      <w:r w:rsidRPr="00E34227">
        <w:rPr>
          <w:rFonts w:ascii="Times New Roman" w:eastAsia="Calibri" w:hAnsi="Times New Roman" w:cs="Times New Roman"/>
          <w:sz w:val="24"/>
          <w:szCs w:val="24"/>
        </w:rPr>
        <w:t xml:space="preserve">Frick, J.C. (2019). </w:t>
      </w:r>
      <w:r w:rsidRPr="00E34227">
        <w:rPr>
          <w:rFonts w:ascii="Times New Roman" w:eastAsia="Calibri" w:hAnsi="Times New Roman" w:cs="Times New Roman"/>
          <w:iCs/>
          <w:sz w:val="24"/>
          <w:szCs w:val="24"/>
        </w:rPr>
        <w:t>Six Benefits of Stakeholder Engagement</w:t>
      </w:r>
      <w:r w:rsidRPr="00E34227">
        <w:rPr>
          <w:rFonts w:ascii="Times New Roman" w:eastAsia="Calibri" w:hAnsi="Times New Roman" w:cs="Times New Roman"/>
          <w:sz w:val="24"/>
          <w:szCs w:val="24"/>
        </w:rPr>
        <w:t xml:space="preserve">. [online] NP Strategy | A Public Relations Firm. Available at: </w:t>
      </w:r>
      <w:hyperlink r:id="rId10">
        <w:r w:rsidRPr="00E34227">
          <w:rPr>
            <w:rStyle w:val="Hyperlink"/>
            <w:rFonts w:ascii="Times New Roman" w:eastAsia="Calibri" w:hAnsi="Times New Roman" w:cs="Times New Roman"/>
            <w:color w:val="auto"/>
            <w:sz w:val="24"/>
            <w:szCs w:val="24"/>
          </w:rPr>
          <w:t>https://www.npstrategy.com/highlights/six-benefits-of-stakeholder-engagement/</w:t>
        </w:r>
      </w:hyperlink>
      <w:r w:rsidRPr="00E34227">
        <w:rPr>
          <w:rFonts w:ascii="Times New Roman" w:eastAsia="Calibri" w:hAnsi="Times New Roman" w:cs="Times New Roman"/>
          <w:sz w:val="24"/>
          <w:szCs w:val="24"/>
        </w:rPr>
        <w:t>.</w:t>
      </w:r>
    </w:p>
    <w:p w14:paraId="24B5E902" w14:textId="77777777" w:rsidR="00E34227" w:rsidRPr="00E34227" w:rsidRDefault="00E34227" w:rsidP="00E34227">
      <w:pPr>
        <w:spacing w:after="0" w:line="360" w:lineRule="auto"/>
        <w:ind w:left="720" w:hanging="720"/>
        <w:contextualSpacing/>
        <w:rPr>
          <w:rFonts w:ascii="Times New Roman" w:hAnsi="Times New Roman" w:cs="Times New Roman"/>
          <w:sz w:val="24"/>
          <w:szCs w:val="24"/>
        </w:rPr>
      </w:pPr>
      <w:r w:rsidRPr="00E34227">
        <w:rPr>
          <w:rFonts w:ascii="Times New Roman" w:eastAsia="Calibri" w:hAnsi="Times New Roman" w:cs="Times New Roman"/>
          <w:sz w:val="24"/>
          <w:szCs w:val="24"/>
        </w:rPr>
        <w:t xml:space="preserve">Plummer, R., Smits, A., Witkowski, S., McGlynn, B., Armitage, D., </w:t>
      </w:r>
      <w:proofErr w:type="spellStart"/>
      <w:r w:rsidRPr="00E34227">
        <w:rPr>
          <w:rFonts w:ascii="Times New Roman" w:eastAsia="Calibri" w:hAnsi="Times New Roman" w:cs="Times New Roman"/>
          <w:sz w:val="24"/>
          <w:szCs w:val="24"/>
        </w:rPr>
        <w:t>Muhl</w:t>
      </w:r>
      <w:proofErr w:type="spellEnd"/>
      <w:r w:rsidRPr="00E34227">
        <w:rPr>
          <w:rFonts w:ascii="Times New Roman" w:eastAsia="Calibri" w:hAnsi="Times New Roman" w:cs="Times New Roman"/>
          <w:sz w:val="24"/>
          <w:szCs w:val="24"/>
        </w:rPr>
        <w:t xml:space="preserve">, E.-K. and Johnston, J. (2022). Key Principles of Community Engagement. </w:t>
      </w:r>
      <w:r w:rsidRPr="00E34227">
        <w:rPr>
          <w:rFonts w:ascii="Times New Roman" w:eastAsia="Calibri" w:hAnsi="Times New Roman" w:cs="Times New Roman"/>
          <w:iCs/>
          <w:sz w:val="24"/>
          <w:szCs w:val="24"/>
        </w:rPr>
        <w:t>ecampusontario.pressbooks.pub</w:t>
      </w:r>
      <w:r w:rsidRPr="00E34227">
        <w:rPr>
          <w:rFonts w:ascii="Times New Roman" w:eastAsia="Calibri" w:hAnsi="Times New Roman" w:cs="Times New Roman"/>
          <w:sz w:val="24"/>
          <w:szCs w:val="24"/>
        </w:rPr>
        <w:t xml:space="preserve">. [online] Available at: </w:t>
      </w:r>
      <w:hyperlink r:id="rId11">
        <w:r w:rsidRPr="00E34227">
          <w:rPr>
            <w:rStyle w:val="Hyperlink"/>
            <w:rFonts w:ascii="Times New Roman" w:eastAsia="Calibri" w:hAnsi="Times New Roman" w:cs="Times New Roman"/>
            <w:color w:val="auto"/>
            <w:sz w:val="24"/>
            <w:szCs w:val="24"/>
          </w:rPr>
          <w:t>https://ecampusontario.pressbooks.pub/bscmodule1/chapter/key-principles-of-community-engagement/</w:t>
        </w:r>
      </w:hyperlink>
      <w:r w:rsidRPr="00E34227">
        <w:rPr>
          <w:rFonts w:ascii="Times New Roman" w:eastAsia="Calibri" w:hAnsi="Times New Roman" w:cs="Times New Roman"/>
          <w:sz w:val="24"/>
          <w:szCs w:val="24"/>
        </w:rPr>
        <w:t xml:space="preserve"> [Accessed 8 Nov. 2022].</w:t>
      </w:r>
    </w:p>
    <w:p w14:paraId="71B8A859" w14:textId="77777777" w:rsidR="00E34227" w:rsidRPr="00E34227" w:rsidRDefault="00E34227" w:rsidP="00E34227">
      <w:pPr>
        <w:spacing w:after="0" w:line="360" w:lineRule="auto"/>
        <w:ind w:left="720" w:hanging="720"/>
        <w:contextualSpacing/>
        <w:rPr>
          <w:rFonts w:ascii="Times New Roman" w:hAnsi="Times New Roman" w:cs="Times New Roman"/>
          <w:sz w:val="24"/>
          <w:szCs w:val="24"/>
        </w:rPr>
      </w:pPr>
      <w:proofErr w:type="spellStart"/>
      <w:r w:rsidRPr="00E34227">
        <w:rPr>
          <w:rFonts w:ascii="Times New Roman" w:eastAsia="Calibri" w:hAnsi="Times New Roman" w:cs="Times New Roman"/>
          <w:sz w:val="24"/>
          <w:szCs w:val="24"/>
        </w:rPr>
        <w:t>Siles</w:t>
      </w:r>
      <w:proofErr w:type="spellEnd"/>
      <w:r w:rsidRPr="00E34227">
        <w:rPr>
          <w:rFonts w:ascii="Times New Roman" w:eastAsia="Calibri" w:hAnsi="Times New Roman" w:cs="Times New Roman"/>
          <w:sz w:val="24"/>
          <w:szCs w:val="24"/>
        </w:rPr>
        <w:t xml:space="preserve">, R. (2018). </w:t>
      </w:r>
      <w:r w:rsidRPr="00E34227">
        <w:rPr>
          <w:rFonts w:ascii="Times New Roman" w:eastAsia="Calibri" w:hAnsi="Times New Roman" w:cs="Times New Roman"/>
          <w:iCs/>
          <w:sz w:val="24"/>
          <w:szCs w:val="24"/>
        </w:rPr>
        <w:t>Benefits of Stakeholder Participation</w:t>
      </w:r>
      <w:r w:rsidRPr="00E34227">
        <w:rPr>
          <w:rFonts w:ascii="Times New Roman" w:eastAsia="Calibri" w:hAnsi="Times New Roman" w:cs="Times New Roman"/>
          <w:sz w:val="24"/>
          <w:szCs w:val="24"/>
        </w:rPr>
        <w:t xml:space="preserve">. [online] Pm4dev.com. Available at: </w:t>
      </w:r>
      <w:hyperlink r:id="rId12">
        <w:r w:rsidRPr="00E34227">
          <w:rPr>
            <w:rStyle w:val="Hyperlink"/>
            <w:rFonts w:ascii="Times New Roman" w:eastAsia="Calibri" w:hAnsi="Times New Roman" w:cs="Times New Roman"/>
            <w:color w:val="auto"/>
            <w:sz w:val="24"/>
            <w:szCs w:val="24"/>
          </w:rPr>
          <w:t>https://www.pm4dev.com/pm4dev-blog/entry/benefits-of-stakeholder-participation.html</w:t>
        </w:r>
      </w:hyperlink>
      <w:r w:rsidRPr="00E34227">
        <w:rPr>
          <w:rFonts w:ascii="Times New Roman" w:eastAsia="Calibri" w:hAnsi="Times New Roman" w:cs="Times New Roman"/>
          <w:sz w:val="24"/>
          <w:szCs w:val="24"/>
        </w:rPr>
        <w:t>.</w:t>
      </w:r>
    </w:p>
    <w:p w14:paraId="541F4821" w14:textId="77777777" w:rsidR="00E34227" w:rsidRPr="00E34227" w:rsidRDefault="00E34227" w:rsidP="00E34227">
      <w:pPr>
        <w:spacing w:after="0" w:line="360" w:lineRule="auto"/>
        <w:ind w:left="720" w:hanging="720"/>
        <w:contextualSpacing/>
        <w:rPr>
          <w:rFonts w:ascii="Times New Roman" w:hAnsi="Times New Roman" w:cs="Times New Roman"/>
          <w:sz w:val="24"/>
          <w:szCs w:val="24"/>
        </w:rPr>
      </w:pPr>
      <w:proofErr w:type="spellStart"/>
      <w:r w:rsidRPr="00E34227">
        <w:rPr>
          <w:rFonts w:ascii="Times New Roman" w:eastAsia="Calibri" w:hAnsi="Times New Roman" w:cs="Times New Roman"/>
          <w:sz w:val="24"/>
          <w:szCs w:val="24"/>
        </w:rPr>
        <w:t>Smilde</w:t>
      </w:r>
      <w:proofErr w:type="spellEnd"/>
      <w:r w:rsidRPr="00E34227">
        <w:rPr>
          <w:rFonts w:ascii="Times New Roman" w:eastAsia="Calibri" w:hAnsi="Times New Roman" w:cs="Times New Roman"/>
          <w:sz w:val="24"/>
          <w:szCs w:val="24"/>
        </w:rPr>
        <w:t>, R. (2018). Community engagement and lifelong learning.</w:t>
      </w:r>
    </w:p>
    <w:p w14:paraId="4F1F061C" w14:textId="77777777" w:rsidR="00E34227" w:rsidRPr="00E34227" w:rsidRDefault="00E34227" w:rsidP="00E34227">
      <w:pPr>
        <w:spacing w:after="0" w:line="360" w:lineRule="auto"/>
        <w:ind w:left="720" w:hanging="720"/>
        <w:contextualSpacing/>
        <w:rPr>
          <w:rFonts w:ascii="Times New Roman" w:hAnsi="Times New Roman" w:cs="Times New Roman"/>
          <w:sz w:val="24"/>
          <w:szCs w:val="24"/>
        </w:rPr>
      </w:pPr>
      <w:r w:rsidRPr="00E34227">
        <w:rPr>
          <w:rFonts w:ascii="Times New Roman" w:eastAsia="Calibri" w:hAnsi="Times New Roman" w:cs="Times New Roman"/>
          <w:sz w:val="24"/>
          <w:szCs w:val="24"/>
        </w:rPr>
        <w:t xml:space="preserve">Taysom, S. (2019). </w:t>
      </w:r>
      <w:r w:rsidRPr="00E34227">
        <w:rPr>
          <w:rFonts w:ascii="Times New Roman" w:eastAsia="Calibri" w:hAnsi="Times New Roman" w:cs="Times New Roman"/>
          <w:iCs/>
          <w:sz w:val="24"/>
          <w:szCs w:val="24"/>
        </w:rPr>
        <w:t>7 Benefits of Stakeholder Engagement -</w:t>
      </w:r>
      <w:r w:rsidRPr="00E34227">
        <w:rPr>
          <w:rFonts w:ascii="Times New Roman" w:eastAsia="Calibri" w:hAnsi="Times New Roman" w:cs="Times New Roman"/>
          <w:sz w:val="24"/>
          <w:szCs w:val="24"/>
        </w:rPr>
        <w:t xml:space="preserve">. [online] Keyahconsulting.com. Available at: </w:t>
      </w:r>
      <w:hyperlink r:id="rId13">
        <w:r w:rsidRPr="00E34227">
          <w:rPr>
            <w:rStyle w:val="Hyperlink"/>
            <w:rFonts w:ascii="Times New Roman" w:eastAsia="Calibri" w:hAnsi="Times New Roman" w:cs="Times New Roman"/>
            <w:color w:val="auto"/>
            <w:sz w:val="24"/>
            <w:szCs w:val="24"/>
          </w:rPr>
          <w:t>https://keyahconsulting.com/7-benefits-stakeholder-engagement/</w:t>
        </w:r>
      </w:hyperlink>
      <w:r w:rsidRPr="00E34227">
        <w:rPr>
          <w:rFonts w:ascii="Times New Roman" w:eastAsia="Calibri" w:hAnsi="Times New Roman" w:cs="Times New Roman"/>
          <w:sz w:val="24"/>
          <w:szCs w:val="24"/>
        </w:rPr>
        <w:t>.</w:t>
      </w:r>
    </w:p>
    <w:p w14:paraId="743A3E21" w14:textId="77777777" w:rsidR="00E34227" w:rsidRPr="00E34227" w:rsidRDefault="00E34227" w:rsidP="00E34227">
      <w:pPr>
        <w:spacing w:line="360" w:lineRule="auto"/>
        <w:ind w:left="720" w:hanging="720"/>
        <w:contextualSpacing/>
        <w:rPr>
          <w:rFonts w:ascii="Times New Roman" w:hAnsi="Times New Roman" w:cs="Times New Roman"/>
          <w:sz w:val="24"/>
          <w:szCs w:val="24"/>
          <w:shd w:val="clear" w:color="auto" w:fill="FFFFFF"/>
        </w:rPr>
      </w:pPr>
      <w:r w:rsidRPr="00E34227">
        <w:rPr>
          <w:rFonts w:ascii="Times New Roman" w:hAnsi="Times New Roman" w:cs="Times New Roman"/>
          <w:sz w:val="24"/>
          <w:szCs w:val="24"/>
          <w:shd w:val="clear" w:color="auto" w:fill="FFFFFF"/>
        </w:rPr>
        <w:t xml:space="preserve">Volkov, B. B., </w:t>
      </w:r>
      <w:proofErr w:type="spellStart"/>
      <w:r w:rsidRPr="00E34227">
        <w:rPr>
          <w:rFonts w:ascii="Times New Roman" w:hAnsi="Times New Roman" w:cs="Times New Roman"/>
          <w:sz w:val="24"/>
          <w:szCs w:val="24"/>
          <w:shd w:val="clear" w:color="auto" w:fill="FFFFFF"/>
        </w:rPr>
        <w:t>Hoyo</w:t>
      </w:r>
      <w:proofErr w:type="spellEnd"/>
      <w:r w:rsidRPr="00E34227">
        <w:rPr>
          <w:rFonts w:ascii="Times New Roman" w:hAnsi="Times New Roman" w:cs="Times New Roman"/>
          <w:sz w:val="24"/>
          <w:szCs w:val="24"/>
          <w:shd w:val="clear" w:color="auto" w:fill="FFFFFF"/>
        </w:rPr>
        <w:t>, V., &amp; Hunt, J. (2022). Engaging Community in the Translational Process: Environmental Scan of Adaptive Capacity and Preparedness of Clinical and Translational Science Award Program Hubs. </w:t>
      </w:r>
      <w:r w:rsidRPr="00E34227">
        <w:rPr>
          <w:rFonts w:ascii="Times New Roman" w:hAnsi="Times New Roman" w:cs="Times New Roman"/>
          <w:i/>
          <w:iCs/>
          <w:sz w:val="24"/>
          <w:szCs w:val="24"/>
          <w:shd w:val="clear" w:color="auto" w:fill="FFFFFF"/>
        </w:rPr>
        <w:t>Journal of Clinical and Translational Science</w:t>
      </w:r>
      <w:r w:rsidRPr="00E34227">
        <w:rPr>
          <w:rFonts w:ascii="Times New Roman" w:hAnsi="Times New Roman" w:cs="Times New Roman"/>
          <w:sz w:val="24"/>
          <w:szCs w:val="24"/>
          <w:shd w:val="clear" w:color="auto" w:fill="FFFFFF"/>
        </w:rPr>
        <w:t>, 1-26.</w:t>
      </w:r>
    </w:p>
    <w:p w14:paraId="796E6FA5" w14:textId="77777777" w:rsidR="13ED293F" w:rsidRPr="00E34227" w:rsidRDefault="13ED293F" w:rsidP="00E34227">
      <w:pPr>
        <w:spacing w:after="0" w:line="360" w:lineRule="auto"/>
        <w:ind w:left="720"/>
        <w:contextualSpacing/>
        <w:rPr>
          <w:rFonts w:ascii="Times New Roman" w:eastAsia="Calibri" w:hAnsi="Times New Roman" w:cs="Times New Roman"/>
          <w:sz w:val="24"/>
          <w:szCs w:val="24"/>
        </w:rPr>
      </w:pPr>
    </w:p>
    <w:bookmarkEnd w:id="0"/>
    <w:p w14:paraId="1CBE104B" w14:textId="77777777" w:rsidR="13ED293F" w:rsidRPr="00E34227" w:rsidRDefault="13ED293F" w:rsidP="00E34227">
      <w:pPr>
        <w:spacing w:after="0" w:line="360" w:lineRule="auto"/>
        <w:ind w:left="720"/>
        <w:contextualSpacing/>
        <w:rPr>
          <w:rFonts w:ascii="Times New Roman" w:hAnsi="Times New Roman" w:cs="Times New Roman"/>
          <w:sz w:val="24"/>
          <w:szCs w:val="24"/>
        </w:rPr>
      </w:pPr>
    </w:p>
    <w:sectPr w:rsidR="13ED293F" w:rsidRPr="00E34227" w:rsidSect="008F49D0">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CEEEF" w14:textId="77777777" w:rsidR="008A34A0" w:rsidRDefault="008A34A0" w:rsidP="00325C48">
      <w:pPr>
        <w:spacing w:after="0" w:line="240" w:lineRule="auto"/>
      </w:pPr>
      <w:r>
        <w:separator/>
      </w:r>
    </w:p>
  </w:endnote>
  <w:endnote w:type="continuationSeparator" w:id="0">
    <w:p w14:paraId="5C6DAA06" w14:textId="77777777" w:rsidR="008A34A0" w:rsidRDefault="008A34A0" w:rsidP="00325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890447"/>
      <w:docPartObj>
        <w:docPartGallery w:val="Page Numbers (Bottom of Page)"/>
        <w:docPartUnique/>
      </w:docPartObj>
    </w:sdtPr>
    <w:sdtEndPr>
      <w:rPr>
        <w:rFonts w:ascii="Times New Roman" w:hAnsi="Times New Roman" w:cs="Times New Roman"/>
        <w:noProof/>
        <w:sz w:val="24"/>
        <w:szCs w:val="24"/>
      </w:rPr>
    </w:sdtEndPr>
    <w:sdtContent>
      <w:p w14:paraId="7966F6D1" w14:textId="332AB7C9" w:rsidR="00325C48" w:rsidRPr="00325C48" w:rsidRDefault="00325C48">
        <w:pPr>
          <w:pStyle w:val="Footer"/>
          <w:jc w:val="center"/>
          <w:rPr>
            <w:rFonts w:ascii="Times New Roman" w:hAnsi="Times New Roman" w:cs="Times New Roman"/>
            <w:sz w:val="24"/>
            <w:szCs w:val="24"/>
          </w:rPr>
        </w:pPr>
        <w:r w:rsidRPr="00325C48">
          <w:rPr>
            <w:rFonts w:ascii="Times New Roman" w:hAnsi="Times New Roman" w:cs="Times New Roman"/>
            <w:sz w:val="24"/>
            <w:szCs w:val="24"/>
          </w:rPr>
          <w:fldChar w:fldCharType="begin"/>
        </w:r>
        <w:r w:rsidRPr="00325C48">
          <w:rPr>
            <w:rFonts w:ascii="Times New Roman" w:hAnsi="Times New Roman" w:cs="Times New Roman"/>
            <w:sz w:val="24"/>
            <w:szCs w:val="24"/>
          </w:rPr>
          <w:instrText xml:space="preserve"> PAGE   \* MERGEFORMAT </w:instrText>
        </w:r>
        <w:r w:rsidRPr="00325C48">
          <w:rPr>
            <w:rFonts w:ascii="Times New Roman" w:hAnsi="Times New Roman" w:cs="Times New Roman"/>
            <w:sz w:val="24"/>
            <w:szCs w:val="24"/>
          </w:rPr>
          <w:fldChar w:fldCharType="separate"/>
        </w:r>
        <w:r w:rsidRPr="00325C48">
          <w:rPr>
            <w:rFonts w:ascii="Times New Roman" w:hAnsi="Times New Roman" w:cs="Times New Roman"/>
            <w:noProof/>
            <w:sz w:val="24"/>
            <w:szCs w:val="24"/>
          </w:rPr>
          <w:t>2</w:t>
        </w:r>
        <w:r w:rsidRPr="00325C48">
          <w:rPr>
            <w:rFonts w:ascii="Times New Roman" w:hAnsi="Times New Roman" w:cs="Times New Roman"/>
            <w:noProof/>
            <w:sz w:val="24"/>
            <w:szCs w:val="24"/>
          </w:rPr>
          <w:fldChar w:fldCharType="end"/>
        </w:r>
      </w:p>
    </w:sdtContent>
  </w:sdt>
  <w:p w14:paraId="707F1E6B" w14:textId="77777777" w:rsidR="00325C48" w:rsidRDefault="00325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E1955" w14:textId="77777777" w:rsidR="008A34A0" w:rsidRDefault="008A34A0" w:rsidP="00325C48">
      <w:pPr>
        <w:spacing w:after="0" w:line="240" w:lineRule="auto"/>
      </w:pPr>
      <w:r>
        <w:separator/>
      </w:r>
    </w:p>
  </w:footnote>
  <w:footnote w:type="continuationSeparator" w:id="0">
    <w:p w14:paraId="66CA4536" w14:textId="77777777" w:rsidR="008A34A0" w:rsidRDefault="008A34A0" w:rsidP="00325C4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3g5D6uUr" int2:invalidationBookmarkName="" int2:hashCode="r03+AW4etYIldt" int2:id="NVnAFwJc"/>
    <int2:bookmark int2:bookmarkName="_Int_czgFdHly" int2:invalidationBookmarkName="" int2:hashCode="bFUiyor4b8UGm3" int2:id="cDc1yhfT"/>
    <int2:bookmark int2:bookmarkName="_Int_WdP1kpdW" int2:invalidationBookmarkName="" int2:hashCode="RoHRJMxsS3O6q/" int2:id="GEt9xBcb"/>
    <int2:bookmark int2:bookmarkName="_Int_UnmwcbUX" int2:invalidationBookmarkName="" int2:hashCode="JC8V0kiGsNW34S" int2:id="BlTaCwrX"/>
    <int2:bookmark int2:bookmarkName="_Int_9IRYdA2U" int2:invalidationBookmarkName="" int2:hashCode="AEol7kQgEPjKEW" int2:id="ZpdcfWqN"/>
    <int2:bookmark int2:bookmarkName="_Int_mdRtSk7z" int2:invalidationBookmarkName="" int2:hashCode="evijXrDZgD++pD" int2:id="bSKXJzXR"/>
    <int2:bookmark int2:bookmarkName="_Int_vOpGAEBb" int2:invalidationBookmarkName="" int2:hashCode="ASBx1zWSdOGl+8" int2:id="XGkclJV4"/>
    <int2:bookmark int2:bookmarkName="_Int_sOUbPjDc" int2:invalidationBookmarkName="" int2:hashCode="E9qd/z2QSvyiSk" int2:id="8k8Bm3ZX"/>
    <int2:bookmark int2:bookmarkName="_Int_xJBpU94G" int2:invalidationBookmarkName="" int2:hashCode="d4ZX/6k2XVJ7ib" int2:id="k5B3hnuy"/>
    <int2:bookmark int2:bookmarkName="_Int_h0pOOL27" int2:invalidationBookmarkName="" int2:hashCode="m/C6mGJeQTWOW1" int2:id="VWfUiIRv"/>
    <int2:bookmark int2:bookmarkName="_Int_byZnef3K" int2:invalidationBookmarkName="" int2:hashCode="ntrcSew4rCzSHS" int2:id="2r68E2TS"/>
    <int2:bookmark int2:bookmarkName="_Int_UCbEADMV" int2:invalidationBookmarkName="" int2:hashCode="wH/eK2371VY2Xl" int2:id="6P2zPnd4"/>
    <int2:bookmark int2:bookmarkName="_Int_Yc1mTJCY" int2:invalidationBookmarkName="" int2:hashCode="ZnjLLSmMtyQdO1" int2:id="ur6uyYdV"/>
    <int2:bookmark int2:bookmarkName="_Int_A30RcL7P" int2:invalidationBookmarkName="" int2:hashCode="uutgDb5bUKHVe6" int2:id="pNHu2YZG"/>
    <int2:bookmark int2:bookmarkName="_Int_KiVcK1Iv" int2:invalidationBookmarkName="" int2:hashCode="wtKSqYmrO8qHMS" int2:id="6wQKphkr"/>
    <int2:bookmark int2:bookmarkName="_Int_auGg7TU9" int2:invalidationBookmarkName="" int2:hashCode="Uoy5pCvRmnrYWa" int2:id="GJf06LJy"/>
    <int2:bookmark int2:bookmarkName="_Int_GZf1j0zJ" int2:invalidationBookmarkName="" int2:hashCode="FNXE7e0tiZUNpA" int2:id="wTJLL0dy"/>
    <int2:bookmark int2:bookmarkName="_Int_moZTomYY" int2:invalidationBookmarkName="" int2:hashCode="g2ZPgxBilLeSST" int2:id="ft7LxV5A"/>
    <int2:bookmark int2:bookmarkName="_Int_ImwpUUxn" int2:invalidationBookmarkName="" int2:hashCode="HtVGnuBWpkcFyU" int2:id="hs6auJMk"/>
    <int2:bookmark int2:bookmarkName="_Int_p1KL4icC" int2:invalidationBookmarkName="" int2:hashCode="FKnXZkWNbB+ryj" int2:id="2NFmwnD1"/>
    <int2:bookmark int2:bookmarkName="_Int_Lw2jEOU3" int2:invalidationBookmarkName="" int2:hashCode="3okVTZbF1cWope" int2:id="jhHkVqsh"/>
    <int2:bookmark int2:bookmarkName="_Int_oyTnOzEk" int2:invalidationBookmarkName="" int2:hashCode="9vNuwSXy+JWl7y" int2:id="qpaxft3i"/>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A4C0B"/>
    <w:multiLevelType w:val="hybridMultilevel"/>
    <w:tmpl w:val="F3162768"/>
    <w:lvl w:ilvl="0" w:tplc="090EA682">
      <w:start w:val="1"/>
      <w:numFmt w:val="decimal"/>
      <w:lvlText w:val="%1."/>
      <w:lvlJc w:val="left"/>
      <w:pPr>
        <w:ind w:left="720" w:hanging="360"/>
      </w:pPr>
    </w:lvl>
    <w:lvl w:ilvl="1" w:tplc="61F21B8A">
      <w:start w:val="1"/>
      <w:numFmt w:val="lowerLetter"/>
      <w:lvlText w:val="%2."/>
      <w:lvlJc w:val="left"/>
      <w:pPr>
        <w:ind w:left="1440" w:hanging="360"/>
      </w:pPr>
    </w:lvl>
    <w:lvl w:ilvl="2" w:tplc="E23A64D2">
      <w:start w:val="1"/>
      <w:numFmt w:val="lowerRoman"/>
      <w:lvlText w:val="%3."/>
      <w:lvlJc w:val="right"/>
      <w:pPr>
        <w:ind w:left="2160" w:hanging="180"/>
      </w:pPr>
    </w:lvl>
    <w:lvl w:ilvl="3" w:tplc="3CA4EA9C">
      <w:start w:val="1"/>
      <w:numFmt w:val="decimal"/>
      <w:lvlText w:val="%4."/>
      <w:lvlJc w:val="left"/>
      <w:pPr>
        <w:ind w:left="2880" w:hanging="360"/>
      </w:pPr>
    </w:lvl>
    <w:lvl w:ilvl="4" w:tplc="19BE1406">
      <w:start w:val="1"/>
      <w:numFmt w:val="lowerLetter"/>
      <w:lvlText w:val="%5."/>
      <w:lvlJc w:val="left"/>
      <w:pPr>
        <w:ind w:left="3600" w:hanging="360"/>
      </w:pPr>
    </w:lvl>
    <w:lvl w:ilvl="5" w:tplc="A058B948">
      <w:start w:val="1"/>
      <w:numFmt w:val="lowerRoman"/>
      <w:lvlText w:val="%6."/>
      <w:lvlJc w:val="right"/>
      <w:pPr>
        <w:ind w:left="4320" w:hanging="180"/>
      </w:pPr>
    </w:lvl>
    <w:lvl w:ilvl="6" w:tplc="8F564110">
      <w:start w:val="1"/>
      <w:numFmt w:val="decimal"/>
      <w:lvlText w:val="%7."/>
      <w:lvlJc w:val="left"/>
      <w:pPr>
        <w:ind w:left="5040" w:hanging="360"/>
      </w:pPr>
    </w:lvl>
    <w:lvl w:ilvl="7" w:tplc="51EAF040">
      <w:start w:val="1"/>
      <w:numFmt w:val="lowerLetter"/>
      <w:lvlText w:val="%8."/>
      <w:lvlJc w:val="left"/>
      <w:pPr>
        <w:ind w:left="5760" w:hanging="360"/>
      </w:pPr>
    </w:lvl>
    <w:lvl w:ilvl="8" w:tplc="6C94E4D0">
      <w:start w:val="1"/>
      <w:numFmt w:val="lowerRoman"/>
      <w:lvlText w:val="%9."/>
      <w:lvlJc w:val="right"/>
      <w:pPr>
        <w:ind w:left="6480" w:hanging="180"/>
      </w:pPr>
    </w:lvl>
  </w:abstractNum>
  <w:num w:numId="1" w16cid:durableId="289675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B824F2"/>
    <w:rsid w:val="00000B6F"/>
    <w:rsid w:val="00030E15"/>
    <w:rsid w:val="000B0AD5"/>
    <w:rsid w:val="000B3058"/>
    <w:rsid w:val="001A7622"/>
    <w:rsid w:val="001C494D"/>
    <w:rsid w:val="00225157"/>
    <w:rsid w:val="00263CC1"/>
    <w:rsid w:val="00325C48"/>
    <w:rsid w:val="00461631"/>
    <w:rsid w:val="004B1D91"/>
    <w:rsid w:val="0051089B"/>
    <w:rsid w:val="005129AF"/>
    <w:rsid w:val="0056435F"/>
    <w:rsid w:val="006D21EC"/>
    <w:rsid w:val="007703A9"/>
    <w:rsid w:val="007860B1"/>
    <w:rsid w:val="007A5F96"/>
    <w:rsid w:val="0086435C"/>
    <w:rsid w:val="00880F52"/>
    <w:rsid w:val="008A34A0"/>
    <w:rsid w:val="008F49D0"/>
    <w:rsid w:val="009605AD"/>
    <w:rsid w:val="009E28CB"/>
    <w:rsid w:val="00A2658D"/>
    <w:rsid w:val="00A35B86"/>
    <w:rsid w:val="00A47722"/>
    <w:rsid w:val="00AF6010"/>
    <w:rsid w:val="00DB786E"/>
    <w:rsid w:val="00E34227"/>
    <w:rsid w:val="00E56183"/>
    <w:rsid w:val="00E771C4"/>
    <w:rsid w:val="00F712D5"/>
    <w:rsid w:val="00F81CC2"/>
    <w:rsid w:val="13ED293F"/>
    <w:rsid w:val="63B824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C6F34"/>
  <w15:docId w15:val="{B45997A2-6BD1-4E07-B63C-97A0DB200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9D0"/>
  </w:style>
  <w:style w:type="paragraph" w:styleId="Heading1">
    <w:name w:val="heading 1"/>
    <w:basedOn w:val="Normal"/>
    <w:next w:val="Normal"/>
    <w:link w:val="Heading1Char"/>
    <w:uiPriority w:val="9"/>
    <w:qFormat/>
    <w:rsid w:val="008F49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08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9D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F49D0"/>
    <w:rPr>
      <w:color w:val="0563C1" w:themeColor="hyperlink"/>
      <w:u w:val="single"/>
    </w:rPr>
  </w:style>
  <w:style w:type="character" w:customStyle="1" w:styleId="Heading3Char">
    <w:name w:val="Heading 3 Char"/>
    <w:basedOn w:val="DefaultParagraphFont"/>
    <w:link w:val="Heading3"/>
    <w:uiPriority w:val="9"/>
    <w:semiHidden/>
    <w:rsid w:val="0051089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E28C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25C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C48"/>
  </w:style>
  <w:style w:type="paragraph" w:styleId="Footer">
    <w:name w:val="footer"/>
    <w:basedOn w:val="Normal"/>
    <w:link w:val="FooterChar"/>
    <w:uiPriority w:val="99"/>
    <w:unhideWhenUsed/>
    <w:rsid w:val="00325C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C48"/>
  </w:style>
  <w:style w:type="paragraph" w:styleId="TOCHeading">
    <w:name w:val="TOC Heading"/>
    <w:basedOn w:val="Heading1"/>
    <w:next w:val="Normal"/>
    <w:uiPriority w:val="39"/>
    <w:unhideWhenUsed/>
    <w:qFormat/>
    <w:rsid w:val="00325C48"/>
    <w:pPr>
      <w:outlineLvl w:val="9"/>
    </w:pPr>
  </w:style>
  <w:style w:type="paragraph" w:styleId="TOC1">
    <w:name w:val="toc 1"/>
    <w:basedOn w:val="Normal"/>
    <w:next w:val="Normal"/>
    <w:autoRedefine/>
    <w:uiPriority w:val="39"/>
    <w:unhideWhenUsed/>
    <w:rsid w:val="00325C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77718">
      <w:bodyDiv w:val="1"/>
      <w:marLeft w:val="0"/>
      <w:marRight w:val="0"/>
      <w:marTop w:val="0"/>
      <w:marBottom w:val="0"/>
      <w:divBdr>
        <w:top w:val="none" w:sz="0" w:space="0" w:color="auto"/>
        <w:left w:val="none" w:sz="0" w:space="0" w:color="auto"/>
        <w:bottom w:val="none" w:sz="0" w:space="0" w:color="auto"/>
        <w:right w:val="none" w:sz="0" w:space="0" w:color="auto"/>
      </w:divBdr>
    </w:div>
    <w:div w:id="487405756">
      <w:bodyDiv w:val="1"/>
      <w:marLeft w:val="0"/>
      <w:marRight w:val="0"/>
      <w:marTop w:val="0"/>
      <w:marBottom w:val="0"/>
      <w:divBdr>
        <w:top w:val="none" w:sz="0" w:space="0" w:color="auto"/>
        <w:left w:val="none" w:sz="0" w:space="0" w:color="auto"/>
        <w:bottom w:val="none" w:sz="0" w:space="0" w:color="auto"/>
        <w:right w:val="none" w:sz="0" w:space="0" w:color="auto"/>
      </w:divBdr>
    </w:div>
    <w:div w:id="1129931926">
      <w:bodyDiv w:val="1"/>
      <w:marLeft w:val="0"/>
      <w:marRight w:val="0"/>
      <w:marTop w:val="0"/>
      <w:marBottom w:val="0"/>
      <w:divBdr>
        <w:top w:val="none" w:sz="0" w:space="0" w:color="auto"/>
        <w:left w:val="none" w:sz="0" w:space="0" w:color="auto"/>
        <w:bottom w:val="none" w:sz="0" w:space="0" w:color="auto"/>
        <w:right w:val="none" w:sz="0" w:space="0" w:color="auto"/>
      </w:divBdr>
    </w:div>
    <w:div w:id="114158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1%3293%397@%73%74%75d%65%6e%74%2eu%77%74%73%64%2ea%63%2euk" TargetMode="External"/><Relationship Id="rId13" Type="http://schemas.openxmlformats.org/officeDocument/2006/relationships/hyperlink" Target="https://keyahconsulting.com/7-benefits-stakeholder-eng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m4dev.com/pm4dev-blog/entry/benefits-of-stakeholder-participation.html" TargetMode="Externa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ampusontario.pressbooks.pub/bscmodule1/chapter/key-principles-of-community-engageme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pstrategy.com/highlights/six-benefits-of-stakeholder-engagement/" TargetMode="External"/><Relationship Id="rId4" Type="http://schemas.openxmlformats.org/officeDocument/2006/relationships/settings" Target="settings.xml"/><Relationship Id="rId9" Type="http://schemas.openxmlformats.org/officeDocument/2006/relationships/hyperlink" Target="https://www.atsdr.cdc.gov/communityengagement/pdf/PCE_Report_508_FINAL.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31F72-4830-4FF1-B940-29DCFBDA4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2510</Words>
  <Characters>14307</Characters>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2022-12-02T17:15:00Z</dcterms:created>
  <dcterms:modified xsi:type="dcterms:W3CDTF">2022-12-02T17:19:00Z</dcterms:modified>
</cp:coreProperties>
</file>