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08B87B" w14:textId="6C66BD9D" w:rsidR="00077FA3" w:rsidRPr="00193B63" w:rsidRDefault="00077FA3" w:rsidP="00077FA3">
      <w:pPr>
        <w:spacing w:line="360" w:lineRule="auto"/>
        <w:rPr>
          <w:rFonts w:ascii="Arial" w:hAnsi="Arial" w:cs="Arial"/>
          <w:sz w:val="22"/>
          <w:szCs w:val="22"/>
        </w:rPr>
      </w:pPr>
      <w:r>
        <w:rPr>
          <w:rFonts w:ascii="Arial" w:hAnsi="Arial" w:cs="Arial"/>
          <w:b/>
          <w:bCs/>
          <w:sz w:val="22"/>
          <w:szCs w:val="22"/>
        </w:rPr>
        <w:t>Student name:</w:t>
      </w:r>
      <w:r w:rsidR="00193B63">
        <w:rPr>
          <w:rFonts w:ascii="Arial" w:hAnsi="Arial" w:cs="Arial"/>
          <w:b/>
          <w:bCs/>
          <w:sz w:val="22"/>
          <w:szCs w:val="22"/>
        </w:rPr>
        <w:t xml:space="preserve"> </w:t>
      </w:r>
      <w:r w:rsidR="00193B63">
        <w:rPr>
          <w:rFonts w:ascii="Arial" w:hAnsi="Arial" w:cs="Arial"/>
          <w:sz w:val="22"/>
          <w:szCs w:val="22"/>
        </w:rPr>
        <w:t xml:space="preserve">John chapman </w:t>
      </w:r>
    </w:p>
    <w:p w14:paraId="6AEFC92B" w14:textId="3782B02C" w:rsidR="00077FA3" w:rsidRPr="00193B63" w:rsidRDefault="00077FA3" w:rsidP="00077FA3">
      <w:pPr>
        <w:spacing w:line="360" w:lineRule="auto"/>
        <w:rPr>
          <w:rFonts w:ascii="Arial" w:hAnsi="Arial" w:cs="Arial"/>
          <w:sz w:val="22"/>
          <w:szCs w:val="22"/>
        </w:rPr>
      </w:pPr>
      <w:r>
        <w:rPr>
          <w:rFonts w:ascii="Arial" w:hAnsi="Arial" w:cs="Arial"/>
          <w:b/>
          <w:bCs/>
          <w:sz w:val="22"/>
          <w:szCs w:val="22"/>
        </w:rPr>
        <w:t>Student number:</w:t>
      </w:r>
      <w:r w:rsidR="00193B63">
        <w:rPr>
          <w:rFonts w:ascii="Arial" w:hAnsi="Arial" w:cs="Arial"/>
          <w:b/>
          <w:bCs/>
          <w:sz w:val="22"/>
          <w:szCs w:val="22"/>
        </w:rPr>
        <w:t xml:space="preserve"> </w:t>
      </w:r>
      <w:r w:rsidR="00193B63" w:rsidRPr="00193B63">
        <w:rPr>
          <w:rFonts w:ascii="Arial" w:hAnsi="Arial" w:cs="Arial"/>
          <w:sz w:val="22"/>
          <w:szCs w:val="22"/>
        </w:rPr>
        <w:t>2424587</w:t>
      </w:r>
    </w:p>
    <w:p w14:paraId="5448B0D6" w14:textId="3937D1CF" w:rsidR="00ED5530" w:rsidRPr="00312D82" w:rsidRDefault="00077FA3">
      <w:pPr>
        <w:pStyle w:val="p1"/>
        <w:rPr>
          <w:sz w:val="20"/>
          <w:szCs w:val="20"/>
        </w:rPr>
      </w:pPr>
      <w:r>
        <w:rPr>
          <w:b/>
          <w:bCs/>
          <w:sz w:val="22"/>
          <w:szCs w:val="22"/>
        </w:rPr>
        <w:t>Lecturer:</w:t>
      </w:r>
      <w:r w:rsidR="00051D96">
        <w:rPr>
          <w:rStyle w:val="s1"/>
          <w:b w:val="0"/>
          <w:bCs w:val="0"/>
        </w:rPr>
        <w:t xml:space="preserve"> </w:t>
      </w:r>
      <w:r w:rsidR="00ED5530" w:rsidRPr="00ED5530">
        <w:rPr>
          <w:rStyle w:val="apple-converted-space"/>
          <w:rFonts w:ascii="Arial-BoldMT" w:hAnsi="Arial-BoldMT"/>
        </w:rPr>
        <w:t> </w:t>
      </w:r>
      <w:r w:rsidR="00312D82" w:rsidRPr="00312D82">
        <w:rPr>
          <w:rStyle w:val="apple-converted-space"/>
          <w:rFonts w:ascii="Arial-BoldMT" w:hAnsi="Arial-BoldMT"/>
          <w:sz w:val="22"/>
          <w:szCs w:val="22"/>
        </w:rPr>
        <w:t>Mu</w:t>
      </w:r>
      <w:r w:rsidR="005E3B19">
        <w:rPr>
          <w:rStyle w:val="apple-converted-space"/>
          <w:rFonts w:ascii="Arial-BoldMT" w:hAnsi="Arial-BoldMT"/>
          <w:sz w:val="22"/>
          <w:szCs w:val="22"/>
        </w:rPr>
        <w:t>hammed A</w:t>
      </w:r>
      <w:r w:rsidR="00C930C6">
        <w:rPr>
          <w:rStyle w:val="apple-converted-space"/>
          <w:rFonts w:ascii="Arial-BoldMT" w:hAnsi="Arial-BoldMT"/>
          <w:sz w:val="22"/>
          <w:szCs w:val="22"/>
        </w:rPr>
        <w:t>liyu</w:t>
      </w:r>
    </w:p>
    <w:p w14:paraId="2BFF0E80" w14:textId="03B4D3B8" w:rsidR="00077FA3" w:rsidRPr="00ED5530" w:rsidRDefault="00077FA3" w:rsidP="00077FA3">
      <w:pPr>
        <w:spacing w:line="360" w:lineRule="auto"/>
        <w:rPr>
          <w:rFonts w:ascii="Arial" w:hAnsi="Arial" w:cs="Arial"/>
          <w:sz w:val="22"/>
          <w:szCs w:val="22"/>
        </w:rPr>
      </w:pPr>
    </w:p>
    <w:p w14:paraId="00F07969" w14:textId="4184B809" w:rsidR="00077FA3" w:rsidRPr="00716DDA" w:rsidRDefault="00077FA3" w:rsidP="00077FA3">
      <w:pPr>
        <w:spacing w:line="360" w:lineRule="auto"/>
        <w:rPr>
          <w:rFonts w:ascii="Arial" w:hAnsi="Arial" w:cs="Arial"/>
          <w:sz w:val="22"/>
          <w:szCs w:val="22"/>
        </w:rPr>
      </w:pPr>
      <w:r>
        <w:rPr>
          <w:rFonts w:ascii="Arial" w:hAnsi="Arial" w:cs="Arial"/>
          <w:b/>
          <w:bCs/>
          <w:sz w:val="22"/>
          <w:szCs w:val="22"/>
        </w:rPr>
        <w:t>Module code:</w:t>
      </w:r>
      <w:r w:rsidR="00CA3DB2">
        <w:rPr>
          <w:rFonts w:ascii="Arial" w:hAnsi="Arial" w:cs="Arial"/>
          <w:b/>
          <w:bCs/>
          <w:sz w:val="22"/>
          <w:szCs w:val="22"/>
        </w:rPr>
        <w:t xml:space="preserve"> </w:t>
      </w:r>
      <w:r w:rsidR="00716DDA">
        <w:rPr>
          <w:rFonts w:ascii="Arial" w:hAnsi="Arial" w:cs="Arial"/>
          <w:sz w:val="22"/>
          <w:szCs w:val="22"/>
        </w:rPr>
        <w:t>LCHS4003</w:t>
      </w:r>
    </w:p>
    <w:p w14:paraId="48D6D771" w14:textId="24AC4C1B" w:rsidR="00077FA3" w:rsidRDefault="00077FA3" w:rsidP="00077FA3">
      <w:pPr>
        <w:spacing w:line="360" w:lineRule="auto"/>
        <w:rPr>
          <w:rFonts w:ascii="Arial" w:hAnsi="Arial" w:cs="Arial"/>
          <w:b/>
          <w:bCs/>
          <w:sz w:val="22"/>
          <w:szCs w:val="22"/>
        </w:rPr>
      </w:pPr>
      <w:r>
        <w:rPr>
          <w:rFonts w:ascii="Arial" w:hAnsi="Arial" w:cs="Arial"/>
          <w:b/>
          <w:bCs/>
          <w:sz w:val="22"/>
          <w:szCs w:val="22"/>
        </w:rPr>
        <w:t xml:space="preserve"> </w:t>
      </w:r>
    </w:p>
    <w:p w14:paraId="1538C943" w14:textId="77777777" w:rsidR="00077FA3" w:rsidRDefault="00077FA3" w:rsidP="00077FA3">
      <w:pPr>
        <w:spacing w:line="360" w:lineRule="auto"/>
        <w:rPr>
          <w:rFonts w:ascii="Arial" w:hAnsi="Arial" w:cs="Arial"/>
          <w:b/>
          <w:bCs/>
          <w:sz w:val="22"/>
          <w:szCs w:val="22"/>
        </w:rPr>
      </w:pPr>
    </w:p>
    <w:p w14:paraId="62C1D7B4" w14:textId="77777777" w:rsidR="00077FA3" w:rsidRDefault="00077FA3" w:rsidP="00077FA3">
      <w:pPr>
        <w:spacing w:line="360" w:lineRule="auto"/>
        <w:rPr>
          <w:rFonts w:ascii="Arial" w:hAnsi="Arial" w:cs="Arial"/>
          <w:b/>
          <w:bCs/>
          <w:sz w:val="22"/>
          <w:szCs w:val="22"/>
        </w:rPr>
      </w:pPr>
    </w:p>
    <w:p w14:paraId="73C01D17" w14:textId="77777777" w:rsidR="00077FA3" w:rsidRDefault="00077FA3" w:rsidP="00077FA3">
      <w:pPr>
        <w:spacing w:line="360" w:lineRule="auto"/>
        <w:rPr>
          <w:rFonts w:ascii="Arial" w:hAnsi="Arial" w:cs="Arial"/>
          <w:b/>
          <w:bCs/>
          <w:sz w:val="22"/>
          <w:szCs w:val="22"/>
        </w:rPr>
      </w:pPr>
    </w:p>
    <w:p w14:paraId="39C36015" w14:textId="77777777" w:rsidR="00077FA3" w:rsidRDefault="00077FA3" w:rsidP="00077FA3">
      <w:pPr>
        <w:spacing w:line="360" w:lineRule="auto"/>
        <w:rPr>
          <w:rFonts w:ascii="Arial" w:hAnsi="Arial" w:cs="Arial"/>
          <w:b/>
          <w:bCs/>
          <w:sz w:val="22"/>
          <w:szCs w:val="22"/>
        </w:rPr>
      </w:pPr>
    </w:p>
    <w:p w14:paraId="05209206" w14:textId="77777777" w:rsidR="00077FA3" w:rsidRDefault="00077FA3" w:rsidP="00077FA3">
      <w:pPr>
        <w:spacing w:line="360" w:lineRule="auto"/>
        <w:rPr>
          <w:rFonts w:ascii="Arial" w:hAnsi="Arial" w:cs="Arial"/>
          <w:b/>
          <w:bCs/>
          <w:sz w:val="22"/>
          <w:szCs w:val="22"/>
        </w:rPr>
      </w:pPr>
    </w:p>
    <w:p w14:paraId="744E9405" w14:textId="77777777" w:rsidR="00077FA3" w:rsidRDefault="00077FA3" w:rsidP="00077FA3">
      <w:pPr>
        <w:spacing w:line="360" w:lineRule="auto"/>
        <w:rPr>
          <w:rFonts w:ascii="Arial" w:hAnsi="Arial" w:cs="Arial"/>
          <w:b/>
          <w:bCs/>
          <w:sz w:val="22"/>
          <w:szCs w:val="22"/>
        </w:rPr>
      </w:pPr>
    </w:p>
    <w:p w14:paraId="3829C0AB" w14:textId="77777777" w:rsidR="00077FA3" w:rsidRDefault="00077FA3" w:rsidP="00077FA3">
      <w:pPr>
        <w:spacing w:line="360" w:lineRule="auto"/>
        <w:rPr>
          <w:rFonts w:ascii="Arial" w:hAnsi="Arial" w:cs="Arial"/>
          <w:b/>
          <w:bCs/>
          <w:sz w:val="22"/>
          <w:szCs w:val="22"/>
        </w:rPr>
      </w:pPr>
    </w:p>
    <w:p w14:paraId="5887111A" w14:textId="77777777" w:rsidR="00077FA3" w:rsidRDefault="00077FA3" w:rsidP="00077FA3">
      <w:pPr>
        <w:spacing w:line="360" w:lineRule="auto"/>
        <w:rPr>
          <w:rFonts w:ascii="Arial" w:hAnsi="Arial" w:cs="Arial"/>
          <w:b/>
          <w:bCs/>
          <w:sz w:val="22"/>
          <w:szCs w:val="22"/>
        </w:rPr>
      </w:pPr>
    </w:p>
    <w:p w14:paraId="38FA663D" w14:textId="77777777" w:rsidR="00077FA3" w:rsidRDefault="00077FA3" w:rsidP="00077FA3">
      <w:pPr>
        <w:spacing w:line="360" w:lineRule="auto"/>
        <w:rPr>
          <w:rFonts w:ascii="Arial" w:hAnsi="Arial" w:cs="Arial"/>
          <w:b/>
          <w:bCs/>
          <w:sz w:val="22"/>
          <w:szCs w:val="22"/>
        </w:rPr>
      </w:pPr>
    </w:p>
    <w:p w14:paraId="6934A2BE" w14:textId="77777777" w:rsidR="00077FA3" w:rsidRDefault="00077FA3" w:rsidP="00077FA3">
      <w:pPr>
        <w:spacing w:line="360" w:lineRule="auto"/>
        <w:rPr>
          <w:rFonts w:ascii="Arial" w:hAnsi="Arial" w:cs="Arial"/>
          <w:b/>
          <w:bCs/>
          <w:sz w:val="22"/>
          <w:szCs w:val="22"/>
        </w:rPr>
      </w:pPr>
    </w:p>
    <w:p w14:paraId="7018E2A5" w14:textId="77777777" w:rsidR="00077FA3" w:rsidRDefault="00077FA3" w:rsidP="00077FA3">
      <w:pPr>
        <w:spacing w:line="360" w:lineRule="auto"/>
        <w:rPr>
          <w:rFonts w:ascii="Arial" w:hAnsi="Arial" w:cs="Arial"/>
          <w:b/>
          <w:bCs/>
          <w:sz w:val="22"/>
          <w:szCs w:val="22"/>
        </w:rPr>
      </w:pPr>
    </w:p>
    <w:p w14:paraId="5431E8ED" w14:textId="7A57F7A6" w:rsidR="00077FA3" w:rsidRDefault="00077FA3" w:rsidP="00077FA3">
      <w:pPr>
        <w:spacing w:line="360" w:lineRule="auto"/>
        <w:rPr>
          <w:rFonts w:ascii="Arial" w:hAnsi="Arial" w:cs="Arial"/>
          <w:b/>
          <w:bCs/>
          <w:sz w:val="22"/>
          <w:szCs w:val="22"/>
        </w:rPr>
      </w:pPr>
    </w:p>
    <w:p w14:paraId="347AE033" w14:textId="77777777" w:rsidR="00077FA3" w:rsidRDefault="00077FA3" w:rsidP="00077FA3">
      <w:pPr>
        <w:spacing w:line="360" w:lineRule="auto"/>
        <w:rPr>
          <w:rFonts w:ascii="Arial" w:hAnsi="Arial" w:cs="Arial"/>
          <w:b/>
          <w:bCs/>
          <w:sz w:val="22"/>
          <w:szCs w:val="22"/>
        </w:rPr>
      </w:pPr>
    </w:p>
    <w:p w14:paraId="5C2C9C99" w14:textId="77777777" w:rsidR="00077FA3" w:rsidRPr="00077FA3" w:rsidRDefault="00077FA3" w:rsidP="00077FA3">
      <w:pPr>
        <w:spacing w:line="360" w:lineRule="auto"/>
        <w:rPr>
          <w:rFonts w:ascii="Arial" w:hAnsi="Arial" w:cs="Arial"/>
          <w:b/>
          <w:bCs/>
          <w:sz w:val="22"/>
          <w:szCs w:val="22"/>
        </w:rPr>
      </w:pPr>
      <w:r w:rsidRPr="00077FA3">
        <w:rPr>
          <w:rFonts w:ascii="Arial" w:hAnsi="Arial" w:cs="Arial"/>
          <w:b/>
          <w:bCs/>
          <w:sz w:val="22"/>
          <w:szCs w:val="22"/>
        </w:rPr>
        <w:t>Table of Contents</w:t>
      </w:r>
    </w:p>
    <w:p w14:paraId="3680887A" w14:textId="77777777" w:rsidR="00077FA3" w:rsidRPr="00077FA3" w:rsidRDefault="00077FA3" w:rsidP="00077FA3">
      <w:pPr>
        <w:numPr>
          <w:ilvl w:val="0"/>
          <w:numId w:val="1"/>
        </w:numPr>
        <w:spacing w:line="360" w:lineRule="auto"/>
        <w:rPr>
          <w:rFonts w:ascii="Arial" w:hAnsi="Arial" w:cs="Arial"/>
          <w:sz w:val="22"/>
          <w:szCs w:val="22"/>
        </w:rPr>
      </w:pPr>
      <w:r w:rsidRPr="00077FA3">
        <w:rPr>
          <w:rFonts w:ascii="Arial" w:hAnsi="Arial" w:cs="Arial"/>
          <w:sz w:val="22"/>
          <w:szCs w:val="22"/>
        </w:rPr>
        <w:t>Introduction</w:t>
      </w:r>
    </w:p>
    <w:p w14:paraId="7C008390" w14:textId="77777777" w:rsidR="00077FA3" w:rsidRPr="00077FA3" w:rsidRDefault="00077FA3" w:rsidP="00077FA3">
      <w:pPr>
        <w:numPr>
          <w:ilvl w:val="0"/>
          <w:numId w:val="1"/>
        </w:numPr>
        <w:spacing w:line="360" w:lineRule="auto"/>
        <w:rPr>
          <w:rFonts w:ascii="Arial" w:hAnsi="Arial" w:cs="Arial"/>
          <w:sz w:val="22"/>
          <w:szCs w:val="22"/>
        </w:rPr>
      </w:pPr>
      <w:r w:rsidRPr="00077FA3">
        <w:rPr>
          <w:rFonts w:ascii="Arial" w:hAnsi="Arial" w:cs="Arial"/>
          <w:sz w:val="22"/>
          <w:szCs w:val="22"/>
        </w:rPr>
        <w:t>Communication and the Equality Act 2010</w:t>
      </w:r>
    </w:p>
    <w:p w14:paraId="3AC423F3" w14:textId="77777777" w:rsidR="00077FA3" w:rsidRPr="00077FA3" w:rsidRDefault="00077FA3" w:rsidP="00077FA3">
      <w:pPr>
        <w:numPr>
          <w:ilvl w:val="0"/>
          <w:numId w:val="1"/>
        </w:numPr>
        <w:spacing w:line="360" w:lineRule="auto"/>
        <w:rPr>
          <w:rFonts w:ascii="Arial" w:hAnsi="Arial" w:cs="Arial"/>
          <w:sz w:val="22"/>
          <w:szCs w:val="22"/>
        </w:rPr>
      </w:pPr>
      <w:r w:rsidRPr="00077FA3">
        <w:rPr>
          <w:rFonts w:ascii="Arial" w:hAnsi="Arial" w:cs="Arial"/>
          <w:sz w:val="22"/>
          <w:szCs w:val="22"/>
        </w:rPr>
        <w:t>Record Keeping, Administrative Skills and the Data Protection Act 2018</w:t>
      </w:r>
    </w:p>
    <w:p w14:paraId="11A3E5D7" w14:textId="77777777" w:rsidR="00077FA3" w:rsidRPr="00077FA3" w:rsidRDefault="00077FA3" w:rsidP="00077FA3">
      <w:pPr>
        <w:numPr>
          <w:ilvl w:val="0"/>
          <w:numId w:val="1"/>
        </w:numPr>
        <w:spacing w:line="360" w:lineRule="auto"/>
        <w:rPr>
          <w:rFonts w:ascii="Arial" w:hAnsi="Arial" w:cs="Arial"/>
          <w:sz w:val="22"/>
          <w:szCs w:val="22"/>
        </w:rPr>
      </w:pPr>
      <w:r w:rsidRPr="00077FA3">
        <w:rPr>
          <w:rFonts w:ascii="Arial" w:hAnsi="Arial" w:cs="Arial"/>
          <w:sz w:val="22"/>
          <w:szCs w:val="22"/>
        </w:rPr>
        <w:t>Continuing Professional Development and Partnership Working</w:t>
      </w:r>
    </w:p>
    <w:p w14:paraId="57B5244C" w14:textId="77777777" w:rsidR="00077FA3" w:rsidRPr="00077FA3" w:rsidRDefault="00077FA3" w:rsidP="00077FA3">
      <w:pPr>
        <w:numPr>
          <w:ilvl w:val="0"/>
          <w:numId w:val="1"/>
        </w:numPr>
        <w:spacing w:line="360" w:lineRule="auto"/>
        <w:rPr>
          <w:rFonts w:ascii="Arial" w:hAnsi="Arial" w:cs="Arial"/>
          <w:sz w:val="22"/>
          <w:szCs w:val="22"/>
        </w:rPr>
      </w:pPr>
      <w:r w:rsidRPr="00077FA3">
        <w:rPr>
          <w:rFonts w:ascii="Arial" w:hAnsi="Arial" w:cs="Arial"/>
          <w:sz w:val="22"/>
          <w:szCs w:val="22"/>
        </w:rPr>
        <w:t>Conclusion</w:t>
      </w:r>
    </w:p>
    <w:p w14:paraId="06BDDB14" w14:textId="77777777" w:rsidR="00077FA3" w:rsidRDefault="00077FA3" w:rsidP="00077FA3">
      <w:pPr>
        <w:numPr>
          <w:ilvl w:val="0"/>
          <w:numId w:val="1"/>
        </w:numPr>
        <w:spacing w:line="360" w:lineRule="auto"/>
        <w:rPr>
          <w:rFonts w:ascii="Arial" w:hAnsi="Arial" w:cs="Arial"/>
          <w:sz w:val="22"/>
          <w:szCs w:val="22"/>
        </w:rPr>
      </w:pPr>
      <w:r w:rsidRPr="00077FA3">
        <w:rPr>
          <w:rFonts w:ascii="Arial" w:hAnsi="Arial" w:cs="Arial"/>
          <w:sz w:val="22"/>
          <w:szCs w:val="22"/>
        </w:rPr>
        <w:t>Reference List</w:t>
      </w:r>
    </w:p>
    <w:p w14:paraId="667848E1" w14:textId="13964410" w:rsidR="00077FA3" w:rsidRPr="00077FA3" w:rsidRDefault="00077FA3" w:rsidP="00077FA3">
      <w:pPr>
        <w:spacing w:line="360" w:lineRule="auto"/>
        <w:rPr>
          <w:rFonts w:ascii="Arial" w:hAnsi="Arial" w:cs="Arial"/>
          <w:sz w:val="22"/>
          <w:szCs w:val="22"/>
        </w:rPr>
      </w:pPr>
      <w:r w:rsidRPr="00077FA3">
        <w:rPr>
          <w:rFonts w:ascii="Arial" w:hAnsi="Arial" w:cs="Arial"/>
          <w:b/>
          <w:bCs/>
          <w:sz w:val="22"/>
          <w:szCs w:val="22"/>
        </w:rPr>
        <w:t>Role of a Future Health and Social Care Practitioner: Communication, Record Keeping and Continuing Professional Development</w:t>
      </w:r>
    </w:p>
    <w:p w14:paraId="2F9C7F66" w14:textId="77777777" w:rsidR="00077FA3" w:rsidRPr="00077FA3" w:rsidRDefault="00077FA3" w:rsidP="00077FA3">
      <w:pPr>
        <w:spacing w:line="360" w:lineRule="auto"/>
        <w:rPr>
          <w:rFonts w:ascii="Arial" w:hAnsi="Arial" w:cs="Arial"/>
          <w:b/>
          <w:bCs/>
          <w:sz w:val="22"/>
          <w:szCs w:val="22"/>
        </w:rPr>
      </w:pPr>
    </w:p>
    <w:p w14:paraId="2F90D3F4" w14:textId="2F8BCA47" w:rsidR="00077FA3" w:rsidRPr="00077FA3" w:rsidRDefault="00077FA3" w:rsidP="00077FA3">
      <w:pPr>
        <w:spacing w:line="360" w:lineRule="auto"/>
        <w:rPr>
          <w:rFonts w:ascii="Arial" w:hAnsi="Arial" w:cs="Arial"/>
          <w:b/>
          <w:bCs/>
          <w:sz w:val="22"/>
          <w:szCs w:val="22"/>
        </w:rPr>
      </w:pPr>
      <w:r w:rsidRPr="00077FA3">
        <w:rPr>
          <w:rFonts w:ascii="Arial" w:hAnsi="Arial" w:cs="Arial"/>
          <w:b/>
          <w:bCs/>
          <w:sz w:val="22"/>
          <w:szCs w:val="22"/>
        </w:rPr>
        <w:t xml:space="preserve">Introduction </w:t>
      </w:r>
    </w:p>
    <w:p w14:paraId="622006EA" w14:textId="77777777" w:rsidR="00077FA3" w:rsidRPr="00077FA3" w:rsidRDefault="00077FA3" w:rsidP="00077FA3">
      <w:pPr>
        <w:spacing w:line="360" w:lineRule="auto"/>
        <w:rPr>
          <w:rFonts w:ascii="Arial" w:hAnsi="Arial" w:cs="Arial"/>
          <w:sz w:val="22"/>
          <w:szCs w:val="22"/>
        </w:rPr>
      </w:pPr>
      <w:r w:rsidRPr="00077FA3">
        <w:rPr>
          <w:rFonts w:ascii="Arial" w:hAnsi="Arial" w:cs="Arial"/>
          <w:sz w:val="22"/>
          <w:szCs w:val="22"/>
        </w:rPr>
        <w:t>Working within the health and social care sector requires a combination of strong communication skills, ethical practice, accurate record keeping and a commitment to lifelong learning. As a future psychologist, these elements are central to delivering safe, person-centred and culturally sensitive support to diverse service users. This assignment examines three key areas of professional practice. First, it explores how effective communication can be achieved through a structured model of interaction, supported by the principles of the Equality Act 2010, which aims to protect individuals from discrimination. Second, it considers the importance of administrative competence, including accurate documentation and compliance with the Data Protection Act 2018, which governs confidentiality and information handling in clinical and therapeutic settings. Finally, it reflects on the value of continuing professional development (CPD) and multi-agency partnership working in shaping the skills and mindset required for professional psychological practice. Collectively, these areas form the foundation of safe, ethical and reflective care.</w:t>
      </w:r>
    </w:p>
    <w:p w14:paraId="01B61F98" w14:textId="20DBDF69" w:rsidR="00077FA3" w:rsidRPr="00077FA3" w:rsidRDefault="00077FA3" w:rsidP="00077FA3">
      <w:pPr>
        <w:spacing w:line="360" w:lineRule="auto"/>
        <w:rPr>
          <w:rFonts w:ascii="Arial" w:hAnsi="Arial" w:cs="Arial"/>
          <w:sz w:val="22"/>
          <w:szCs w:val="22"/>
        </w:rPr>
      </w:pPr>
    </w:p>
    <w:p w14:paraId="42E6C2DD" w14:textId="0A0E2D44" w:rsidR="00077FA3" w:rsidRPr="00077FA3" w:rsidRDefault="00077FA3" w:rsidP="00077FA3">
      <w:pPr>
        <w:spacing w:line="360" w:lineRule="auto"/>
        <w:rPr>
          <w:rFonts w:ascii="Arial" w:hAnsi="Arial" w:cs="Arial"/>
          <w:b/>
          <w:bCs/>
          <w:sz w:val="22"/>
          <w:szCs w:val="22"/>
        </w:rPr>
      </w:pPr>
      <w:r w:rsidRPr="00077FA3">
        <w:rPr>
          <w:rFonts w:ascii="Arial" w:hAnsi="Arial" w:cs="Arial"/>
          <w:b/>
          <w:bCs/>
          <w:sz w:val="22"/>
          <w:szCs w:val="22"/>
        </w:rPr>
        <w:t xml:space="preserve">1. Communication and the Equality Act 2010 </w:t>
      </w:r>
    </w:p>
    <w:p w14:paraId="29CE7E6B" w14:textId="77777777" w:rsidR="00077FA3" w:rsidRPr="00077FA3" w:rsidRDefault="00077FA3" w:rsidP="00077FA3">
      <w:pPr>
        <w:spacing w:line="360" w:lineRule="auto"/>
        <w:rPr>
          <w:rFonts w:ascii="Arial" w:hAnsi="Arial" w:cs="Arial"/>
          <w:sz w:val="22"/>
          <w:szCs w:val="22"/>
        </w:rPr>
      </w:pPr>
      <w:r w:rsidRPr="00077FA3">
        <w:rPr>
          <w:rFonts w:ascii="Arial" w:hAnsi="Arial" w:cs="Arial"/>
          <w:sz w:val="22"/>
          <w:szCs w:val="22"/>
        </w:rPr>
        <w:t>Effective communication is essential for psychologists, who rely on verbal and non-verbal interaction to build trust, conduct assessments and support therapeutic relationships. Communication involves both expressing information clearly and actively listening to understand a service user’s thoughts, emotions and behaviour (Hargie, 2021). A useful framework for guiding communication in therapeutic and health settings is Argyle’s Communication Cycle (1972). This model describes communication as a continuous, circular process involving idea formation, message encoding, transmission, decoding and feedback. For a psychologist, this means carefully considering how to phrase questions, observing emotional cues, and offering reflective responses that encourage service users to share their experiences. The cycle also highlights the importance of checking understanding, which is vital in mental health contexts where miscommunication can impact assessment outcomes or therapeutic progress.</w:t>
      </w:r>
    </w:p>
    <w:p w14:paraId="71D48916" w14:textId="77777777" w:rsidR="00077FA3" w:rsidRPr="00077FA3" w:rsidRDefault="00077FA3" w:rsidP="00077FA3">
      <w:pPr>
        <w:spacing w:line="360" w:lineRule="auto"/>
        <w:rPr>
          <w:rFonts w:ascii="Arial" w:hAnsi="Arial" w:cs="Arial"/>
          <w:sz w:val="22"/>
          <w:szCs w:val="22"/>
        </w:rPr>
      </w:pPr>
      <w:r w:rsidRPr="00077FA3">
        <w:rPr>
          <w:rFonts w:ascii="Arial" w:hAnsi="Arial" w:cs="Arial"/>
          <w:sz w:val="22"/>
          <w:szCs w:val="22"/>
        </w:rPr>
        <w:t>The Equality Act 2010 plays a fundamental role in shaping communication approaches within health and social care. The Act protects individuals from discrimination based on nine protected characteristics, including disability, race, religion, age, sex and sexual orientation. In psychological practice, this means communication must be adapted to meet the needs of each service user, ensuring fairness, dignity and respect. For example, when working with a service user who has anxiety or autism, a psychologist may need to adjust the pace of conversation, minimise environmental distractions or allow additional processing time. Similarly, cultural sensitivity is essential when working with people from different ethnic or religious backgrounds, as values, communication styles and help-seeking behaviours can vary significantly (NHS England, 2023).</w:t>
      </w:r>
    </w:p>
    <w:p w14:paraId="019C165E" w14:textId="77777777" w:rsidR="00077FA3" w:rsidRPr="00077FA3" w:rsidRDefault="00077FA3" w:rsidP="00077FA3">
      <w:pPr>
        <w:spacing w:line="360" w:lineRule="auto"/>
        <w:rPr>
          <w:rFonts w:ascii="Arial" w:hAnsi="Arial" w:cs="Arial"/>
          <w:sz w:val="22"/>
          <w:szCs w:val="22"/>
        </w:rPr>
      </w:pPr>
      <w:r w:rsidRPr="00077FA3">
        <w:rPr>
          <w:rFonts w:ascii="Arial" w:hAnsi="Arial" w:cs="Arial"/>
          <w:sz w:val="22"/>
          <w:szCs w:val="22"/>
        </w:rPr>
        <w:t>Reasonable adjustments are an important requirement of the Equality Act. This might include providing written summaries for individuals with memory difficulties, using interpreters for those with limited English, or applying trauma-informed communication techniques for people with a history of abuse. Trauma-informed practice emphasises safety, empowerment and choice, which aligns strongly with psychological principles of empathy and non-judgement. By combining the structured approach of Argyle’s Communication Cycle with an understanding of equality legislation, psychologists can create an environment that supports open, inclusive and effective interaction.</w:t>
      </w:r>
    </w:p>
    <w:p w14:paraId="5C12D3E9" w14:textId="313E67EA" w:rsidR="00077FA3" w:rsidRPr="00077FA3" w:rsidRDefault="00077FA3" w:rsidP="00077FA3">
      <w:pPr>
        <w:spacing w:line="360" w:lineRule="auto"/>
        <w:rPr>
          <w:rFonts w:ascii="Arial" w:hAnsi="Arial" w:cs="Arial"/>
          <w:sz w:val="22"/>
          <w:szCs w:val="22"/>
        </w:rPr>
      </w:pPr>
      <w:r w:rsidRPr="00077FA3">
        <w:rPr>
          <w:rFonts w:ascii="Arial" w:hAnsi="Arial" w:cs="Arial"/>
          <w:sz w:val="22"/>
          <w:szCs w:val="22"/>
        </w:rPr>
        <w:t>Finally, effective communication extends beyond service users to multidisciplinary colleagues. Psychologists often collaborate with social workers, nurses, GPs and mental health practitioners, ensuring that information is shared clearly and respectfully. Good communication within teams promotes continuity of care and reduces the risk of misunderstandings that could compromise service user safety (CQC, 2023). Therefore, communication—guided by equality, respect and professional standards</w:t>
      </w:r>
      <w:r>
        <w:rPr>
          <w:rFonts w:ascii="Arial" w:hAnsi="Arial" w:cs="Arial"/>
          <w:sz w:val="22"/>
          <w:szCs w:val="22"/>
        </w:rPr>
        <w:t xml:space="preserve"> </w:t>
      </w:r>
      <w:r w:rsidRPr="00077FA3">
        <w:rPr>
          <w:rFonts w:ascii="Arial" w:hAnsi="Arial" w:cs="Arial"/>
          <w:sz w:val="22"/>
          <w:szCs w:val="22"/>
        </w:rPr>
        <w:t>is central to delivering high-quality psychological care.</w:t>
      </w:r>
    </w:p>
    <w:p w14:paraId="59588196" w14:textId="5CEB3E9A" w:rsidR="00077FA3" w:rsidRPr="00077FA3" w:rsidRDefault="00077FA3" w:rsidP="00077FA3">
      <w:pPr>
        <w:spacing w:line="360" w:lineRule="auto"/>
        <w:rPr>
          <w:rFonts w:ascii="Arial" w:hAnsi="Arial" w:cs="Arial"/>
          <w:sz w:val="22"/>
          <w:szCs w:val="22"/>
        </w:rPr>
      </w:pPr>
    </w:p>
    <w:p w14:paraId="33704B08" w14:textId="6A2F0670" w:rsidR="00077FA3" w:rsidRPr="00077FA3" w:rsidRDefault="00077FA3" w:rsidP="00077FA3">
      <w:pPr>
        <w:spacing w:line="360" w:lineRule="auto"/>
        <w:rPr>
          <w:rFonts w:ascii="Arial" w:hAnsi="Arial" w:cs="Arial"/>
          <w:b/>
          <w:bCs/>
          <w:sz w:val="22"/>
          <w:szCs w:val="22"/>
        </w:rPr>
      </w:pPr>
      <w:r w:rsidRPr="00077FA3">
        <w:rPr>
          <w:rFonts w:ascii="Arial" w:hAnsi="Arial" w:cs="Arial"/>
          <w:b/>
          <w:bCs/>
          <w:sz w:val="22"/>
          <w:szCs w:val="22"/>
        </w:rPr>
        <w:t xml:space="preserve">2. Administrative Skills, Record Keeping and the Data Protection Act 2018 </w:t>
      </w:r>
    </w:p>
    <w:p w14:paraId="75FB4F30" w14:textId="77777777" w:rsidR="00077FA3" w:rsidRPr="00077FA3" w:rsidRDefault="00077FA3" w:rsidP="00077FA3">
      <w:pPr>
        <w:spacing w:line="360" w:lineRule="auto"/>
        <w:rPr>
          <w:rFonts w:ascii="Arial" w:hAnsi="Arial" w:cs="Arial"/>
          <w:sz w:val="22"/>
          <w:szCs w:val="22"/>
        </w:rPr>
      </w:pPr>
      <w:r w:rsidRPr="00077FA3">
        <w:rPr>
          <w:rFonts w:ascii="Arial" w:hAnsi="Arial" w:cs="Arial"/>
          <w:sz w:val="22"/>
          <w:szCs w:val="22"/>
        </w:rPr>
        <w:t>Record keeping is a core administrative responsibility for all health and social care professionals, including psychologists. Clear, accurate and timely documentation ensures continuity of care, informs decision-making, and provides an accountable record of the support delivered. According to Fisher (2020), effective record keeping demonstrates professionalism and protects both the practitioner and service user by creating a transparent account of interventions, assessments and risk management decisions.</w:t>
      </w:r>
    </w:p>
    <w:p w14:paraId="4519EA1C" w14:textId="77777777" w:rsidR="00077FA3" w:rsidRPr="00077FA3" w:rsidRDefault="00077FA3" w:rsidP="00077FA3">
      <w:pPr>
        <w:spacing w:line="360" w:lineRule="auto"/>
        <w:rPr>
          <w:rFonts w:ascii="Arial" w:hAnsi="Arial" w:cs="Arial"/>
          <w:sz w:val="22"/>
          <w:szCs w:val="22"/>
        </w:rPr>
      </w:pPr>
      <w:r w:rsidRPr="00077FA3">
        <w:rPr>
          <w:rFonts w:ascii="Arial" w:hAnsi="Arial" w:cs="Arial"/>
          <w:sz w:val="22"/>
          <w:szCs w:val="22"/>
        </w:rPr>
        <w:t>The Data Protection Act 2018 (DPA 2018) and the UK General Data Protection Regulation (GDPR) set out strict legal standards for storing, sharing and handling personal information. Psychologists frequently manage sensitive data such as mental health history, trauma disclosures, assessment results and safeguarding concerns. Under the legislation, such information must be processed lawfully, fairly and transparently, stored securely, kept accurate and shared only on a need-to-know basis (Information Commissioner’s Office, 2024). Service users also have the right to access their records and request corrections where necessary, which reinforces the importance of maintaining accurate, respectful and non-judgemental documentation.</w:t>
      </w:r>
    </w:p>
    <w:p w14:paraId="0E370FD0" w14:textId="77777777" w:rsidR="00077FA3" w:rsidRPr="00077FA3" w:rsidRDefault="00077FA3" w:rsidP="00077FA3">
      <w:pPr>
        <w:spacing w:line="360" w:lineRule="auto"/>
        <w:rPr>
          <w:rFonts w:ascii="Arial" w:hAnsi="Arial" w:cs="Arial"/>
          <w:sz w:val="22"/>
          <w:szCs w:val="22"/>
        </w:rPr>
      </w:pPr>
      <w:r w:rsidRPr="00077FA3">
        <w:rPr>
          <w:rFonts w:ascii="Arial" w:hAnsi="Arial" w:cs="Arial"/>
          <w:sz w:val="22"/>
          <w:szCs w:val="22"/>
        </w:rPr>
        <w:t>Confidentiality is particularly significant in psychological practice, where trust forms the foundation of therapeutic work. However, confidentiality is not absolute. The DPA 2018 allows information sharing without consent where there is a risk of harm to the individual or others, or where safeguarding concerns arise (Department of Health and Social Care, 2023). Clear explanations about confidentiality boundaries must be given at the start of any therapeutic relationship to support informed consent and avoid misunderstandings.</w:t>
      </w:r>
    </w:p>
    <w:p w14:paraId="716657A8" w14:textId="77777777" w:rsidR="00077FA3" w:rsidRPr="00077FA3" w:rsidRDefault="00077FA3" w:rsidP="00077FA3">
      <w:pPr>
        <w:spacing w:line="360" w:lineRule="auto"/>
        <w:rPr>
          <w:rFonts w:ascii="Arial" w:hAnsi="Arial" w:cs="Arial"/>
          <w:sz w:val="22"/>
          <w:szCs w:val="22"/>
        </w:rPr>
      </w:pPr>
      <w:r w:rsidRPr="00077FA3">
        <w:rPr>
          <w:rFonts w:ascii="Arial" w:hAnsi="Arial" w:cs="Arial"/>
          <w:sz w:val="22"/>
          <w:szCs w:val="22"/>
        </w:rPr>
        <w:t>In addition to the DPA 2018, psychologists often follow organisational policies and the Caldicott Principles, which emphasise minimising identifiable information, ensuring justified use of data, and maintaining accountability for how information is accessed and shared. These principles align closely with ethical frameworks used in psychological practice, such as the British Psychological Society (BPS) Code of Ethics, which highlights the need for privacy, respect and integrity in handling client information.</w:t>
      </w:r>
    </w:p>
    <w:p w14:paraId="7E3DB19A" w14:textId="77777777" w:rsidR="00077FA3" w:rsidRPr="00077FA3" w:rsidRDefault="00077FA3" w:rsidP="00077FA3">
      <w:pPr>
        <w:spacing w:line="360" w:lineRule="auto"/>
        <w:rPr>
          <w:rFonts w:ascii="Arial" w:hAnsi="Arial" w:cs="Arial"/>
          <w:sz w:val="22"/>
          <w:szCs w:val="22"/>
        </w:rPr>
      </w:pPr>
      <w:r w:rsidRPr="00077FA3">
        <w:rPr>
          <w:rFonts w:ascii="Arial" w:hAnsi="Arial" w:cs="Arial"/>
          <w:sz w:val="22"/>
          <w:szCs w:val="22"/>
        </w:rPr>
        <w:t>Good administrative skills also involve time management, accurate appointment scheduling, completing referral forms and updating risk assessments. Poor documentation can lead to delays in treatment, duplication of work or, in serious cases, harm to service users (CQC, 2023). Therefore, mastering administrative and record-keeping skills is essential for psychologists, supporting both legal compliance and high-quality person-centred care.</w:t>
      </w:r>
    </w:p>
    <w:p w14:paraId="1FD35E9A" w14:textId="2916F2B2" w:rsidR="00077FA3" w:rsidRPr="00077FA3" w:rsidRDefault="00077FA3" w:rsidP="00077FA3">
      <w:pPr>
        <w:spacing w:line="360" w:lineRule="auto"/>
        <w:rPr>
          <w:rFonts w:ascii="Arial" w:hAnsi="Arial" w:cs="Arial"/>
          <w:sz w:val="22"/>
          <w:szCs w:val="22"/>
        </w:rPr>
      </w:pPr>
    </w:p>
    <w:p w14:paraId="0AE104F4" w14:textId="481691F8" w:rsidR="00077FA3" w:rsidRPr="00077FA3" w:rsidRDefault="00077FA3" w:rsidP="00077FA3">
      <w:pPr>
        <w:spacing w:line="360" w:lineRule="auto"/>
        <w:rPr>
          <w:rFonts w:ascii="Arial" w:hAnsi="Arial" w:cs="Arial"/>
          <w:b/>
          <w:bCs/>
          <w:sz w:val="22"/>
          <w:szCs w:val="22"/>
        </w:rPr>
      </w:pPr>
      <w:r w:rsidRPr="00077FA3">
        <w:rPr>
          <w:rFonts w:ascii="Arial" w:hAnsi="Arial" w:cs="Arial"/>
          <w:b/>
          <w:bCs/>
          <w:sz w:val="22"/>
          <w:szCs w:val="22"/>
        </w:rPr>
        <w:t xml:space="preserve">3. Continuing Professional Development (CPD) and Partnership Working </w:t>
      </w:r>
    </w:p>
    <w:p w14:paraId="7587B14C" w14:textId="77777777" w:rsidR="00077FA3" w:rsidRPr="00077FA3" w:rsidRDefault="00077FA3" w:rsidP="00077FA3">
      <w:pPr>
        <w:spacing w:line="360" w:lineRule="auto"/>
        <w:rPr>
          <w:rFonts w:ascii="Arial" w:hAnsi="Arial" w:cs="Arial"/>
          <w:sz w:val="22"/>
          <w:szCs w:val="22"/>
        </w:rPr>
      </w:pPr>
      <w:r w:rsidRPr="00077FA3">
        <w:rPr>
          <w:rFonts w:ascii="Arial" w:hAnsi="Arial" w:cs="Arial"/>
          <w:sz w:val="22"/>
          <w:szCs w:val="22"/>
        </w:rPr>
        <w:t>Continuing professional development (CPD) is a vital part of working within health and social care, particularly in professions such as psychology, where research, treatment methods and safeguarding expectations continually evolve. CPD enables practitioners to remain competent, reflect on their performance and adapt to the changing needs of service users (Health and Care Professions Council, 2024). As a future psychologist, CPD may involve attending workshops, undertaking additional training in therapeutic models, completing safeguarding training, participating in clinical supervision and engaging in reflective practice.</w:t>
      </w:r>
    </w:p>
    <w:p w14:paraId="71A99456" w14:textId="77777777" w:rsidR="00077FA3" w:rsidRPr="00077FA3" w:rsidRDefault="00077FA3" w:rsidP="00077FA3">
      <w:pPr>
        <w:spacing w:line="360" w:lineRule="auto"/>
        <w:rPr>
          <w:rFonts w:ascii="Arial" w:hAnsi="Arial" w:cs="Arial"/>
          <w:sz w:val="22"/>
          <w:szCs w:val="22"/>
        </w:rPr>
      </w:pPr>
      <w:r w:rsidRPr="00077FA3">
        <w:rPr>
          <w:rFonts w:ascii="Arial" w:hAnsi="Arial" w:cs="Arial"/>
          <w:sz w:val="22"/>
          <w:szCs w:val="22"/>
        </w:rPr>
        <w:t>Supervision is especially important in psychology because it provides a structured space to discuss challenging cases, explore ethical dilemmas and receive feedback from experienced professionals. Reflective models such as Gibbs’ Reflective Cycle (1988) can support this process by encouraging practitioners to evaluate their actions, emotions and decisions and identify learning for future practice.</w:t>
      </w:r>
    </w:p>
    <w:p w14:paraId="11AC9E75" w14:textId="77777777" w:rsidR="00077FA3" w:rsidRPr="00077FA3" w:rsidRDefault="00077FA3" w:rsidP="00077FA3">
      <w:pPr>
        <w:spacing w:line="360" w:lineRule="auto"/>
        <w:rPr>
          <w:rFonts w:ascii="Arial" w:hAnsi="Arial" w:cs="Arial"/>
          <w:sz w:val="22"/>
          <w:szCs w:val="22"/>
        </w:rPr>
      </w:pPr>
      <w:r w:rsidRPr="00077FA3">
        <w:rPr>
          <w:rFonts w:ascii="Arial" w:hAnsi="Arial" w:cs="Arial"/>
          <w:sz w:val="22"/>
          <w:szCs w:val="22"/>
        </w:rPr>
        <w:t>Partnership working is also central to delivering effective psychological care. Many service users have complex needs that require input from multiple agencies, including social services, mental health teams, educational settings and voluntary organisations. Working collaboratively helps ensure that support is holistic, coordinated and aligned with the individual’s goals (Glasby &amp; Dickinson, 2020). Psychologists contribute specialist knowledge about behaviour, cognition and emotional wellbeing, while relying on colleagues to provide information about social circumstances, physical health or safeguarding concerns.</w:t>
      </w:r>
    </w:p>
    <w:p w14:paraId="2647A1AF" w14:textId="77777777" w:rsidR="00077FA3" w:rsidRPr="00077FA3" w:rsidRDefault="00077FA3" w:rsidP="00077FA3">
      <w:pPr>
        <w:spacing w:line="360" w:lineRule="auto"/>
        <w:rPr>
          <w:rFonts w:ascii="Arial" w:hAnsi="Arial" w:cs="Arial"/>
          <w:sz w:val="22"/>
          <w:szCs w:val="22"/>
        </w:rPr>
      </w:pPr>
      <w:r w:rsidRPr="00077FA3">
        <w:rPr>
          <w:rFonts w:ascii="Arial" w:hAnsi="Arial" w:cs="Arial"/>
          <w:sz w:val="22"/>
          <w:szCs w:val="22"/>
        </w:rPr>
        <w:t>Effective partnership working requires strong communication, mutual respect and shared decision-making. It also links closely to CPD, as learning from other professionals enhances understanding and improves confidence when working in multi-disciplinary environments. By engaging in CPD and collaborative practice, psychologists can deliver safe, evidence-based care while continually developing their professional identity.</w:t>
      </w:r>
    </w:p>
    <w:p w14:paraId="25126C60" w14:textId="71FA6844" w:rsidR="00077FA3" w:rsidRPr="00077FA3" w:rsidRDefault="00077FA3" w:rsidP="00077FA3">
      <w:pPr>
        <w:spacing w:line="360" w:lineRule="auto"/>
        <w:rPr>
          <w:rFonts w:ascii="Arial" w:hAnsi="Arial" w:cs="Arial"/>
          <w:sz w:val="22"/>
          <w:szCs w:val="22"/>
        </w:rPr>
      </w:pPr>
    </w:p>
    <w:p w14:paraId="4ED46263" w14:textId="440AEB87" w:rsidR="00077FA3" w:rsidRPr="00077FA3" w:rsidRDefault="00077FA3" w:rsidP="00077FA3">
      <w:pPr>
        <w:spacing w:line="360" w:lineRule="auto"/>
        <w:rPr>
          <w:rFonts w:ascii="Arial" w:hAnsi="Arial" w:cs="Arial"/>
          <w:b/>
          <w:bCs/>
          <w:sz w:val="22"/>
          <w:szCs w:val="22"/>
        </w:rPr>
      </w:pPr>
      <w:r w:rsidRPr="00077FA3">
        <w:rPr>
          <w:rFonts w:ascii="Arial" w:hAnsi="Arial" w:cs="Arial"/>
          <w:b/>
          <w:bCs/>
          <w:sz w:val="22"/>
          <w:szCs w:val="22"/>
        </w:rPr>
        <w:t xml:space="preserve">Conclusion </w:t>
      </w:r>
    </w:p>
    <w:p w14:paraId="44CF3CB1" w14:textId="77777777" w:rsidR="00077FA3" w:rsidRPr="00077FA3" w:rsidRDefault="00077FA3" w:rsidP="00077FA3">
      <w:pPr>
        <w:spacing w:line="360" w:lineRule="auto"/>
        <w:rPr>
          <w:rFonts w:ascii="Arial" w:hAnsi="Arial" w:cs="Arial"/>
          <w:sz w:val="22"/>
          <w:szCs w:val="22"/>
        </w:rPr>
      </w:pPr>
      <w:r w:rsidRPr="00077FA3">
        <w:rPr>
          <w:rFonts w:ascii="Arial" w:hAnsi="Arial" w:cs="Arial"/>
          <w:sz w:val="22"/>
          <w:szCs w:val="22"/>
        </w:rPr>
        <w:t>In summary, the role of a future psychologist in the health and social care sector relies on strong communication, ethical practice, accurate record keeping and ongoing professional development. Using frameworks such as Argyle’s Communication Cycle supports effective, person-centred communication, while the Equality Act 2010 ensures that interactions remain inclusive and non-discriminatory. Administrative competence and adherence to the Data Protection Act 2018 are essential for safeguarding sensitive information and promoting trust within therapeutic relationships. Furthermore, CPD and partnership working enable practitioners to maintain high standards, respond to emerging challenges and deliver holistic care alongside multi-disciplinary teams. Together, these elements contribute to safe, compassionate and reflective psychological practice that aims to improve outcomes for individuals and wider communities.</w:t>
      </w:r>
    </w:p>
    <w:p w14:paraId="5D582C23" w14:textId="2E7EEAD2" w:rsidR="00077FA3" w:rsidRDefault="00077FA3" w:rsidP="00077FA3">
      <w:pPr>
        <w:spacing w:line="360" w:lineRule="auto"/>
        <w:rPr>
          <w:rFonts w:ascii="Arial" w:hAnsi="Arial" w:cs="Arial"/>
          <w:sz w:val="22"/>
          <w:szCs w:val="22"/>
        </w:rPr>
      </w:pPr>
    </w:p>
    <w:p w14:paraId="56AE5F74" w14:textId="77777777" w:rsidR="00077FA3" w:rsidRDefault="00077FA3" w:rsidP="00077FA3">
      <w:pPr>
        <w:spacing w:line="360" w:lineRule="auto"/>
        <w:rPr>
          <w:rFonts w:ascii="Arial" w:hAnsi="Arial" w:cs="Arial"/>
          <w:sz w:val="22"/>
          <w:szCs w:val="22"/>
        </w:rPr>
      </w:pPr>
    </w:p>
    <w:p w14:paraId="225102F0" w14:textId="77777777" w:rsidR="00077FA3" w:rsidRDefault="00077FA3" w:rsidP="00077FA3">
      <w:pPr>
        <w:spacing w:line="360" w:lineRule="auto"/>
        <w:rPr>
          <w:rFonts w:ascii="Arial" w:hAnsi="Arial" w:cs="Arial"/>
          <w:sz w:val="22"/>
          <w:szCs w:val="22"/>
        </w:rPr>
      </w:pPr>
    </w:p>
    <w:p w14:paraId="57075986" w14:textId="77777777" w:rsidR="00077FA3" w:rsidRDefault="00077FA3" w:rsidP="00077FA3">
      <w:pPr>
        <w:spacing w:line="360" w:lineRule="auto"/>
        <w:rPr>
          <w:rFonts w:ascii="Arial" w:hAnsi="Arial" w:cs="Arial"/>
          <w:sz w:val="22"/>
          <w:szCs w:val="22"/>
        </w:rPr>
      </w:pPr>
    </w:p>
    <w:p w14:paraId="05AAEB8A" w14:textId="77777777" w:rsidR="00077FA3" w:rsidRPr="00077FA3" w:rsidRDefault="00077FA3" w:rsidP="00077FA3">
      <w:pPr>
        <w:spacing w:line="360" w:lineRule="auto"/>
        <w:rPr>
          <w:rFonts w:ascii="Arial" w:hAnsi="Arial" w:cs="Arial"/>
          <w:sz w:val="22"/>
          <w:szCs w:val="22"/>
        </w:rPr>
      </w:pPr>
    </w:p>
    <w:p w14:paraId="1AA232C1" w14:textId="61C0B953" w:rsidR="00077FA3" w:rsidRDefault="00077FA3" w:rsidP="00077FA3">
      <w:pPr>
        <w:spacing w:line="360" w:lineRule="auto"/>
        <w:rPr>
          <w:rFonts w:ascii="Arial" w:hAnsi="Arial" w:cs="Arial"/>
          <w:b/>
          <w:bCs/>
          <w:sz w:val="22"/>
          <w:szCs w:val="22"/>
        </w:rPr>
      </w:pPr>
      <w:r w:rsidRPr="00077FA3">
        <w:rPr>
          <w:rFonts w:ascii="Arial" w:hAnsi="Arial" w:cs="Arial"/>
          <w:b/>
          <w:bCs/>
          <w:sz w:val="22"/>
          <w:szCs w:val="22"/>
        </w:rPr>
        <w:t xml:space="preserve">Reference List </w:t>
      </w:r>
    </w:p>
    <w:p w14:paraId="48A7F3B3" w14:textId="77777777" w:rsidR="00077FA3" w:rsidRPr="00077FA3" w:rsidRDefault="00077FA3" w:rsidP="00077FA3">
      <w:pPr>
        <w:spacing w:line="360" w:lineRule="auto"/>
        <w:rPr>
          <w:rFonts w:ascii="Arial" w:hAnsi="Arial" w:cs="Arial"/>
          <w:b/>
          <w:bCs/>
          <w:sz w:val="22"/>
          <w:szCs w:val="22"/>
        </w:rPr>
      </w:pPr>
    </w:p>
    <w:p w14:paraId="5B81C923" w14:textId="77777777" w:rsidR="00077FA3" w:rsidRPr="00077FA3" w:rsidRDefault="00077FA3" w:rsidP="00077FA3">
      <w:pPr>
        <w:spacing w:line="360" w:lineRule="auto"/>
        <w:rPr>
          <w:rFonts w:ascii="Arial" w:hAnsi="Arial" w:cs="Arial"/>
          <w:sz w:val="22"/>
          <w:szCs w:val="22"/>
        </w:rPr>
      </w:pPr>
      <w:r w:rsidRPr="00077FA3">
        <w:rPr>
          <w:rFonts w:ascii="Arial" w:hAnsi="Arial" w:cs="Arial"/>
          <w:sz w:val="22"/>
          <w:szCs w:val="22"/>
        </w:rPr>
        <w:t xml:space="preserve">Argyle, M. (1972) </w:t>
      </w:r>
      <w:r w:rsidRPr="00077FA3">
        <w:rPr>
          <w:rFonts w:ascii="Arial" w:hAnsi="Arial" w:cs="Arial"/>
          <w:i/>
          <w:iCs/>
          <w:sz w:val="22"/>
          <w:szCs w:val="22"/>
        </w:rPr>
        <w:t>The Psychology of Interpersonal Behaviour</w:t>
      </w:r>
      <w:r w:rsidRPr="00077FA3">
        <w:rPr>
          <w:rFonts w:ascii="Arial" w:hAnsi="Arial" w:cs="Arial"/>
          <w:sz w:val="22"/>
          <w:szCs w:val="22"/>
        </w:rPr>
        <w:t>. London: Penguin.</w:t>
      </w:r>
    </w:p>
    <w:p w14:paraId="1D0E384E" w14:textId="77777777" w:rsidR="00077FA3" w:rsidRPr="00077FA3" w:rsidRDefault="00077FA3" w:rsidP="00077FA3">
      <w:pPr>
        <w:spacing w:line="360" w:lineRule="auto"/>
        <w:rPr>
          <w:rFonts w:ascii="Arial" w:hAnsi="Arial" w:cs="Arial"/>
          <w:sz w:val="22"/>
          <w:szCs w:val="22"/>
        </w:rPr>
      </w:pPr>
      <w:r w:rsidRPr="00077FA3">
        <w:rPr>
          <w:rFonts w:ascii="Arial" w:hAnsi="Arial" w:cs="Arial"/>
          <w:sz w:val="22"/>
          <w:szCs w:val="22"/>
        </w:rPr>
        <w:t xml:space="preserve">Care Quality Commission (2023) </w:t>
      </w:r>
      <w:r w:rsidRPr="00077FA3">
        <w:rPr>
          <w:rFonts w:ascii="Arial" w:hAnsi="Arial" w:cs="Arial"/>
          <w:i/>
          <w:iCs/>
          <w:sz w:val="22"/>
          <w:szCs w:val="22"/>
        </w:rPr>
        <w:t>Guidance for Health and Social Care Providers</w:t>
      </w:r>
      <w:r w:rsidRPr="00077FA3">
        <w:rPr>
          <w:rFonts w:ascii="Arial" w:hAnsi="Arial" w:cs="Arial"/>
          <w:sz w:val="22"/>
          <w:szCs w:val="22"/>
        </w:rPr>
        <w:t xml:space="preserve">. Available at: </w:t>
      </w:r>
      <w:hyperlink r:id="rId5" w:tgtFrame="_new" w:history="1">
        <w:r w:rsidRPr="00077FA3">
          <w:rPr>
            <w:rStyle w:val="Hyperlink"/>
            <w:rFonts w:ascii="Arial" w:hAnsi="Arial" w:cs="Arial"/>
            <w:sz w:val="22"/>
            <w:szCs w:val="22"/>
          </w:rPr>
          <w:t>https://www.cqc.org.uk/</w:t>
        </w:r>
      </w:hyperlink>
      <w:r w:rsidRPr="00077FA3">
        <w:rPr>
          <w:rFonts w:ascii="Arial" w:hAnsi="Arial" w:cs="Arial"/>
          <w:sz w:val="22"/>
          <w:szCs w:val="22"/>
        </w:rPr>
        <w:t xml:space="preserve"> (Accessed: 8 December 2025).</w:t>
      </w:r>
    </w:p>
    <w:p w14:paraId="4592D417" w14:textId="77777777" w:rsidR="00077FA3" w:rsidRPr="00077FA3" w:rsidRDefault="00077FA3" w:rsidP="00077FA3">
      <w:pPr>
        <w:spacing w:line="360" w:lineRule="auto"/>
        <w:rPr>
          <w:rFonts w:ascii="Arial" w:hAnsi="Arial" w:cs="Arial"/>
          <w:sz w:val="22"/>
          <w:szCs w:val="22"/>
        </w:rPr>
      </w:pPr>
      <w:r w:rsidRPr="00077FA3">
        <w:rPr>
          <w:rFonts w:ascii="Arial" w:hAnsi="Arial" w:cs="Arial"/>
          <w:sz w:val="22"/>
          <w:szCs w:val="22"/>
        </w:rPr>
        <w:t xml:space="preserve">Department of Health and Social Care (2023) </w:t>
      </w:r>
      <w:r w:rsidRPr="00077FA3">
        <w:rPr>
          <w:rFonts w:ascii="Arial" w:hAnsi="Arial" w:cs="Arial"/>
          <w:i/>
          <w:iCs/>
          <w:sz w:val="22"/>
          <w:szCs w:val="22"/>
        </w:rPr>
        <w:t>Information Sharing and Safeguarding</w:t>
      </w:r>
      <w:r w:rsidRPr="00077FA3">
        <w:rPr>
          <w:rFonts w:ascii="Arial" w:hAnsi="Arial" w:cs="Arial"/>
          <w:sz w:val="22"/>
          <w:szCs w:val="22"/>
        </w:rPr>
        <w:t>. Available at: https://www.gov.uk/government/publications/ (Accessed: 9 December 2025).</w:t>
      </w:r>
    </w:p>
    <w:p w14:paraId="2CDF4256" w14:textId="77777777" w:rsidR="00077FA3" w:rsidRPr="00077FA3" w:rsidRDefault="00077FA3" w:rsidP="00077FA3">
      <w:pPr>
        <w:spacing w:line="360" w:lineRule="auto"/>
        <w:rPr>
          <w:rFonts w:ascii="Arial" w:hAnsi="Arial" w:cs="Arial"/>
          <w:sz w:val="22"/>
          <w:szCs w:val="22"/>
        </w:rPr>
      </w:pPr>
      <w:r w:rsidRPr="00077FA3">
        <w:rPr>
          <w:rFonts w:ascii="Arial" w:hAnsi="Arial" w:cs="Arial"/>
          <w:sz w:val="22"/>
          <w:szCs w:val="22"/>
        </w:rPr>
        <w:t xml:space="preserve">Equality Act 2010. (2010) </w:t>
      </w:r>
      <w:r w:rsidRPr="00077FA3">
        <w:rPr>
          <w:rFonts w:ascii="Arial" w:hAnsi="Arial" w:cs="Arial"/>
          <w:i/>
          <w:iCs/>
          <w:sz w:val="22"/>
          <w:szCs w:val="22"/>
        </w:rPr>
        <w:t>UK Public General Acts</w:t>
      </w:r>
      <w:r w:rsidRPr="00077FA3">
        <w:rPr>
          <w:rFonts w:ascii="Arial" w:hAnsi="Arial" w:cs="Arial"/>
          <w:sz w:val="22"/>
          <w:szCs w:val="22"/>
        </w:rPr>
        <w:t>. London: HMSO.</w:t>
      </w:r>
    </w:p>
    <w:p w14:paraId="0C0097C4" w14:textId="77777777" w:rsidR="00077FA3" w:rsidRPr="00077FA3" w:rsidRDefault="00077FA3" w:rsidP="00077FA3">
      <w:pPr>
        <w:spacing w:line="360" w:lineRule="auto"/>
        <w:rPr>
          <w:rFonts w:ascii="Arial" w:hAnsi="Arial" w:cs="Arial"/>
          <w:sz w:val="22"/>
          <w:szCs w:val="22"/>
        </w:rPr>
      </w:pPr>
      <w:r w:rsidRPr="00077FA3">
        <w:rPr>
          <w:rFonts w:ascii="Arial" w:hAnsi="Arial" w:cs="Arial"/>
          <w:sz w:val="22"/>
          <w:szCs w:val="22"/>
        </w:rPr>
        <w:t xml:space="preserve">Fisher, M. (2020) </w:t>
      </w:r>
      <w:r w:rsidRPr="00077FA3">
        <w:rPr>
          <w:rFonts w:ascii="Arial" w:hAnsi="Arial" w:cs="Arial"/>
          <w:i/>
          <w:iCs/>
          <w:sz w:val="22"/>
          <w:szCs w:val="22"/>
        </w:rPr>
        <w:t>Record Keeping in Health and Social Care</w:t>
      </w:r>
      <w:r w:rsidRPr="00077FA3">
        <w:rPr>
          <w:rFonts w:ascii="Arial" w:hAnsi="Arial" w:cs="Arial"/>
          <w:sz w:val="22"/>
          <w:szCs w:val="22"/>
        </w:rPr>
        <w:t>. London: Palgrave. (Accessed: 7 December 2025).</w:t>
      </w:r>
    </w:p>
    <w:p w14:paraId="0DCAE85D" w14:textId="6C141C56" w:rsidR="00077FA3" w:rsidRPr="00077FA3" w:rsidRDefault="00077FA3" w:rsidP="00077FA3">
      <w:pPr>
        <w:spacing w:line="360" w:lineRule="auto"/>
        <w:rPr>
          <w:rFonts w:ascii="Arial" w:hAnsi="Arial" w:cs="Arial"/>
          <w:sz w:val="22"/>
          <w:szCs w:val="22"/>
        </w:rPr>
      </w:pPr>
      <w:r w:rsidRPr="00077FA3">
        <w:rPr>
          <w:rFonts w:ascii="Arial" w:hAnsi="Arial" w:cs="Arial"/>
          <w:sz w:val="22"/>
          <w:szCs w:val="22"/>
        </w:rPr>
        <w:t xml:space="preserve">Glasby, J. and Dickinson, H. (2020) </w:t>
      </w:r>
      <w:r w:rsidRPr="00077FA3">
        <w:rPr>
          <w:rFonts w:ascii="Arial" w:hAnsi="Arial" w:cs="Arial"/>
          <w:i/>
          <w:iCs/>
          <w:sz w:val="22"/>
          <w:szCs w:val="22"/>
        </w:rPr>
        <w:t>Partnership Working in Health and Social Care</w:t>
      </w:r>
      <w:r w:rsidRPr="00077FA3">
        <w:rPr>
          <w:rFonts w:ascii="Arial" w:hAnsi="Arial" w:cs="Arial"/>
          <w:sz w:val="22"/>
          <w:szCs w:val="22"/>
        </w:rPr>
        <w:t xml:space="preserve">. 4th </w:t>
      </w:r>
      <w:proofErr w:type="spellStart"/>
      <w:r w:rsidRPr="00077FA3">
        <w:rPr>
          <w:rFonts w:ascii="Arial" w:hAnsi="Arial" w:cs="Arial"/>
          <w:sz w:val="22"/>
          <w:szCs w:val="22"/>
        </w:rPr>
        <w:t>edn</w:t>
      </w:r>
      <w:proofErr w:type="spellEnd"/>
      <w:r w:rsidRPr="00077FA3">
        <w:rPr>
          <w:rFonts w:ascii="Arial" w:hAnsi="Arial" w:cs="Arial"/>
          <w:sz w:val="22"/>
          <w:szCs w:val="22"/>
        </w:rPr>
        <w:t xml:space="preserve">. Bristol: Policy Press. (Accessed: </w:t>
      </w:r>
      <w:r w:rsidR="00EE7B9C">
        <w:rPr>
          <w:rFonts w:ascii="Arial" w:hAnsi="Arial" w:cs="Arial"/>
          <w:sz w:val="22"/>
          <w:szCs w:val="22"/>
        </w:rPr>
        <w:t>8</w:t>
      </w:r>
      <w:r w:rsidRPr="00077FA3">
        <w:rPr>
          <w:rFonts w:ascii="Arial" w:hAnsi="Arial" w:cs="Arial"/>
          <w:sz w:val="22"/>
          <w:szCs w:val="22"/>
        </w:rPr>
        <w:t xml:space="preserve"> December 2025).</w:t>
      </w:r>
    </w:p>
    <w:p w14:paraId="3C40E711" w14:textId="77777777" w:rsidR="00077FA3" w:rsidRPr="00077FA3" w:rsidRDefault="00077FA3" w:rsidP="00077FA3">
      <w:pPr>
        <w:spacing w:line="360" w:lineRule="auto"/>
        <w:rPr>
          <w:rFonts w:ascii="Arial" w:hAnsi="Arial" w:cs="Arial"/>
          <w:sz w:val="22"/>
          <w:szCs w:val="22"/>
        </w:rPr>
      </w:pPr>
      <w:r w:rsidRPr="00077FA3">
        <w:rPr>
          <w:rFonts w:ascii="Arial" w:hAnsi="Arial" w:cs="Arial"/>
          <w:sz w:val="22"/>
          <w:szCs w:val="22"/>
        </w:rPr>
        <w:t xml:space="preserve">Gibbs, G. (1988) </w:t>
      </w:r>
      <w:r w:rsidRPr="00077FA3">
        <w:rPr>
          <w:rFonts w:ascii="Arial" w:hAnsi="Arial" w:cs="Arial"/>
          <w:i/>
          <w:iCs/>
          <w:sz w:val="22"/>
          <w:szCs w:val="22"/>
        </w:rPr>
        <w:t>Learning by Doing: A Guide to Reflective Practice</w:t>
      </w:r>
      <w:r w:rsidRPr="00077FA3">
        <w:rPr>
          <w:rFonts w:ascii="Arial" w:hAnsi="Arial" w:cs="Arial"/>
          <w:sz w:val="22"/>
          <w:szCs w:val="22"/>
        </w:rPr>
        <w:t>. Oxford: Oxford Polytechnic.</w:t>
      </w:r>
    </w:p>
    <w:p w14:paraId="20ED4242" w14:textId="77777777" w:rsidR="00077FA3" w:rsidRPr="00077FA3" w:rsidRDefault="00077FA3" w:rsidP="00077FA3">
      <w:pPr>
        <w:spacing w:line="360" w:lineRule="auto"/>
        <w:rPr>
          <w:rFonts w:ascii="Arial" w:hAnsi="Arial" w:cs="Arial"/>
          <w:sz w:val="22"/>
          <w:szCs w:val="22"/>
        </w:rPr>
      </w:pPr>
      <w:r w:rsidRPr="00077FA3">
        <w:rPr>
          <w:rFonts w:ascii="Arial" w:hAnsi="Arial" w:cs="Arial"/>
          <w:sz w:val="22"/>
          <w:szCs w:val="22"/>
        </w:rPr>
        <w:t xml:space="preserve">Hargie, O. (2021) </w:t>
      </w:r>
      <w:r w:rsidRPr="00077FA3">
        <w:rPr>
          <w:rFonts w:ascii="Arial" w:hAnsi="Arial" w:cs="Arial"/>
          <w:i/>
          <w:iCs/>
          <w:sz w:val="22"/>
          <w:szCs w:val="22"/>
        </w:rPr>
        <w:t>Skilled Interpersonal Communication</w:t>
      </w:r>
      <w:r w:rsidRPr="00077FA3">
        <w:rPr>
          <w:rFonts w:ascii="Arial" w:hAnsi="Arial" w:cs="Arial"/>
          <w:sz w:val="22"/>
          <w:szCs w:val="22"/>
        </w:rPr>
        <w:t xml:space="preserve">. 7th </w:t>
      </w:r>
      <w:proofErr w:type="spellStart"/>
      <w:r w:rsidRPr="00077FA3">
        <w:rPr>
          <w:rFonts w:ascii="Arial" w:hAnsi="Arial" w:cs="Arial"/>
          <w:sz w:val="22"/>
          <w:szCs w:val="22"/>
        </w:rPr>
        <w:t>edn</w:t>
      </w:r>
      <w:proofErr w:type="spellEnd"/>
      <w:r w:rsidRPr="00077FA3">
        <w:rPr>
          <w:rFonts w:ascii="Arial" w:hAnsi="Arial" w:cs="Arial"/>
          <w:sz w:val="22"/>
          <w:szCs w:val="22"/>
        </w:rPr>
        <w:t>. London: Routledge. (Accessed: 6 December 2025).</w:t>
      </w:r>
    </w:p>
    <w:p w14:paraId="4913919A" w14:textId="40D7B7CF" w:rsidR="00077FA3" w:rsidRPr="00077FA3" w:rsidRDefault="00077FA3" w:rsidP="00077FA3">
      <w:pPr>
        <w:spacing w:line="360" w:lineRule="auto"/>
        <w:rPr>
          <w:rFonts w:ascii="Arial" w:hAnsi="Arial" w:cs="Arial"/>
          <w:sz w:val="22"/>
          <w:szCs w:val="22"/>
        </w:rPr>
      </w:pPr>
      <w:r w:rsidRPr="00077FA3">
        <w:rPr>
          <w:rFonts w:ascii="Arial" w:hAnsi="Arial" w:cs="Arial"/>
          <w:sz w:val="22"/>
          <w:szCs w:val="22"/>
        </w:rPr>
        <w:t xml:space="preserve">Health and Care Professions Council (2024) </w:t>
      </w:r>
      <w:r w:rsidRPr="00077FA3">
        <w:rPr>
          <w:rFonts w:ascii="Arial" w:hAnsi="Arial" w:cs="Arial"/>
          <w:i/>
          <w:iCs/>
          <w:sz w:val="22"/>
          <w:szCs w:val="22"/>
        </w:rPr>
        <w:t>Standards of Continuing Professional Development</w:t>
      </w:r>
      <w:r w:rsidRPr="00077FA3">
        <w:rPr>
          <w:rFonts w:ascii="Arial" w:hAnsi="Arial" w:cs="Arial"/>
          <w:sz w:val="22"/>
          <w:szCs w:val="22"/>
        </w:rPr>
        <w:t xml:space="preserve">. Available at: </w:t>
      </w:r>
      <w:hyperlink r:id="rId6" w:tgtFrame="_new" w:history="1">
        <w:r w:rsidRPr="00077FA3">
          <w:rPr>
            <w:rStyle w:val="Hyperlink"/>
            <w:rFonts w:ascii="Arial" w:hAnsi="Arial" w:cs="Arial"/>
            <w:sz w:val="22"/>
            <w:szCs w:val="22"/>
          </w:rPr>
          <w:t>https://www.hcpc-uk.org/</w:t>
        </w:r>
      </w:hyperlink>
      <w:r w:rsidRPr="00077FA3">
        <w:rPr>
          <w:rFonts w:ascii="Arial" w:hAnsi="Arial" w:cs="Arial"/>
          <w:sz w:val="22"/>
          <w:szCs w:val="22"/>
        </w:rPr>
        <w:t xml:space="preserve"> (Accessed: </w:t>
      </w:r>
      <w:r w:rsidR="00EE7B9C">
        <w:rPr>
          <w:rFonts w:ascii="Arial" w:hAnsi="Arial" w:cs="Arial"/>
          <w:sz w:val="22"/>
          <w:szCs w:val="22"/>
        </w:rPr>
        <w:t>8</w:t>
      </w:r>
      <w:r w:rsidRPr="00077FA3">
        <w:rPr>
          <w:rFonts w:ascii="Arial" w:hAnsi="Arial" w:cs="Arial"/>
          <w:sz w:val="22"/>
          <w:szCs w:val="22"/>
        </w:rPr>
        <w:t xml:space="preserve"> December 2025).</w:t>
      </w:r>
    </w:p>
    <w:p w14:paraId="0EC5A08F" w14:textId="2FB7B8A5" w:rsidR="00077FA3" w:rsidRPr="00077FA3" w:rsidRDefault="00077FA3" w:rsidP="00077FA3">
      <w:pPr>
        <w:spacing w:line="360" w:lineRule="auto"/>
        <w:rPr>
          <w:rFonts w:ascii="Arial" w:hAnsi="Arial" w:cs="Arial"/>
          <w:sz w:val="22"/>
          <w:szCs w:val="22"/>
        </w:rPr>
      </w:pPr>
      <w:r w:rsidRPr="00077FA3">
        <w:rPr>
          <w:rFonts w:ascii="Arial" w:hAnsi="Arial" w:cs="Arial"/>
          <w:sz w:val="22"/>
          <w:szCs w:val="22"/>
        </w:rPr>
        <w:t xml:space="preserve">Information Commissioner’s Office (2024) </w:t>
      </w:r>
      <w:r w:rsidRPr="00077FA3">
        <w:rPr>
          <w:rFonts w:ascii="Arial" w:hAnsi="Arial" w:cs="Arial"/>
          <w:i/>
          <w:iCs/>
          <w:sz w:val="22"/>
          <w:szCs w:val="22"/>
        </w:rPr>
        <w:t>Guide to the UK General Data Protection Regulation (UK GDPR)</w:t>
      </w:r>
      <w:r w:rsidRPr="00077FA3">
        <w:rPr>
          <w:rFonts w:ascii="Arial" w:hAnsi="Arial" w:cs="Arial"/>
          <w:sz w:val="22"/>
          <w:szCs w:val="22"/>
        </w:rPr>
        <w:t xml:space="preserve">. Available at: </w:t>
      </w:r>
      <w:hyperlink r:id="rId7" w:tgtFrame="_new" w:history="1">
        <w:r w:rsidRPr="00077FA3">
          <w:rPr>
            <w:rStyle w:val="Hyperlink"/>
            <w:rFonts w:ascii="Arial" w:hAnsi="Arial" w:cs="Arial"/>
            <w:sz w:val="22"/>
            <w:szCs w:val="22"/>
          </w:rPr>
          <w:t>https://ico.org.uk/</w:t>
        </w:r>
      </w:hyperlink>
      <w:r w:rsidRPr="00077FA3">
        <w:rPr>
          <w:rFonts w:ascii="Arial" w:hAnsi="Arial" w:cs="Arial"/>
          <w:sz w:val="22"/>
          <w:szCs w:val="22"/>
        </w:rPr>
        <w:t xml:space="preserve"> (Accessed: </w:t>
      </w:r>
      <w:r w:rsidR="00EE7B9C">
        <w:rPr>
          <w:rFonts w:ascii="Arial" w:hAnsi="Arial" w:cs="Arial"/>
          <w:sz w:val="22"/>
          <w:szCs w:val="22"/>
        </w:rPr>
        <w:t>8</w:t>
      </w:r>
      <w:r w:rsidRPr="00077FA3">
        <w:rPr>
          <w:rFonts w:ascii="Arial" w:hAnsi="Arial" w:cs="Arial"/>
          <w:sz w:val="22"/>
          <w:szCs w:val="22"/>
        </w:rPr>
        <w:t xml:space="preserve"> December 2025).</w:t>
      </w:r>
    </w:p>
    <w:p w14:paraId="4EAD38BC" w14:textId="77777777" w:rsidR="00077FA3" w:rsidRPr="00077FA3" w:rsidRDefault="00077FA3" w:rsidP="00077FA3">
      <w:pPr>
        <w:spacing w:line="360" w:lineRule="auto"/>
        <w:rPr>
          <w:rFonts w:ascii="Arial" w:hAnsi="Arial" w:cs="Arial"/>
          <w:sz w:val="22"/>
          <w:szCs w:val="22"/>
        </w:rPr>
      </w:pPr>
      <w:r w:rsidRPr="00077FA3">
        <w:rPr>
          <w:rFonts w:ascii="Arial" w:hAnsi="Arial" w:cs="Arial"/>
          <w:sz w:val="22"/>
          <w:szCs w:val="22"/>
        </w:rPr>
        <w:t xml:space="preserve">NHS England (2023) </w:t>
      </w:r>
      <w:r w:rsidRPr="00077FA3">
        <w:rPr>
          <w:rFonts w:ascii="Arial" w:hAnsi="Arial" w:cs="Arial"/>
          <w:i/>
          <w:iCs/>
          <w:sz w:val="22"/>
          <w:szCs w:val="22"/>
        </w:rPr>
        <w:t>Improving Inclusive Communication in Health and Social Care</w:t>
      </w:r>
      <w:r w:rsidRPr="00077FA3">
        <w:rPr>
          <w:rFonts w:ascii="Arial" w:hAnsi="Arial" w:cs="Arial"/>
          <w:sz w:val="22"/>
          <w:szCs w:val="22"/>
        </w:rPr>
        <w:t xml:space="preserve">. Available at: </w:t>
      </w:r>
      <w:hyperlink r:id="rId8" w:tgtFrame="_new" w:history="1">
        <w:r w:rsidRPr="00077FA3">
          <w:rPr>
            <w:rStyle w:val="Hyperlink"/>
            <w:rFonts w:ascii="Arial" w:hAnsi="Arial" w:cs="Arial"/>
            <w:sz w:val="22"/>
            <w:szCs w:val="22"/>
          </w:rPr>
          <w:t>https://www.england.nhs.uk/</w:t>
        </w:r>
      </w:hyperlink>
      <w:r w:rsidRPr="00077FA3">
        <w:rPr>
          <w:rFonts w:ascii="Arial" w:hAnsi="Arial" w:cs="Arial"/>
          <w:sz w:val="22"/>
          <w:szCs w:val="22"/>
        </w:rPr>
        <w:t xml:space="preserve"> (Accessed: 8 December 2025).</w:t>
      </w:r>
    </w:p>
    <w:p w14:paraId="19D9B996" w14:textId="77777777" w:rsidR="00784100" w:rsidRDefault="00784100"/>
    <w:sectPr w:rsidR="007841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BoldMT">
    <w:altName w:val="Arial"/>
    <w:panose1 w:val="020B0604020202020204"/>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2A74C55"/>
    <w:multiLevelType w:val="multilevel"/>
    <w:tmpl w:val="3C587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5338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6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7FA3"/>
    <w:rsid w:val="00051D96"/>
    <w:rsid w:val="00077FA3"/>
    <w:rsid w:val="00193B63"/>
    <w:rsid w:val="001E3548"/>
    <w:rsid w:val="002163BD"/>
    <w:rsid w:val="00312D82"/>
    <w:rsid w:val="005E3B19"/>
    <w:rsid w:val="00716DDA"/>
    <w:rsid w:val="00784100"/>
    <w:rsid w:val="00C930C6"/>
    <w:rsid w:val="00CA3DB2"/>
    <w:rsid w:val="00EA0941"/>
    <w:rsid w:val="00ED5530"/>
    <w:rsid w:val="00EE7B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1AF102"/>
  <w15:chartTrackingRefBased/>
  <w15:docId w15:val="{1B582C53-EE9C-4D2B-B811-1446A7BA65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7FA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77FA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7FA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7FA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7FA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7FA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7FA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7FA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7FA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7FA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77FA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7FA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7FA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7FA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7FA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7FA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7FA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7FA3"/>
    <w:rPr>
      <w:rFonts w:eastAsiaTheme="majorEastAsia" w:cstheme="majorBidi"/>
      <w:color w:val="272727" w:themeColor="text1" w:themeTint="D8"/>
    </w:rPr>
  </w:style>
  <w:style w:type="paragraph" w:styleId="Title">
    <w:name w:val="Title"/>
    <w:basedOn w:val="Normal"/>
    <w:next w:val="Normal"/>
    <w:link w:val="TitleChar"/>
    <w:uiPriority w:val="10"/>
    <w:qFormat/>
    <w:rsid w:val="00077FA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7FA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7FA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7FA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7FA3"/>
    <w:pPr>
      <w:spacing w:before="160"/>
      <w:jc w:val="center"/>
    </w:pPr>
    <w:rPr>
      <w:i/>
      <w:iCs/>
      <w:color w:val="404040" w:themeColor="text1" w:themeTint="BF"/>
    </w:rPr>
  </w:style>
  <w:style w:type="character" w:customStyle="1" w:styleId="QuoteChar">
    <w:name w:val="Quote Char"/>
    <w:basedOn w:val="DefaultParagraphFont"/>
    <w:link w:val="Quote"/>
    <w:uiPriority w:val="29"/>
    <w:rsid w:val="00077FA3"/>
    <w:rPr>
      <w:i/>
      <w:iCs/>
      <w:color w:val="404040" w:themeColor="text1" w:themeTint="BF"/>
    </w:rPr>
  </w:style>
  <w:style w:type="paragraph" w:styleId="ListParagraph">
    <w:name w:val="List Paragraph"/>
    <w:basedOn w:val="Normal"/>
    <w:uiPriority w:val="34"/>
    <w:qFormat/>
    <w:rsid w:val="00077FA3"/>
    <w:pPr>
      <w:ind w:left="720"/>
      <w:contextualSpacing/>
    </w:pPr>
  </w:style>
  <w:style w:type="character" w:styleId="IntenseEmphasis">
    <w:name w:val="Intense Emphasis"/>
    <w:basedOn w:val="DefaultParagraphFont"/>
    <w:uiPriority w:val="21"/>
    <w:qFormat/>
    <w:rsid w:val="00077FA3"/>
    <w:rPr>
      <w:i/>
      <w:iCs/>
      <w:color w:val="0F4761" w:themeColor="accent1" w:themeShade="BF"/>
    </w:rPr>
  </w:style>
  <w:style w:type="paragraph" w:styleId="IntenseQuote">
    <w:name w:val="Intense Quote"/>
    <w:basedOn w:val="Normal"/>
    <w:next w:val="Normal"/>
    <w:link w:val="IntenseQuoteChar"/>
    <w:uiPriority w:val="30"/>
    <w:qFormat/>
    <w:rsid w:val="00077FA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7FA3"/>
    <w:rPr>
      <w:i/>
      <w:iCs/>
      <w:color w:val="0F4761" w:themeColor="accent1" w:themeShade="BF"/>
    </w:rPr>
  </w:style>
  <w:style w:type="character" w:styleId="IntenseReference">
    <w:name w:val="Intense Reference"/>
    <w:basedOn w:val="DefaultParagraphFont"/>
    <w:uiPriority w:val="32"/>
    <w:qFormat/>
    <w:rsid w:val="00077FA3"/>
    <w:rPr>
      <w:b/>
      <w:bCs/>
      <w:smallCaps/>
      <w:color w:val="0F4761" w:themeColor="accent1" w:themeShade="BF"/>
      <w:spacing w:val="5"/>
    </w:rPr>
  </w:style>
  <w:style w:type="character" w:styleId="Hyperlink">
    <w:name w:val="Hyperlink"/>
    <w:basedOn w:val="DefaultParagraphFont"/>
    <w:uiPriority w:val="99"/>
    <w:unhideWhenUsed/>
    <w:rsid w:val="00077FA3"/>
    <w:rPr>
      <w:color w:val="467886" w:themeColor="hyperlink"/>
      <w:u w:val="single"/>
    </w:rPr>
  </w:style>
  <w:style w:type="character" w:styleId="UnresolvedMention">
    <w:name w:val="Unresolved Mention"/>
    <w:basedOn w:val="DefaultParagraphFont"/>
    <w:uiPriority w:val="99"/>
    <w:semiHidden/>
    <w:unhideWhenUsed/>
    <w:rsid w:val="00077FA3"/>
    <w:rPr>
      <w:color w:val="605E5C"/>
      <w:shd w:val="clear" w:color="auto" w:fill="E1DFDD"/>
    </w:rPr>
  </w:style>
  <w:style w:type="paragraph" w:customStyle="1" w:styleId="p1">
    <w:name w:val="p1"/>
    <w:basedOn w:val="Normal"/>
    <w:rsid w:val="00ED5530"/>
    <w:pPr>
      <w:spacing w:after="0" w:line="240" w:lineRule="auto"/>
    </w:pPr>
    <w:rPr>
      <w:rFonts w:ascii="Arial" w:eastAsiaTheme="minorEastAsia" w:hAnsi="Arial" w:cs="Arial"/>
      <w:color w:val="000000"/>
      <w:kern w:val="0"/>
      <w:sz w:val="17"/>
      <w:szCs w:val="17"/>
      <w:lang w:eastAsia="en-GB"/>
      <w14:ligatures w14:val="none"/>
    </w:rPr>
  </w:style>
  <w:style w:type="character" w:customStyle="1" w:styleId="s1">
    <w:name w:val="s1"/>
    <w:basedOn w:val="DefaultParagraphFont"/>
    <w:rsid w:val="00ED5530"/>
    <w:rPr>
      <w:rFonts w:ascii="Arial-BoldMT" w:hAnsi="Arial-BoldMT" w:hint="default"/>
      <w:b/>
      <w:bCs/>
      <w:i w:val="0"/>
      <w:iCs w:val="0"/>
      <w:sz w:val="17"/>
      <w:szCs w:val="17"/>
    </w:rPr>
  </w:style>
  <w:style w:type="character" w:customStyle="1" w:styleId="apple-converted-space">
    <w:name w:val="apple-converted-space"/>
    <w:basedOn w:val="DefaultParagraphFont"/>
    <w:rsid w:val="00ED55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ngland.nhs.uk/" TargetMode="External"/><Relationship Id="rId3" Type="http://schemas.openxmlformats.org/officeDocument/2006/relationships/settings" Target="settings.xml"/><Relationship Id="rId7" Type="http://schemas.openxmlformats.org/officeDocument/2006/relationships/hyperlink" Target="https://ico.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hcpc-uk.org/" TargetMode="External"/><Relationship Id="rId5" Type="http://schemas.openxmlformats.org/officeDocument/2006/relationships/hyperlink" Target="https://www.cqc.org.uk/"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14</TotalTime>
  <Pages>1</Pages>
  <Words>1825</Words>
  <Characters>10403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Sabrina Judge</dc:creator>
  <cp:keywords/>
  <dc:description/>
  <cp:lastModifiedBy>John Ben Chapman (2424587)</cp:lastModifiedBy>
  <cp:revision>9</cp:revision>
  <dcterms:created xsi:type="dcterms:W3CDTF">2025-12-09T11:01:00Z</dcterms:created>
  <dcterms:modified xsi:type="dcterms:W3CDTF">2025-12-11T08:49:00Z</dcterms:modified>
</cp:coreProperties>
</file>