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52062" w14:textId="77777777" w:rsidR="001808C3" w:rsidRDefault="001808C3"/>
    <w:p w14:paraId="65A9A7FA" w14:textId="0CE70F5D"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E21CA1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D45E6">
              <w:rPr>
                <w:rFonts w:ascii="Times New Roman" w:hAnsi="Times New Roman" w:cs="Times New Roman"/>
                <w:b/>
                <w:color w:val="auto"/>
                <w:sz w:val="48"/>
              </w:rPr>
              <w:t>Rhiana Povey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C3BB6A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D45E6">
              <w:rPr>
                <w:rFonts w:ascii="Times New Roman" w:hAnsi="Times New Roman" w:cs="Times New Roman"/>
                <w:b/>
                <w:color w:val="auto"/>
                <w:sz w:val="48"/>
              </w:rPr>
              <w:t xml:space="preserve"> 2332580@student.uwtsd.ac.uk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693095F" w14:textId="77777777" w:rsidR="001D45E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D45E6">
              <w:rPr>
                <w:rFonts w:ascii="Times New Roman" w:hAnsi="Times New Roman" w:cs="Times New Roman"/>
                <w:b/>
                <w:color w:val="auto"/>
                <w:sz w:val="48"/>
              </w:rPr>
              <w:t xml:space="preserve"> </w:t>
            </w:r>
          </w:p>
          <w:p w14:paraId="0DE696B2" w14:textId="56639D36" w:rsidR="00F927A1" w:rsidRPr="005D3F07" w:rsidRDefault="001D45E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2332580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lastRenderedPageBreak/>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1840604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087BB32E" w14:textId="77777777" w:rsidR="00447711" w:rsidRDefault="00447711" w:rsidP="00FF7EBB">
            <w:pPr>
              <w:jc w:val="both"/>
              <w:rPr>
                <w:i/>
                <w:sz w:val="24"/>
                <w:szCs w:val="24"/>
              </w:rPr>
            </w:pPr>
          </w:p>
          <w:p w14:paraId="3B002581" w14:textId="77777777" w:rsidR="00447711" w:rsidRDefault="00447711" w:rsidP="00447711">
            <w:pPr>
              <w:jc w:val="both"/>
              <w:rPr>
                <w:iCs/>
                <w:sz w:val="24"/>
                <w:szCs w:val="24"/>
              </w:rPr>
            </w:pPr>
            <w:r w:rsidRPr="00447711">
              <w:rPr>
                <w:iCs/>
                <w:sz w:val="24"/>
                <w:szCs w:val="24"/>
              </w:rPr>
              <w:t>This case study critically reflects upon a safeguarding assessment undertaken collaboratively with multi-agency professionals in my role as a children's disability social worker in Wales. It concerns two siblings, referred to throughout as Child 2 and Child 3, but focuses primarily upon Child 2, a 15-year-old looked after child who presented with suicidal ideation, low mood and symptoms consistent with anxiety and depression whilst living in foster care. The intervention required careful consideration of safeguarding legislation, policy and guidance operating at Welsh, UK and international levels, together with the application of social work theory and professional judgement in a highly complex situation.</w:t>
            </w:r>
          </w:p>
          <w:p w14:paraId="5D45FA6B" w14:textId="77777777" w:rsidR="00447711" w:rsidRPr="00447711" w:rsidRDefault="00447711" w:rsidP="00447711">
            <w:pPr>
              <w:jc w:val="both"/>
              <w:rPr>
                <w:iCs/>
                <w:sz w:val="24"/>
                <w:szCs w:val="24"/>
              </w:rPr>
            </w:pPr>
          </w:p>
          <w:p w14:paraId="0FAB8FE5" w14:textId="77777777" w:rsidR="00447711" w:rsidRDefault="00447711" w:rsidP="00447711">
            <w:pPr>
              <w:jc w:val="both"/>
              <w:rPr>
                <w:iCs/>
                <w:sz w:val="24"/>
                <w:szCs w:val="24"/>
              </w:rPr>
            </w:pPr>
            <w:r w:rsidRPr="00447711">
              <w:rPr>
                <w:iCs/>
                <w:sz w:val="24"/>
                <w:szCs w:val="24"/>
              </w:rPr>
              <w:t>Throughout this case, I was required to balance my statutory safeguarding responsibilities with the child's human rights, wellbeing, participation and voice. This reflected one of the fundamental challenges of contemporary social work practice in Wales: ensuring that safeguarding interventions are lawful, proportionate and evidence-based whilst remaining person-centred. The case therefore provides an opportunity to critically reflect upon the relationship between legislation and practice, highlighting the ethical dilemmas that arise when professionals must balance competing rights in order to protect vulnerable children.</w:t>
            </w:r>
          </w:p>
          <w:p w14:paraId="6CA0A771" w14:textId="77777777" w:rsidR="006A4B45" w:rsidRPr="00447711" w:rsidRDefault="006A4B45" w:rsidP="00447711">
            <w:pPr>
              <w:jc w:val="both"/>
              <w:rPr>
                <w:iCs/>
                <w:sz w:val="24"/>
                <w:szCs w:val="24"/>
              </w:rPr>
            </w:pPr>
          </w:p>
          <w:p w14:paraId="43BC095A" w14:textId="77777777" w:rsidR="00447711" w:rsidRDefault="00447711" w:rsidP="00447711">
            <w:pPr>
              <w:jc w:val="both"/>
              <w:rPr>
                <w:iCs/>
                <w:sz w:val="24"/>
                <w:szCs w:val="24"/>
              </w:rPr>
            </w:pPr>
            <w:r w:rsidRPr="00447711">
              <w:rPr>
                <w:iCs/>
                <w:sz w:val="24"/>
                <w:szCs w:val="24"/>
              </w:rPr>
              <w:t xml:space="preserve">Prior to becoming known to Children's Services, Child 2 and Child 3 lived with their mother (Adult 2) in North Wales. Child 2 had Global Developmental Delay and Child 3 had Autism Spectrum Disorder. Following a deterioration in Adult 2's mental health, both children became subject to Care Orders under Section 31 of the Children Act 1989 and were placed together with an independent fostering agency over an hour from their family home. Although the </w:t>
            </w:r>
            <w:r w:rsidRPr="00447711">
              <w:rPr>
                <w:iCs/>
                <w:sz w:val="24"/>
                <w:szCs w:val="24"/>
              </w:rPr>
              <w:lastRenderedPageBreak/>
              <w:t>placement provided stability, the distance created additional emotional challenges by disrupting family relationships, support networks and continuity.</w:t>
            </w:r>
          </w:p>
          <w:p w14:paraId="2A5F1429" w14:textId="77777777" w:rsidR="00447711" w:rsidRPr="00447711" w:rsidRDefault="00447711" w:rsidP="00447711">
            <w:pPr>
              <w:jc w:val="both"/>
              <w:rPr>
                <w:iCs/>
                <w:sz w:val="24"/>
                <w:szCs w:val="24"/>
              </w:rPr>
            </w:pPr>
          </w:p>
          <w:p w14:paraId="12C1DF56" w14:textId="77777777" w:rsidR="00447711" w:rsidRDefault="00447711" w:rsidP="00447711">
            <w:pPr>
              <w:jc w:val="both"/>
              <w:rPr>
                <w:iCs/>
                <w:sz w:val="24"/>
                <w:szCs w:val="24"/>
              </w:rPr>
            </w:pPr>
            <w:r w:rsidRPr="00447711">
              <w:rPr>
                <w:iCs/>
                <w:sz w:val="24"/>
                <w:szCs w:val="24"/>
              </w:rPr>
              <w:t>Disabled children are more likely to experience placement instability because of the limited availability of carers able to meet complex needs (Morris, 1995; McConkey et al., 2004). Whilst the placement offered stability, research suggests that out-of-county placements may affect children's identity, emotional wellbeing and family relationships. Consequently, safeguarding must promote emotional wellbeing as well as physical safety.</w:t>
            </w:r>
          </w:p>
          <w:p w14:paraId="232B6F1F" w14:textId="77777777" w:rsidR="00447711" w:rsidRPr="00447711" w:rsidRDefault="00447711" w:rsidP="00447711">
            <w:pPr>
              <w:jc w:val="both"/>
              <w:rPr>
                <w:iCs/>
                <w:sz w:val="24"/>
                <w:szCs w:val="24"/>
              </w:rPr>
            </w:pPr>
          </w:p>
          <w:p w14:paraId="32A199CB" w14:textId="77777777" w:rsidR="00447711" w:rsidRDefault="00447711" w:rsidP="00447711">
            <w:pPr>
              <w:jc w:val="both"/>
              <w:rPr>
                <w:iCs/>
                <w:sz w:val="24"/>
                <w:szCs w:val="24"/>
              </w:rPr>
            </w:pPr>
            <w:r w:rsidRPr="00447711">
              <w:rPr>
                <w:iCs/>
                <w:sz w:val="24"/>
                <w:szCs w:val="24"/>
              </w:rPr>
              <w:t>In Wales, looked after children are principally safeguarded under the Social Services and Well-being (Wales) Act 2014, which promotes wellbeing, participation and voice. The Children Act 1989 continues to govern Care Orders and parental responsibility, whilst the Children Act 2004 strengthens multi-agency cooperation. These duties are supported by the Care Planning, Placement and Case Review (Wales) Regulations 2015, which set out requirements for care planning and statutory review.</w:t>
            </w:r>
          </w:p>
          <w:p w14:paraId="03D254FB" w14:textId="77777777" w:rsidR="00447711" w:rsidRPr="00447711" w:rsidRDefault="00447711" w:rsidP="00447711">
            <w:pPr>
              <w:jc w:val="both"/>
              <w:rPr>
                <w:iCs/>
                <w:sz w:val="24"/>
                <w:szCs w:val="24"/>
              </w:rPr>
            </w:pPr>
          </w:p>
          <w:p w14:paraId="7C95D962" w14:textId="7CD1C641" w:rsidR="00447711" w:rsidRDefault="00D24E05" w:rsidP="00447711">
            <w:pPr>
              <w:jc w:val="both"/>
              <w:rPr>
                <w:iCs/>
                <w:sz w:val="24"/>
                <w:szCs w:val="24"/>
              </w:rPr>
            </w:pPr>
            <w:r>
              <w:rPr>
                <w:iCs/>
                <w:sz w:val="24"/>
                <w:szCs w:val="24"/>
              </w:rPr>
              <w:t>S</w:t>
            </w:r>
            <w:r w:rsidR="00447711" w:rsidRPr="00447711">
              <w:rPr>
                <w:iCs/>
                <w:sz w:val="24"/>
                <w:szCs w:val="24"/>
              </w:rPr>
              <w:t>tatutory safeguarding duties cannot be considered in isolation. Practitioners must also ensure that interventions remain compatible with the Human Rights Act 1998, which incorporates the European Convention on Human Rights (ECHR) into UK law. Article 8 of the ECHR protects the right to respect for private and family life for both children and parents. Although this right is qualified rather than absolute, any interference by public authorities must be lawful, pursue a legitimate aim and remain necessary and proportionate. Consequently, safeguarding practice requires social workers to balance children's rights to protection with parents' rights to family life, ensuring interventions represent the least restrictive response capable of managing identified risks.</w:t>
            </w:r>
          </w:p>
          <w:p w14:paraId="68D404CC" w14:textId="77777777" w:rsidR="00447711" w:rsidRPr="00447711" w:rsidRDefault="00447711" w:rsidP="00447711">
            <w:pPr>
              <w:jc w:val="both"/>
              <w:rPr>
                <w:iCs/>
                <w:sz w:val="24"/>
                <w:szCs w:val="24"/>
              </w:rPr>
            </w:pPr>
          </w:p>
          <w:p w14:paraId="1BC1803C" w14:textId="77777777" w:rsidR="00447711" w:rsidRDefault="00447711" w:rsidP="00447711">
            <w:pPr>
              <w:jc w:val="both"/>
              <w:rPr>
                <w:iCs/>
                <w:sz w:val="24"/>
                <w:szCs w:val="24"/>
              </w:rPr>
            </w:pPr>
            <w:r w:rsidRPr="00447711">
              <w:rPr>
                <w:iCs/>
                <w:sz w:val="24"/>
                <w:szCs w:val="24"/>
              </w:rPr>
              <w:t>This principle has been reinforced through European Court of Human Rights case law. In Olsson v Sweden (1988), the Court held that although states may intervene to protect children, such intervention must remain proportionate to the identified risks and should not exceed what is necessary to achieve the legitimate aim of safeguarding. Similarly, K and T v Finland (2001) confirmed that emergency intervention may be justified where there are reasonable grounds to believe a child is at immediate risk; however, authorities remain under a continuing obligation to review whether the interference with family life remains necessary. These judgments demonstrate that safeguarding practice requires continual professional judgement rather than simple compliance with legislation, reinforcing the importance of balancing competing legal rights throughout decision-making.</w:t>
            </w:r>
          </w:p>
          <w:p w14:paraId="3FD0C198" w14:textId="77777777" w:rsidR="00447711" w:rsidRPr="00447711" w:rsidRDefault="00447711" w:rsidP="00447711">
            <w:pPr>
              <w:jc w:val="both"/>
              <w:rPr>
                <w:iCs/>
                <w:sz w:val="24"/>
                <w:szCs w:val="24"/>
              </w:rPr>
            </w:pPr>
          </w:p>
          <w:p w14:paraId="69614C8B" w14:textId="77777777" w:rsidR="00447711" w:rsidRDefault="00447711" w:rsidP="00447711">
            <w:pPr>
              <w:jc w:val="both"/>
              <w:rPr>
                <w:iCs/>
                <w:sz w:val="24"/>
                <w:szCs w:val="24"/>
              </w:rPr>
            </w:pPr>
            <w:r w:rsidRPr="00447711">
              <w:rPr>
                <w:iCs/>
                <w:sz w:val="24"/>
                <w:szCs w:val="24"/>
              </w:rPr>
              <w:t xml:space="preserve">The international safeguarding framework is further strengthened through the United Nations Convention on the Rights of the Child (1989). Article 3 requires that the child's best interests are a primary consideration in all decisions affecting them, Article 12 establishes children's rights to express their views and have these taken seriously according to their age and understanding, whilst Article 19 requires states to protect children from all forms of abuse, neglect and harm. These principles closely align with the values underpinning Welsh legislation, particularly the emphasis placed upon wellbeing, voice and participation within the Social Services and Well-being (Wales) Act 2014. Nevertheless, tensions may arise where respecting family autonomy under Article 8 of the ECHR appears to conflict with the child's </w:t>
            </w:r>
            <w:r w:rsidRPr="00447711">
              <w:rPr>
                <w:iCs/>
                <w:sz w:val="24"/>
                <w:szCs w:val="24"/>
              </w:rPr>
              <w:lastRenderedPageBreak/>
              <w:t>right to protection under the UNCRC. This case therefore required continual reflection upon whether safeguarding interventions remained proportionate, evidence-based and ethically justified whilst ensuring Child 2's welfare remained the paramount consideration.</w:t>
            </w:r>
          </w:p>
          <w:p w14:paraId="7703915F" w14:textId="77777777" w:rsidR="00447711" w:rsidRPr="00447711" w:rsidRDefault="00447711" w:rsidP="00447711">
            <w:pPr>
              <w:jc w:val="both"/>
              <w:rPr>
                <w:iCs/>
                <w:sz w:val="24"/>
                <w:szCs w:val="24"/>
              </w:rPr>
            </w:pPr>
          </w:p>
          <w:p w14:paraId="54C26D07" w14:textId="77777777" w:rsidR="00447711" w:rsidRDefault="00447711" w:rsidP="00447711">
            <w:pPr>
              <w:jc w:val="both"/>
              <w:rPr>
                <w:iCs/>
                <w:sz w:val="24"/>
                <w:szCs w:val="24"/>
              </w:rPr>
            </w:pPr>
            <w:r w:rsidRPr="00447711">
              <w:rPr>
                <w:iCs/>
                <w:sz w:val="24"/>
                <w:szCs w:val="24"/>
              </w:rPr>
              <w:t>Although England and Wales share core children's legislation, Wales places greater emphasis on wellbeing, strengths-based practice and participation through the Social Services and Well-being (Wales) Act 2014, whereas England places greater emphasis on permanence and safeguarding outcomes. Recognising these differences is important when reflecting on safeguarding practice within Wales.</w:t>
            </w:r>
          </w:p>
          <w:p w14:paraId="40A110E2" w14:textId="77777777" w:rsidR="00447711" w:rsidRPr="00447711" w:rsidRDefault="00447711" w:rsidP="00447711">
            <w:pPr>
              <w:jc w:val="both"/>
              <w:rPr>
                <w:iCs/>
                <w:sz w:val="24"/>
                <w:szCs w:val="24"/>
              </w:rPr>
            </w:pPr>
          </w:p>
          <w:p w14:paraId="41DD7B09" w14:textId="77777777" w:rsidR="00447711" w:rsidRDefault="00447711" w:rsidP="00447711">
            <w:pPr>
              <w:jc w:val="both"/>
              <w:rPr>
                <w:iCs/>
                <w:sz w:val="24"/>
                <w:szCs w:val="24"/>
              </w:rPr>
            </w:pPr>
            <w:r w:rsidRPr="00447711">
              <w:rPr>
                <w:iCs/>
                <w:sz w:val="24"/>
                <w:szCs w:val="24"/>
              </w:rPr>
              <w:t>As outlined previously, this case study focuses on Child 2 who, after living in foster care for over five years, disclosed suicidal ideation and symptoms of anxiety and depression. As his allocated social worker, my role extended beyond responding to immediate risk to promoting his wellbeing, ensuring his wishes and feelings informed decision-making and coordinating an effective multi-agency response.</w:t>
            </w:r>
          </w:p>
          <w:p w14:paraId="7F79B2A9" w14:textId="77777777" w:rsidR="00447711" w:rsidRPr="00447711" w:rsidRDefault="00447711" w:rsidP="00447711">
            <w:pPr>
              <w:jc w:val="both"/>
              <w:rPr>
                <w:iCs/>
                <w:sz w:val="24"/>
                <w:szCs w:val="24"/>
              </w:rPr>
            </w:pPr>
          </w:p>
          <w:p w14:paraId="68C5EBC6" w14:textId="77777777" w:rsidR="00447711" w:rsidRDefault="00447711" w:rsidP="00447711">
            <w:pPr>
              <w:jc w:val="both"/>
              <w:rPr>
                <w:iCs/>
                <w:sz w:val="24"/>
                <w:szCs w:val="24"/>
              </w:rPr>
            </w:pPr>
            <w:r w:rsidRPr="00447711">
              <w:rPr>
                <w:iCs/>
                <w:sz w:val="24"/>
                <w:szCs w:val="24"/>
              </w:rPr>
              <w:t>When the school reported Child 2's disclosure, it met the threshold of a child at risk under Section 130 of the Social Services and Well-being (Wales) Act 2014, requiring Children's Services to undertake further enquiries and determine whether additional safeguarding intervention was necessary.</w:t>
            </w:r>
          </w:p>
          <w:p w14:paraId="6707D4EE" w14:textId="77777777" w:rsidR="00447711" w:rsidRPr="00447711" w:rsidRDefault="00447711" w:rsidP="00447711">
            <w:pPr>
              <w:jc w:val="both"/>
              <w:rPr>
                <w:iCs/>
                <w:sz w:val="24"/>
                <w:szCs w:val="24"/>
              </w:rPr>
            </w:pPr>
          </w:p>
          <w:p w14:paraId="0BF2ED2A" w14:textId="77777777" w:rsidR="00447711" w:rsidRDefault="00447711" w:rsidP="00447711">
            <w:pPr>
              <w:jc w:val="both"/>
              <w:rPr>
                <w:iCs/>
                <w:sz w:val="24"/>
                <w:szCs w:val="24"/>
              </w:rPr>
            </w:pPr>
            <w:r w:rsidRPr="00447711">
              <w:rPr>
                <w:iCs/>
                <w:sz w:val="24"/>
                <w:szCs w:val="24"/>
              </w:rPr>
              <w:t>The statutory duty to report concerns is reinforced within Working Together to Safeguard People: Volume 1 (Social Care Wales, 2017a), which requires agencies including education, health, police and local authorities to work collaboratively to safeguard children. In this case, the school appropriately recognised that Child 2's disclosure represented a potential safeguarding concern and promptly shared information with Children's Services. Their response demonstrated effective multi-agency working and reflected the preventative ethos underpinning Welsh safeguarding practice by responding at the earliest indication of significant emotional harm rather than waiting for the situation to deteriorate further.</w:t>
            </w:r>
          </w:p>
          <w:p w14:paraId="084FFFC5" w14:textId="77777777" w:rsidR="00447711" w:rsidRPr="00447711" w:rsidRDefault="00447711" w:rsidP="00447711">
            <w:pPr>
              <w:jc w:val="both"/>
              <w:rPr>
                <w:iCs/>
                <w:sz w:val="24"/>
                <w:szCs w:val="24"/>
              </w:rPr>
            </w:pPr>
          </w:p>
          <w:p w14:paraId="01811CC2" w14:textId="77777777" w:rsidR="00447711" w:rsidRDefault="00447711" w:rsidP="00447711">
            <w:pPr>
              <w:jc w:val="both"/>
              <w:rPr>
                <w:iCs/>
                <w:sz w:val="24"/>
                <w:szCs w:val="24"/>
              </w:rPr>
            </w:pPr>
            <w:r w:rsidRPr="00447711">
              <w:rPr>
                <w:iCs/>
                <w:sz w:val="24"/>
                <w:szCs w:val="24"/>
              </w:rPr>
              <w:t>However, although legislation clearly outlines the statutory duty to share safeguarding information, applying this within practice is often considerably more complex. Different professionals may interpret thresholds of risk differently depending upon their own professional experiences, organisational cultures and understanding of safeguarding legislation. Consequently, practitioners may either over-report concerns through fear of missing significant harm or under-report concerns due to uncertainty regarding whether the threshold has been met. This highlights that safeguarding decisions are not simply procedural but require professional judgement informed by legislation, research and reflective practice.</w:t>
            </w:r>
          </w:p>
          <w:p w14:paraId="2A55CC43" w14:textId="77777777" w:rsidR="00BD13CD" w:rsidRPr="00447711" w:rsidRDefault="00BD13CD" w:rsidP="00447711">
            <w:pPr>
              <w:jc w:val="both"/>
              <w:rPr>
                <w:iCs/>
                <w:sz w:val="24"/>
                <w:szCs w:val="24"/>
              </w:rPr>
            </w:pPr>
          </w:p>
          <w:p w14:paraId="5138F04E" w14:textId="1DD47D50" w:rsidR="00447711" w:rsidRDefault="00447711" w:rsidP="00447711">
            <w:pPr>
              <w:jc w:val="both"/>
              <w:rPr>
                <w:iCs/>
                <w:sz w:val="24"/>
                <w:szCs w:val="24"/>
              </w:rPr>
            </w:pPr>
            <w:r w:rsidRPr="00447711">
              <w:rPr>
                <w:iCs/>
                <w:sz w:val="24"/>
                <w:szCs w:val="24"/>
              </w:rPr>
              <w:t xml:space="preserve">Working Together to Safeguard People (Social Care Wales, 2017a) </w:t>
            </w:r>
            <w:r w:rsidR="00BD13CD" w:rsidRPr="00447711">
              <w:rPr>
                <w:iCs/>
                <w:sz w:val="24"/>
                <w:szCs w:val="24"/>
              </w:rPr>
              <w:t>require</w:t>
            </w:r>
            <w:r w:rsidRPr="00447711">
              <w:rPr>
                <w:iCs/>
                <w:sz w:val="24"/>
                <w:szCs w:val="24"/>
              </w:rPr>
              <w:t xml:space="preserve"> agencies to share safeguarding concerns where a child may be at risk. Although information sharing represents an interference with confidentiality and Article 8 rights, I concluded that sharing Child 2's disclosure was lawful, necessary and proportionate because it enabled agencies to safeguard a vulnerable child experiencing escalating emotional harm. This highlighted that safeguarding decisions rely upon professional judgement rather than procedural compliance alone.</w:t>
            </w:r>
          </w:p>
          <w:p w14:paraId="13947331" w14:textId="77777777" w:rsidR="00447711" w:rsidRPr="00447711" w:rsidRDefault="00447711" w:rsidP="00447711">
            <w:pPr>
              <w:jc w:val="both"/>
              <w:rPr>
                <w:iCs/>
                <w:sz w:val="24"/>
                <w:szCs w:val="24"/>
              </w:rPr>
            </w:pPr>
          </w:p>
          <w:p w14:paraId="1067B229" w14:textId="77777777" w:rsidR="00447711" w:rsidRDefault="00447711" w:rsidP="00447711">
            <w:pPr>
              <w:jc w:val="both"/>
              <w:rPr>
                <w:iCs/>
                <w:sz w:val="24"/>
                <w:szCs w:val="24"/>
              </w:rPr>
            </w:pPr>
            <w:r w:rsidRPr="00447711">
              <w:rPr>
                <w:iCs/>
                <w:sz w:val="24"/>
                <w:szCs w:val="24"/>
              </w:rPr>
              <w:lastRenderedPageBreak/>
              <w:t>Following receipt of the referral, I contacted Child 2's foster carer to establish his immediate safety, ensure appropriate supervision and seek management oversight whilst an initial assessment was undertaken. Although prompt action was required, I remained mindful that safeguarding interventions should be proportionate and avoid unnecessary intrusion.</w:t>
            </w:r>
          </w:p>
          <w:p w14:paraId="54D7EB57" w14:textId="77777777" w:rsidR="00032DC1" w:rsidRPr="00447711" w:rsidRDefault="00032DC1" w:rsidP="00447711">
            <w:pPr>
              <w:jc w:val="both"/>
              <w:rPr>
                <w:iCs/>
                <w:sz w:val="24"/>
                <w:szCs w:val="24"/>
              </w:rPr>
            </w:pPr>
          </w:p>
          <w:p w14:paraId="752A9B52" w14:textId="77777777" w:rsidR="00447711" w:rsidRDefault="00447711" w:rsidP="00447711">
            <w:pPr>
              <w:jc w:val="both"/>
              <w:rPr>
                <w:iCs/>
                <w:sz w:val="24"/>
                <w:szCs w:val="24"/>
              </w:rPr>
            </w:pPr>
            <w:r w:rsidRPr="00447711">
              <w:rPr>
                <w:iCs/>
                <w:sz w:val="24"/>
                <w:szCs w:val="24"/>
              </w:rPr>
              <w:t>A Strategy Discussion was requested on the same day in accordance with Part 7 of the Social Services and Well-being (Wales) Act 2014 and the Wales Safeguarding Procedures (2019). Strategy Discussions provide an opportunity for Children's Services, Police and relevant partner agencies to share information, evaluate risk and determine whether a child protection enquiry should be undertaken. Their purpose is not only to coordinate investigations but also to ensure that decisions are based upon the fullest available information, reducing the likelihood of fragmented practice or isolated decision-making.</w:t>
            </w:r>
          </w:p>
          <w:p w14:paraId="2FC49524" w14:textId="77777777" w:rsidR="00447711" w:rsidRPr="00447711" w:rsidRDefault="00447711" w:rsidP="00447711">
            <w:pPr>
              <w:jc w:val="both"/>
              <w:rPr>
                <w:iCs/>
                <w:sz w:val="24"/>
                <w:szCs w:val="24"/>
              </w:rPr>
            </w:pPr>
          </w:p>
          <w:p w14:paraId="7E957D1D" w14:textId="77777777" w:rsidR="00447711" w:rsidRDefault="00447711" w:rsidP="00447711">
            <w:pPr>
              <w:jc w:val="both"/>
              <w:rPr>
                <w:iCs/>
                <w:sz w:val="24"/>
                <w:szCs w:val="24"/>
              </w:rPr>
            </w:pPr>
            <w:r w:rsidRPr="00447711">
              <w:rPr>
                <w:iCs/>
                <w:sz w:val="24"/>
                <w:szCs w:val="24"/>
              </w:rPr>
              <w:t>Reflecting upon this decision, I recognised that requesting a Strategy Discussion created an important professional and ethical dilemma. Whilst my statutory responsibility required me to safeguard Child 2, convening a multi-agency meeting inevitably represented an intervention into the child's and family's rights to private and family life protected under Article 8 of the European Convention on Human Rights. Although Child 2 was subject to a Care Order and the Local Authority shared parental responsibility, this did not remove the obligation to ensure that every intervention remained lawful, proportionate and justified. Consequently, I was required to consider whether the proposed safeguarding response represented the least restrictive option capable of protecting Child 2 whilst respecting his and his family's rights.</w:t>
            </w:r>
          </w:p>
          <w:p w14:paraId="71818D05" w14:textId="77777777" w:rsidR="00447711" w:rsidRPr="00447711" w:rsidRDefault="00447711" w:rsidP="00447711">
            <w:pPr>
              <w:jc w:val="both"/>
              <w:rPr>
                <w:iCs/>
                <w:sz w:val="24"/>
                <w:szCs w:val="24"/>
              </w:rPr>
            </w:pPr>
          </w:p>
          <w:p w14:paraId="47EDCA21" w14:textId="14CB4D8E" w:rsidR="00447711" w:rsidRDefault="00447711" w:rsidP="00447711">
            <w:pPr>
              <w:jc w:val="both"/>
              <w:rPr>
                <w:iCs/>
                <w:sz w:val="24"/>
                <w:szCs w:val="24"/>
              </w:rPr>
            </w:pPr>
            <w:r w:rsidRPr="00447711">
              <w:rPr>
                <w:iCs/>
                <w:sz w:val="24"/>
                <w:szCs w:val="24"/>
              </w:rPr>
              <w:t>This experience reinforced that safeguarding practice involves balancing competing legal duties rather than simply applying legislation. Whilst the UN Convention on the Rights of the Child requires professionals to prioritise children's best interests (Article 3), listen to children's views (Article 12) and protect them from harm (Article 19), Article 8 of the European Convention on Human Rights simultaneously requires respect for private and family life. These rights are not mutually exclusive</w:t>
            </w:r>
            <w:r w:rsidR="004271FB">
              <w:rPr>
                <w:iCs/>
                <w:sz w:val="24"/>
                <w:szCs w:val="24"/>
              </w:rPr>
              <w:t>,</w:t>
            </w:r>
            <w:r w:rsidRPr="00447711">
              <w:rPr>
                <w:iCs/>
                <w:sz w:val="24"/>
                <w:szCs w:val="24"/>
              </w:rPr>
              <w:t xml:space="preserve"> however, they frequently require practitioners to make difficult professional judgements regarding proportionality. In this case, I concluded that the seriousness of Child 2's disclosure justified immediate multi-agency intervention because the potential consequences of failing to act outweighed the limited and proportionate interference with family life.</w:t>
            </w:r>
          </w:p>
          <w:p w14:paraId="6CCDCFA2" w14:textId="77777777" w:rsidR="00447711" w:rsidRPr="00447711" w:rsidRDefault="00447711" w:rsidP="00447711">
            <w:pPr>
              <w:jc w:val="both"/>
              <w:rPr>
                <w:iCs/>
                <w:sz w:val="24"/>
                <w:szCs w:val="24"/>
              </w:rPr>
            </w:pPr>
          </w:p>
          <w:p w14:paraId="087032ED" w14:textId="77777777" w:rsidR="00447711" w:rsidRDefault="00447711" w:rsidP="00447711">
            <w:pPr>
              <w:jc w:val="both"/>
              <w:rPr>
                <w:iCs/>
                <w:sz w:val="24"/>
                <w:szCs w:val="24"/>
              </w:rPr>
            </w:pPr>
            <w:r w:rsidRPr="00447711">
              <w:rPr>
                <w:iCs/>
                <w:sz w:val="24"/>
                <w:szCs w:val="24"/>
              </w:rPr>
              <w:t>My decision-making was supported by Olsson v Sweden (1988) and K and T v Finland (2001), which establish that safeguarding intervention must remain lawful, proportionate and subject to ongoing review. These judgments reinforced the importance of continually evaluating whether my intervention represented the least restrictive response capable of protecting Child 2.</w:t>
            </w:r>
          </w:p>
          <w:p w14:paraId="4D21845A" w14:textId="77777777" w:rsidR="00447711" w:rsidRPr="00447711" w:rsidRDefault="00447711" w:rsidP="00447711">
            <w:pPr>
              <w:jc w:val="both"/>
              <w:rPr>
                <w:iCs/>
                <w:sz w:val="24"/>
                <w:szCs w:val="24"/>
              </w:rPr>
            </w:pPr>
          </w:p>
          <w:p w14:paraId="535E66E4" w14:textId="77777777" w:rsidR="00447711" w:rsidRDefault="00447711" w:rsidP="00447711">
            <w:pPr>
              <w:jc w:val="both"/>
              <w:rPr>
                <w:iCs/>
                <w:sz w:val="24"/>
                <w:szCs w:val="24"/>
              </w:rPr>
            </w:pPr>
            <w:r w:rsidRPr="00447711">
              <w:rPr>
                <w:iCs/>
                <w:sz w:val="24"/>
                <w:szCs w:val="24"/>
              </w:rPr>
              <w:t>Serious Case Reviews, including the Victoria Climbié Inquiry (Laming, 2003), demonstrate that ineffective communication and delayed information sharing contribute to poor safeguarding outcomes. These findings reinforce that safeguarding depends upon timely professional judgement and effective multi-agency collaboration.</w:t>
            </w:r>
          </w:p>
          <w:p w14:paraId="26E4D3D0" w14:textId="77777777" w:rsidR="00447711" w:rsidRPr="00447711" w:rsidRDefault="00447711" w:rsidP="00447711">
            <w:pPr>
              <w:jc w:val="both"/>
              <w:rPr>
                <w:iCs/>
                <w:sz w:val="24"/>
                <w:szCs w:val="24"/>
              </w:rPr>
            </w:pPr>
          </w:p>
          <w:p w14:paraId="3A2D0E88" w14:textId="2442E0F3" w:rsidR="00447711" w:rsidRDefault="00447711" w:rsidP="005A6FE2">
            <w:pPr>
              <w:jc w:val="both"/>
              <w:rPr>
                <w:iCs/>
                <w:sz w:val="24"/>
                <w:szCs w:val="24"/>
              </w:rPr>
            </w:pPr>
            <w:r w:rsidRPr="00447711">
              <w:rPr>
                <w:iCs/>
                <w:sz w:val="24"/>
                <w:szCs w:val="24"/>
              </w:rPr>
              <w:lastRenderedPageBreak/>
              <w:t>Following Welsh Government (2019) guidance on responding to suicidal thoughts and self-harm, I met with Child 2 in a calm, supportive and non-judgemental manner to explore his disclosure. I reassured him that he was not in trouble and acknowledged the courage required to speak openly. This reflected Rogers' (1957) person-centred approach, which promotes empathy, genuineness and unconditional positive regard as essential to developing trust. Building rapport was fundamental to obtaining an accurate assessment and ensuring Child 2 felt safe to discuss his emotions. In safeguarding practice, these principles are particularly important when working with children experiencing emotional distress, as they promote openness and reduce feelings of shame or isolation. Had Child 2 perceived my response as judgemental or dismissive, there was a significant risk that he would withdraw from professional support, reducing my ability to accurately assess his needs and increasing safeguarding concerns. Consequently, the intervention aligned not only with person-centred theory but also with the principles of dignity, participation and voice promoted by the Social Services and Well-being (Wales) Act 2014.</w:t>
            </w:r>
          </w:p>
          <w:p w14:paraId="6D7FFD50" w14:textId="77777777" w:rsidR="00447711" w:rsidRPr="00447711" w:rsidRDefault="00447711" w:rsidP="00447711">
            <w:pPr>
              <w:jc w:val="both"/>
              <w:rPr>
                <w:iCs/>
                <w:sz w:val="24"/>
                <w:szCs w:val="24"/>
              </w:rPr>
            </w:pPr>
          </w:p>
          <w:p w14:paraId="6D9339DD" w14:textId="77777777" w:rsidR="00447711" w:rsidRDefault="00447711" w:rsidP="00447711">
            <w:pPr>
              <w:jc w:val="both"/>
              <w:rPr>
                <w:iCs/>
                <w:sz w:val="24"/>
                <w:szCs w:val="24"/>
              </w:rPr>
            </w:pPr>
            <w:r w:rsidRPr="00447711">
              <w:rPr>
                <w:iCs/>
                <w:sz w:val="24"/>
                <w:szCs w:val="24"/>
              </w:rPr>
              <w:t>Furnivall (2013) identifies looked after children as being at greater risk of self-harm because of cumulative trauma and attachment disruption. Consequently, I completed a comprehensive suicide risk assessment, exploring suicidal intent, planning, access to means, previous self-harm and protective factors in line with Royal College of Psychiatrists (2010) guidance. This enabled me to distinguish between suicidal thoughts and immediate risk.</w:t>
            </w:r>
          </w:p>
          <w:p w14:paraId="635E6C1B" w14:textId="77777777" w:rsidR="00447711" w:rsidRPr="00447711" w:rsidRDefault="00447711" w:rsidP="00447711">
            <w:pPr>
              <w:jc w:val="both"/>
              <w:rPr>
                <w:iCs/>
                <w:sz w:val="24"/>
                <w:szCs w:val="24"/>
              </w:rPr>
            </w:pPr>
          </w:p>
          <w:p w14:paraId="441FD7E9" w14:textId="77777777" w:rsidR="00447711" w:rsidRDefault="00447711" w:rsidP="00447711">
            <w:pPr>
              <w:jc w:val="both"/>
              <w:rPr>
                <w:iCs/>
                <w:sz w:val="24"/>
                <w:szCs w:val="24"/>
              </w:rPr>
            </w:pPr>
            <w:r w:rsidRPr="00447711">
              <w:rPr>
                <w:iCs/>
                <w:sz w:val="24"/>
                <w:szCs w:val="24"/>
              </w:rPr>
              <w:t>Whilst these questions were clinically necessary, they also created a professional dilemma. Asking a vulnerable child detailed questions about suicide is intrusive and can feel uncomfortable for both practitioner and child. I therefore needed to balance the child's right to privacy and emotional safety with my statutory responsibility to obtain sufficient information to make defensible safeguarding decisions. Reflecting upon this conversation, I recognised that avoiding difficult questions to preserve rapport could have resulted in an inaccurate assessment of risk, whereas approaching the discussion without sensitivity could have damaged the helping relationship. This reinforced the importance of adapting my communication style whilst ensuring that safeguarding responsibilities were fulfilled.</w:t>
            </w:r>
          </w:p>
          <w:p w14:paraId="43B2319F" w14:textId="77777777" w:rsidR="00447711" w:rsidRPr="00447711" w:rsidRDefault="00447711" w:rsidP="00447711">
            <w:pPr>
              <w:jc w:val="both"/>
              <w:rPr>
                <w:iCs/>
                <w:sz w:val="24"/>
                <w:szCs w:val="24"/>
              </w:rPr>
            </w:pPr>
          </w:p>
          <w:p w14:paraId="14AACC9B" w14:textId="77777777" w:rsidR="00447711" w:rsidRDefault="00447711" w:rsidP="00447711">
            <w:pPr>
              <w:jc w:val="both"/>
              <w:rPr>
                <w:iCs/>
                <w:sz w:val="24"/>
                <w:szCs w:val="24"/>
              </w:rPr>
            </w:pPr>
            <w:r w:rsidRPr="00447711">
              <w:rPr>
                <w:iCs/>
                <w:sz w:val="24"/>
                <w:szCs w:val="24"/>
              </w:rPr>
              <w:t>When asked directly about his intentions, Child 2 explained that he did not want to end his life and had not made any plans to do so. Instead, he described feeling lonely, frightened and overwhelmed by his emotions. Although this reduced my immediate concern regarding suicidal intent, his emotional presentation continued to indicate significant psychological distress requiring further intervention. Using the Welsh Government guidance, I concluded that additional multi-agency discussion was necessary and collaborated with Child 2 and his foster carer to develop an immediate safety plan. The plan identified protective factors, coping strategies, supportive adults and emergency contacts, whilst advising the foster carer to provide increased supervision and seek urgent medical assistance should Child 2's presentation deteriorate.</w:t>
            </w:r>
          </w:p>
          <w:p w14:paraId="2AF2B1DF" w14:textId="77777777" w:rsidR="00447711" w:rsidRPr="00447711" w:rsidRDefault="00447711" w:rsidP="00447711">
            <w:pPr>
              <w:jc w:val="both"/>
              <w:rPr>
                <w:iCs/>
                <w:sz w:val="24"/>
                <w:szCs w:val="24"/>
              </w:rPr>
            </w:pPr>
          </w:p>
          <w:p w14:paraId="533054C9" w14:textId="77777777" w:rsidR="00447711" w:rsidRDefault="00447711" w:rsidP="00447711">
            <w:pPr>
              <w:jc w:val="both"/>
              <w:rPr>
                <w:iCs/>
                <w:sz w:val="24"/>
                <w:szCs w:val="24"/>
              </w:rPr>
            </w:pPr>
            <w:r w:rsidRPr="00447711">
              <w:rPr>
                <w:iCs/>
                <w:sz w:val="24"/>
                <w:szCs w:val="24"/>
              </w:rPr>
              <w:t xml:space="preserve">During a follow-up visit, Child 2's anxiety significantly affected his speech because of his neurological condition. I therefore adapted my communication by encouraging him to write his thoughts, ensuring that he could continue participating in the assessment. This reflected the </w:t>
            </w:r>
            <w:r w:rsidRPr="00447711">
              <w:rPr>
                <w:iCs/>
                <w:sz w:val="24"/>
                <w:szCs w:val="24"/>
              </w:rPr>
              <w:lastRenderedPageBreak/>
              <w:t>Social Services and Well-being (Wales) Act 2014, which requires practitioners to adapt communication to enable meaningful participation.</w:t>
            </w:r>
          </w:p>
          <w:p w14:paraId="76997F91" w14:textId="77777777" w:rsidR="00447711" w:rsidRPr="00447711" w:rsidRDefault="00447711" w:rsidP="00447711">
            <w:pPr>
              <w:jc w:val="both"/>
              <w:rPr>
                <w:iCs/>
                <w:sz w:val="24"/>
                <w:szCs w:val="24"/>
              </w:rPr>
            </w:pPr>
          </w:p>
          <w:p w14:paraId="00318601" w14:textId="77777777" w:rsidR="00447711" w:rsidRDefault="00447711" w:rsidP="00447711">
            <w:pPr>
              <w:jc w:val="both"/>
              <w:rPr>
                <w:iCs/>
                <w:sz w:val="24"/>
                <w:szCs w:val="24"/>
              </w:rPr>
            </w:pPr>
            <w:r w:rsidRPr="00447711">
              <w:rPr>
                <w:iCs/>
                <w:sz w:val="24"/>
                <w:szCs w:val="24"/>
              </w:rPr>
              <w:t>Alongside Child 2's verbal responses, I observed reduced eye contact, tearfulness and a slumped posture. Avdić Jahić et al. (2021) highlight that non-verbal communication can provide valuable insight into emotional wellbeing, particularly where children struggle to express themselves verbally.</w:t>
            </w:r>
          </w:p>
          <w:p w14:paraId="4C7FA2CC" w14:textId="77777777" w:rsidR="00447711" w:rsidRPr="00447711" w:rsidRDefault="00447711" w:rsidP="00447711">
            <w:pPr>
              <w:jc w:val="both"/>
              <w:rPr>
                <w:iCs/>
                <w:sz w:val="24"/>
                <w:szCs w:val="24"/>
              </w:rPr>
            </w:pPr>
          </w:p>
          <w:p w14:paraId="06EE85D2" w14:textId="77777777" w:rsidR="00447711" w:rsidRDefault="00447711" w:rsidP="00447711">
            <w:pPr>
              <w:jc w:val="both"/>
              <w:rPr>
                <w:iCs/>
                <w:sz w:val="24"/>
                <w:szCs w:val="24"/>
              </w:rPr>
            </w:pPr>
            <w:r w:rsidRPr="00447711">
              <w:rPr>
                <w:iCs/>
                <w:sz w:val="24"/>
                <w:szCs w:val="24"/>
              </w:rPr>
              <w:t>Consistent with Rogers' (1957) theory, I maintained an empathetic, accepting and non-judgemental approach throughout the assessment. Child 2 was invited to write down how he was feeling, whether he had intentions to end his life, whether he had previously harmed himself and what hopes he still held for the future. This alternative communication method reduced pressure and enabled him to communicate more effectively than verbal questioning alone. Child 2 disclosed that he wanted "the feelings to stop" rather than wanting to die. Although this suggested significant emotional distress rather than immediate suicidal intent, ongoing suicidal thoughts continued to require safeguarding intervention.</w:t>
            </w:r>
          </w:p>
          <w:p w14:paraId="17163105" w14:textId="77777777" w:rsidR="00447711" w:rsidRPr="00447711" w:rsidRDefault="00447711" w:rsidP="00447711">
            <w:pPr>
              <w:jc w:val="both"/>
              <w:rPr>
                <w:iCs/>
                <w:sz w:val="24"/>
                <w:szCs w:val="24"/>
              </w:rPr>
            </w:pPr>
          </w:p>
          <w:p w14:paraId="07907846" w14:textId="77777777" w:rsidR="00447711" w:rsidRDefault="00447711" w:rsidP="00447711">
            <w:pPr>
              <w:jc w:val="both"/>
              <w:rPr>
                <w:iCs/>
                <w:sz w:val="24"/>
                <w:szCs w:val="24"/>
              </w:rPr>
            </w:pPr>
            <w:r w:rsidRPr="00447711">
              <w:rPr>
                <w:iCs/>
                <w:sz w:val="24"/>
                <w:szCs w:val="24"/>
              </w:rPr>
              <w:t>Child 2 also presented with symptoms commonly associated with childhood depression, including persistent low mood, disturbed sleep, reduced confidence, indecisiveness and physical complaints such as headaches and stomach aches (NHS, 2023). However, another important complexity within the assessment concerned the possibility of an undiagnosed learning disability. Children with learning disabilities are more likely to experience anxiety and depression, yet often experience additional barriers in recognising, understanding and communicating their emotional wellbeing (Hagan, 2025). Consequently, I reflected that there was a risk of attributing Child 2's presentation solely to his developmental needs whilst overlooking an emerging mental health crisis. This reinforced the importance of maintaining a holistic assessment rather than relying upon a single explanatory hypothesis.</w:t>
            </w:r>
          </w:p>
          <w:p w14:paraId="7E6A1D24" w14:textId="77777777" w:rsidR="00447711" w:rsidRPr="00447711" w:rsidRDefault="00447711" w:rsidP="00447711">
            <w:pPr>
              <w:jc w:val="both"/>
              <w:rPr>
                <w:iCs/>
                <w:sz w:val="24"/>
                <w:szCs w:val="24"/>
              </w:rPr>
            </w:pPr>
          </w:p>
          <w:p w14:paraId="4C62D303" w14:textId="77777777" w:rsidR="00447711" w:rsidRDefault="00447711" w:rsidP="00447711">
            <w:pPr>
              <w:jc w:val="both"/>
              <w:rPr>
                <w:iCs/>
                <w:sz w:val="24"/>
                <w:szCs w:val="24"/>
              </w:rPr>
            </w:pPr>
            <w:r w:rsidRPr="00447711">
              <w:rPr>
                <w:iCs/>
                <w:sz w:val="24"/>
                <w:szCs w:val="24"/>
              </w:rPr>
              <w:t>Following the assessment, I concluded that Child 2 remained emotionally vulnerable despite limited evidence of immediate suicidal intent. The safety plan was reviewed, additional support identified and the foster carer advised to seek an urgent GP appointment. All decisions were comprehensively recorded to ensure accountability and continuity of care. This reinforced that safeguarding requires continual professional judgement rather than completion of statutory processes alone.</w:t>
            </w:r>
          </w:p>
          <w:p w14:paraId="665E9ED5" w14:textId="77777777" w:rsidR="00447711" w:rsidRPr="00447711" w:rsidRDefault="00447711" w:rsidP="00447711">
            <w:pPr>
              <w:jc w:val="both"/>
              <w:rPr>
                <w:iCs/>
                <w:sz w:val="24"/>
                <w:szCs w:val="24"/>
              </w:rPr>
            </w:pPr>
          </w:p>
          <w:p w14:paraId="0645F084" w14:textId="77777777" w:rsidR="00447711" w:rsidRDefault="00447711" w:rsidP="00447711">
            <w:pPr>
              <w:jc w:val="both"/>
              <w:rPr>
                <w:iCs/>
                <w:sz w:val="24"/>
                <w:szCs w:val="24"/>
              </w:rPr>
            </w:pPr>
            <w:r w:rsidRPr="00447711">
              <w:rPr>
                <w:iCs/>
                <w:sz w:val="24"/>
                <w:szCs w:val="24"/>
              </w:rPr>
              <w:t>The following day, the foster carer informed Children's Services that Child 2 had again expressed suicidal thoughts to staff at his after-school club and had independently contacted Childline for support. Whilst these disclosures indicated increasing emotional distress, they also demonstrated that he was beginning to use protective strategies identified within his safety plan.</w:t>
            </w:r>
          </w:p>
          <w:p w14:paraId="41C5389F" w14:textId="77777777" w:rsidR="00447711" w:rsidRPr="00447711" w:rsidRDefault="00447711" w:rsidP="00447711">
            <w:pPr>
              <w:jc w:val="both"/>
              <w:rPr>
                <w:iCs/>
                <w:sz w:val="24"/>
                <w:szCs w:val="24"/>
              </w:rPr>
            </w:pPr>
          </w:p>
          <w:p w14:paraId="44289D0B" w14:textId="77777777" w:rsidR="00447711" w:rsidRDefault="00447711" w:rsidP="00447711">
            <w:pPr>
              <w:jc w:val="both"/>
              <w:rPr>
                <w:iCs/>
                <w:sz w:val="24"/>
                <w:szCs w:val="24"/>
              </w:rPr>
            </w:pPr>
            <w:r w:rsidRPr="00447711">
              <w:rPr>
                <w:iCs/>
                <w:sz w:val="24"/>
                <w:szCs w:val="24"/>
              </w:rPr>
              <w:t xml:space="preserve">Following the agreed safety plan, the foster carer contacted the Out of Hours medical service, which advised that CAMHS would assess Child 2 within 72 hours. Although reassuring, I recognised that each additional professional intervention represented an interference with Child 2's Article 8 rights. Nevertheless, I concluded that this remained a lawful and </w:t>
            </w:r>
            <w:r w:rsidRPr="00447711">
              <w:rPr>
                <w:iCs/>
                <w:sz w:val="24"/>
                <w:szCs w:val="24"/>
              </w:rPr>
              <w:lastRenderedPageBreak/>
              <w:t>proportionate response because the risk of failing to intervene outweighed the limited impact upon his privacy.</w:t>
            </w:r>
          </w:p>
          <w:p w14:paraId="6E502262" w14:textId="77777777" w:rsidR="00447711" w:rsidRPr="00447711" w:rsidRDefault="00447711" w:rsidP="00447711">
            <w:pPr>
              <w:jc w:val="both"/>
              <w:rPr>
                <w:iCs/>
                <w:sz w:val="24"/>
                <w:szCs w:val="24"/>
              </w:rPr>
            </w:pPr>
          </w:p>
          <w:p w14:paraId="651D8576" w14:textId="77777777" w:rsidR="00447711" w:rsidRDefault="00447711" w:rsidP="00447711">
            <w:pPr>
              <w:jc w:val="both"/>
              <w:rPr>
                <w:iCs/>
                <w:sz w:val="24"/>
                <w:szCs w:val="24"/>
              </w:rPr>
            </w:pPr>
            <w:r w:rsidRPr="00447711">
              <w:rPr>
                <w:iCs/>
                <w:sz w:val="24"/>
                <w:szCs w:val="24"/>
              </w:rPr>
              <w:t>An emergency MDT meeting involving Children's Services, education, the fostering agency and the Educational Psychologist enabled information from multiple agencies to be analysed collectively. Different professional perspectives strengthened the assessment, reduced individual bias and supported shared safeguarding decision-making.</w:t>
            </w:r>
          </w:p>
          <w:p w14:paraId="32DD254F" w14:textId="77777777" w:rsidR="00447711" w:rsidRPr="00447711" w:rsidRDefault="00447711" w:rsidP="00447711">
            <w:pPr>
              <w:jc w:val="both"/>
              <w:rPr>
                <w:iCs/>
                <w:sz w:val="24"/>
                <w:szCs w:val="24"/>
              </w:rPr>
            </w:pPr>
          </w:p>
          <w:p w14:paraId="3895F13C" w14:textId="1E106C68" w:rsidR="00447711" w:rsidRDefault="00447711" w:rsidP="00447711">
            <w:pPr>
              <w:jc w:val="both"/>
              <w:rPr>
                <w:iCs/>
                <w:sz w:val="24"/>
                <w:szCs w:val="24"/>
              </w:rPr>
            </w:pPr>
            <w:r w:rsidRPr="00447711">
              <w:rPr>
                <w:iCs/>
                <w:sz w:val="24"/>
                <w:szCs w:val="24"/>
              </w:rPr>
              <w:t xml:space="preserve">The MDT </w:t>
            </w:r>
            <w:r w:rsidR="00CF4BA1">
              <w:rPr>
                <w:iCs/>
                <w:sz w:val="24"/>
                <w:szCs w:val="24"/>
              </w:rPr>
              <w:t xml:space="preserve">also </w:t>
            </w:r>
            <w:r w:rsidRPr="00447711">
              <w:rPr>
                <w:iCs/>
                <w:sz w:val="24"/>
                <w:szCs w:val="24"/>
              </w:rPr>
              <w:t>provided a holistic assessment of Child 2's presentation. Whilst I had identified significant emotional distress, colleagues from education and educational psychology reported that Child 2's functioning had deteriorated rapidly and expressed concern that he now presented as a high risk requiring urgent psychiatric assessment. Reflecting on this meeting, I recognised that effective multi-agency working involves more than information sharing; it requires respectful professional challenge, shared analysis and collective responsibility for safeguarding outcomes.</w:t>
            </w:r>
          </w:p>
          <w:p w14:paraId="686F47DE" w14:textId="77777777" w:rsidR="00447711" w:rsidRPr="00447711" w:rsidRDefault="00447711" w:rsidP="00447711">
            <w:pPr>
              <w:jc w:val="both"/>
              <w:rPr>
                <w:iCs/>
                <w:sz w:val="24"/>
                <w:szCs w:val="24"/>
              </w:rPr>
            </w:pPr>
          </w:p>
          <w:p w14:paraId="6B545DD1" w14:textId="77777777" w:rsidR="00447711" w:rsidRDefault="00447711" w:rsidP="00447711">
            <w:pPr>
              <w:jc w:val="both"/>
              <w:rPr>
                <w:iCs/>
                <w:sz w:val="24"/>
                <w:szCs w:val="24"/>
              </w:rPr>
            </w:pPr>
            <w:r w:rsidRPr="00447711">
              <w:rPr>
                <w:iCs/>
                <w:sz w:val="24"/>
                <w:szCs w:val="24"/>
              </w:rPr>
              <w:t>However, this stage of the intervention also exposed the gap that can exist between legislation, policy and practice. Despite initially advising that Child 2 would receive a CAMHS assessment within 72 hours, professionals were subsequently informed that he had instead been placed on a waiting list of up to eight weeks. This created a significant dilemma. Welsh legislation and national strategies promote early intervention, integrated working and timely access to mental health services, yet the reality of increasing service demand and workforce pressures meant that these aspirations could not always be achieved in practice.</w:t>
            </w:r>
          </w:p>
          <w:p w14:paraId="777C5FC5" w14:textId="77777777" w:rsidR="00447711" w:rsidRPr="00447711" w:rsidRDefault="00447711" w:rsidP="00447711">
            <w:pPr>
              <w:jc w:val="both"/>
              <w:rPr>
                <w:iCs/>
                <w:sz w:val="24"/>
                <w:szCs w:val="24"/>
              </w:rPr>
            </w:pPr>
          </w:p>
          <w:p w14:paraId="1E9FFEA8" w14:textId="77777777" w:rsidR="00447711" w:rsidRDefault="00447711" w:rsidP="00447711">
            <w:pPr>
              <w:jc w:val="both"/>
              <w:rPr>
                <w:iCs/>
                <w:sz w:val="24"/>
                <w:szCs w:val="24"/>
              </w:rPr>
            </w:pPr>
            <w:r w:rsidRPr="00447711">
              <w:rPr>
                <w:iCs/>
                <w:sz w:val="24"/>
                <w:szCs w:val="24"/>
              </w:rPr>
              <w:t>The consequences of delayed access to CAMHS have been widely recognised within Wales and across the UK. Extended waiting times may allow children's mental health to deteriorate further before specialist intervention becomes available, increasing the likelihood of crisis presentations, hospital admission and long-term emotional difficulties. Despite national policy promoting early intervention, Child 2 was placed on an eight-week CAMHS waiting list. This highlighted the tension between legislative aspirations and service capacity, reinforcing that practitioners frequently encounter systemic barriers beyond their direct control (YoungMinds, 2024).</w:t>
            </w:r>
          </w:p>
          <w:p w14:paraId="4E4C5211" w14:textId="77777777" w:rsidR="00447711" w:rsidRPr="00447711" w:rsidRDefault="00447711" w:rsidP="00447711">
            <w:pPr>
              <w:jc w:val="both"/>
              <w:rPr>
                <w:iCs/>
                <w:sz w:val="24"/>
                <w:szCs w:val="24"/>
              </w:rPr>
            </w:pPr>
          </w:p>
          <w:p w14:paraId="7AF943E0" w14:textId="77777777" w:rsidR="00447711" w:rsidRDefault="00447711" w:rsidP="00447711">
            <w:pPr>
              <w:jc w:val="both"/>
              <w:rPr>
                <w:iCs/>
                <w:sz w:val="24"/>
                <w:szCs w:val="24"/>
              </w:rPr>
            </w:pPr>
            <w:r w:rsidRPr="00447711">
              <w:rPr>
                <w:iCs/>
                <w:sz w:val="24"/>
                <w:szCs w:val="24"/>
              </w:rPr>
              <w:t>Rather than waiting for routine CAMHS involvement, the MDT recommended immediate attendance at the Emergency Department. Child 2 was subsequently admitted for psychiatric assessment after clinicians identified significant deterioration in his presentation. During admission he received treatment for anxiety, commenced medication and underwent multidisciplinary assessment, which ultimately confirmed a mild to moderate learning disability. Reflecting on this outcome, I recognised the importance of addressing underlying needs alongside immediate safeguarding concerns.</w:t>
            </w:r>
          </w:p>
          <w:p w14:paraId="3AE947FC" w14:textId="77777777" w:rsidR="00447711" w:rsidRPr="00447711" w:rsidRDefault="00447711" w:rsidP="00447711">
            <w:pPr>
              <w:jc w:val="both"/>
              <w:rPr>
                <w:iCs/>
                <w:sz w:val="24"/>
                <w:szCs w:val="24"/>
              </w:rPr>
            </w:pPr>
          </w:p>
          <w:p w14:paraId="47ADE834" w14:textId="755A121B" w:rsidR="00447711" w:rsidRDefault="00447711" w:rsidP="00447711">
            <w:pPr>
              <w:jc w:val="both"/>
              <w:rPr>
                <w:iCs/>
                <w:sz w:val="24"/>
                <w:szCs w:val="24"/>
              </w:rPr>
            </w:pPr>
            <w:r w:rsidRPr="00447711">
              <w:rPr>
                <w:iCs/>
                <w:sz w:val="24"/>
                <w:szCs w:val="24"/>
              </w:rPr>
              <w:t>Child 2 attended hospital accompanied by his foster carer</w:t>
            </w:r>
            <w:r w:rsidR="00F65235">
              <w:rPr>
                <w:iCs/>
                <w:sz w:val="24"/>
                <w:szCs w:val="24"/>
              </w:rPr>
              <w:t xml:space="preserve"> and mys</w:t>
            </w:r>
            <w:r w:rsidR="00FF3C32">
              <w:rPr>
                <w:iCs/>
                <w:sz w:val="24"/>
                <w:szCs w:val="24"/>
              </w:rPr>
              <w:t>elf</w:t>
            </w:r>
            <w:r w:rsidRPr="00447711">
              <w:rPr>
                <w:iCs/>
                <w:sz w:val="24"/>
                <w:szCs w:val="24"/>
              </w:rPr>
              <w:t xml:space="preserve"> and was assessed by the Unscheduled Care Team. His presentation had deteriorated significantly, with anxiety severely affecting his communication and physical functioning. Following assessment, clinicians decided that admission was necessary to facilitate urgent psychiatric review, ongoing observation and comprehensive multidisciplinary assessment. This decision </w:t>
            </w:r>
            <w:r w:rsidRPr="00447711">
              <w:rPr>
                <w:iCs/>
                <w:sz w:val="24"/>
                <w:szCs w:val="24"/>
              </w:rPr>
              <w:lastRenderedPageBreak/>
              <w:t>demonstrated the importance of recognising that safeguarding extends beyond social care intervention alone and frequently requires integrated responses across health, education and social care services.</w:t>
            </w:r>
          </w:p>
          <w:p w14:paraId="73E4A9AF" w14:textId="77777777" w:rsidR="00447711" w:rsidRPr="00447711" w:rsidRDefault="00447711" w:rsidP="00447711">
            <w:pPr>
              <w:jc w:val="both"/>
              <w:rPr>
                <w:iCs/>
                <w:sz w:val="24"/>
                <w:szCs w:val="24"/>
              </w:rPr>
            </w:pPr>
          </w:p>
          <w:p w14:paraId="75B1E83B" w14:textId="77777777" w:rsidR="00447711" w:rsidRDefault="00447711" w:rsidP="00447711">
            <w:pPr>
              <w:jc w:val="both"/>
              <w:rPr>
                <w:iCs/>
                <w:sz w:val="24"/>
                <w:szCs w:val="24"/>
              </w:rPr>
            </w:pPr>
            <w:r w:rsidRPr="00447711">
              <w:rPr>
                <w:iCs/>
                <w:sz w:val="24"/>
                <w:szCs w:val="24"/>
              </w:rPr>
              <w:t>During his admission, Child 2 received psychiatric and psychological assessment and was diagnosed with anxiety, which clinicians believed had significantly exacerbated his neurological tics. Throughout several multidisciplinary meetings, professionals also reflected upon whether an undiagnosed learning disability had affected both his ability to communicate emotional distress and his capacity to understand the factors contributing to his deteriorating mental health. This reinforced the importance of avoiding diagnostic overshadowing, whereby symptoms of mental ill-health are incorrectly attributed solely to disability, resulting in unmet emotional needs.</w:t>
            </w:r>
          </w:p>
          <w:p w14:paraId="317306F0" w14:textId="77777777" w:rsidR="00447711" w:rsidRPr="00447711" w:rsidRDefault="00447711" w:rsidP="00447711">
            <w:pPr>
              <w:jc w:val="both"/>
              <w:rPr>
                <w:iCs/>
                <w:sz w:val="24"/>
                <w:szCs w:val="24"/>
              </w:rPr>
            </w:pPr>
          </w:p>
          <w:p w14:paraId="45271B5D" w14:textId="77777777" w:rsidR="00447711" w:rsidRDefault="00447711" w:rsidP="00447711">
            <w:pPr>
              <w:jc w:val="both"/>
              <w:rPr>
                <w:iCs/>
                <w:sz w:val="24"/>
                <w:szCs w:val="24"/>
              </w:rPr>
            </w:pPr>
            <w:r w:rsidRPr="00447711">
              <w:rPr>
                <w:iCs/>
                <w:sz w:val="24"/>
                <w:szCs w:val="24"/>
              </w:rPr>
              <w:t>Child 2 commenced medication to reduce the severity of his tics alongside medication to manage anxiety and therapeutic psychological intervention. Following one week of inpatient treatment, his presentation improved considerably. He began communicating verbally once again, his anxiety reduced and he was discharged with an updated safety plan, ongoing CAMHS involvement and coordinated follow-up support. Importantly, he was also fast-tracked for neuropsychological assessment, which subsequently confirmed a diagnosis of mild to moderate learning disability. This diagnosis significantly informed future care planning by enabling professionals to better understand his communication needs, emotional presentation and long-term support requirements. Reflecting upon this outcome, I recognised that safeguarding interventions should not conclude once immediate risk has reduced; rather, they should promote longer-term wellbeing by ensuring that underlying needs are accurately identified and appropriately addressed.</w:t>
            </w:r>
          </w:p>
          <w:p w14:paraId="7134BC3E" w14:textId="77777777" w:rsidR="00447711" w:rsidRPr="00447711" w:rsidRDefault="00447711" w:rsidP="00447711">
            <w:pPr>
              <w:jc w:val="both"/>
              <w:rPr>
                <w:iCs/>
                <w:sz w:val="24"/>
                <w:szCs w:val="24"/>
              </w:rPr>
            </w:pPr>
          </w:p>
          <w:p w14:paraId="0851A969" w14:textId="77777777" w:rsidR="00447711" w:rsidRDefault="00447711" w:rsidP="00447711">
            <w:pPr>
              <w:jc w:val="both"/>
              <w:rPr>
                <w:iCs/>
                <w:sz w:val="24"/>
                <w:szCs w:val="24"/>
              </w:rPr>
            </w:pPr>
            <w:r w:rsidRPr="00447711">
              <w:rPr>
                <w:iCs/>
                <w:sz w:val="24"/>
                <w:szCs w:val="24"/>
              </w:rPr>
              <w:t>Throughout the intervention I adopted Rogers' (1957) person-centred approach to develop trust, encourage openness and support Child 2 to discuss highly distressing emotions. This strengthened the assessment and enabled safeguarding decisions to remain proportionate and child centred. I believe this therapeutic approach strengthened the professional relationship and encouraged Child 2 to communicate openly about highly distressing thoughts and emotions. Establishing trust was fundamental to ensuring that the information obtained accurately reflected his presentation and enabled proportionate safeguarding decisions to be made.</w:t>
            </w:r>
          </w:p>
          <w:p w14:paraId="5338345C" w14:textId="77777777" w:rsidR="00447711" w:rsidRPr="00447711" w:rsidRDefault="00447711" w:rsidP="00447711">
            <w:pPr>
              <w:jc w:val="both"/>
              <w:rPr>
                <w:iCs/>
                <w:sz w:val="24"/>
                <w:szCs w:val="24"/>
              </w:rPr>
            </w:pPr>
          </w:p>
          <w:p w14:paraId="3FDCE6D4" w14:textId="77777777" w:rsidR="00447711" w:rsidRDefault="00447711" w:rsidP="00447711">
            <w:pPr>
              <w:jc w:val="both"/>
              <w:rPr>
                <w:iCs/>
                <w:sz w:val="24"/>
                <w:szCs w:val="24"/>
              </w:rPr>
            </w:pPr>
            <w:r w:rsidRPr="00447711">
              <w:rPr>
                <w:iCs/>
                <w:sz w:val="24"/>
                <w:szCs w:val="24"/>
              </w:rPr>
              <w:t>Alongside Rogers' theory, I applied the Signs of Safety model by balancing identified risks with protective factors, including Child 2's engagement with professionals, supportive foster carers and willingness to seek help. This strengths-based approach aligned with the Social Services and Well-being (Wales) Act 2014.</w:t>
            </w:r>
          </w:p>
          <w:p w14:paraId="086F930B" w14:textId="77777777" w:rsidR="00447711" w:rsidRPr="00447711" w:rsidRDefault="00447711" w:rsidP="00447711">
            <w:pPr>
              <w:jc w:val="both"/>
              <w:rPr>
                <w:iCs/>
                <w:sz w:val="24"/>
                <w:szCs w:val="24"/>
              </w:rPr>
            </w:pPr>
          </w:p>
          <w:p w14:paraId="18902A03" w14:textId="77777777" w:rsidR="00447711" w:rsidRDefault="00447711" w:rsidP="00447711">
            <w:pPr>
              <w:jc w:val="both"/>
              <w:rPr>
                <w:iCs/>
                <w:sz w:val="24"/>
                <w:szCs w:val="24"/>
              </w:rPr>
            </w:pPr>
            <w:r w:rsidRPr="00447711">
              <w:rPr>
                <w:iCs/>
                <w:sz w:val="24"/>
                <w:szCs w:val="24"/>
              </w:rPr>
              <w:t xml:space="preserve">Reflecting on this case through Schön's (1991) concept of reflection-on-action, I recognised how my professional understanding evolved as new information emerged. Initially, I questioned whether Child 2's cognitive difficulties were contributing to his low mood and emotional presentation. However, ongoing assessment and multidisciplinary discussion challenged this assumption and highlighted the possibility that deteriorating mental health was itself affecting his cognitive functioning and communication. This reflection reinforced the </w:t>
            </w:r>
            <w:r w:rsidRPr="00447711">
              <w:rPr>
                <w:iCs/>
                <w:sz w:val="24"/>
                <w:szCs w:val="24"/>
              </w:rPr>
              <w:lastRenderedPageBreak/>
              <w:t>importance of avoiding premature conclusions and continually reviewing professional hypotheses as additional evidence becomes available. It also highlighted the value of multidisciplinary perspectives in reducing the risk of confirmation bias within safeguarding assessments.</w:t>
            </w:r>
          </w:p>
          <w:p w14:paraId="3C8D150D" w14:textId="77777777" w:rsidR="00447711" w:rsidRPr="00447711" w:rsidRDefault="00447711" w:rsidP="00447711">
            <w:pPr>
              <w:jc w:val="both"/>
              <w:rPr>
                <w:iCs/>
                <w:sz w:val="24"/>
                <w:szCs w:val="24"/>
              </w:rPr>
            </w:pPr>
          </w:p>
          <w:p w14:paraId="6DA86424" w14:textId="3FE90A1C" w:rsidR="00447711" w:rsidRDefault="00447711" w:rsidP="00447711">
            <w:pPr>
              <w:jc w:val="both"/>
              <w:rPr>
                <w:iCs/>
                <w:sz w:val="24"/>
                <w:szCs w:val="24"/>
              </w:rPr>
            </w:pPr>
            <w:r w:rsidRPr="00447711">
              <w:rPr>
                <w:iCs/>
                <w:sz w:val="24"/>
                <w:szCs w:val="24"/>
              </w:rPr>
              <w:t xml:space="preserve">This case </w:t>
            </w:r>
            <w:r w:rsidR="00946312">
              <w:rPr>
                <w:iCs/>
                <w:sz w:val="24"/>
                <w:szCs w:val="24"/>
              </w:rPr>
              <w:t xml:space="preserve">also </w:t>
            </w:r>
            <w:r w:rsidRPr="00447711">
              <w:rPr>
                <w:iCs/>
                <w:sz w:val="24"/>
                <w:szCs w:val="24"/>
              </w:rPr>
              <w:t>reinforced that children with disabilities experience increased vulnerability to poor mental health and that communication difficulties may mask emotional distress (Franklin and Sloper, 2009). Consequently, safeguarding assessments must remain holistic and avoid diagnostic overshadowing. Reflecting upon Child 2's presentation, I recognised that his learning disability, communication needs and neurological condition may initially have masked the severity of his deteriorating mental health. Consequently, safeguarding assessments involving disabled children must adopt a holistic approach that considers physical health, cognitive functioning, emotional wellbeing, communication and environmental factors rather than viewing each need in isolation.</w:t>
            </w:r>
          </w:p>
          <w:p w14:paraId="2DABFB58" w14:textId="77777777" w:rsidR="007C3203" w:rsidRPr="00447711" w:rsidRDefault="007C3203" w:rsidP="00447711">
            <w:pPr>
              <w:jc w:val="both"/>
              <w:rPr>
                <w:iCs/>
                <w:sz w:val="24"/>
                <w:szCs w:val="24"/>
              </w:rPr>
            </w:pPr>
          </w:p>
          <w:p w14:paraId="7016BBFA" w14:textId="77777777" w:rsidR="00447711" w:rsidRDefault="00447711" w:rsidP="00447711">
            <w:pPr>
              <w:jc w:val="both"/>
              <w:rPr>
                <w:iCs/>
                <w:sz w:val="24"/>
                <w:szCs w:val="24"/>
              </w:rPr>
            </w:pPr>
            <w:r w:rsidRPr="00447711">
              <w:rPr>
                <w:iCs/>
                <w:sz w:val="24"/>
                <w:szCs w:val="24"/>
              </w:rPr>
              <w:t>Perhaps the most significant learning from this case concerned the tension between legislation and practice. At the outset, my focus centred upon fulfilling statutory safeguarding duties under the Social Services and Well-being (Wales) Act 2014. However, as the intervention progressed, I increasingly recognised that effective safeguarding requires considerably more than legislative compliance. Throughout the assessment I was required to balance competing legal duties, ethical principles and professional judgement whilst continually evaluating whether interventions remained necessary, proportionate and in Child 2's best interests.</w:t>
            </w:r>
          </w:p>
          <w:p w14:paraId="69CFB48F" w14:textId="77777777" w:rsidR="007C3203" w:rsidRPr="00447711" w:rsidRDefault="007C3203" w:rsidP="00447711">
            <w:pPr>
              <w:jc w:val="both"/>
              <w:rPr>
                <w:iCs/>
                <w:sz w:val="24"/>
                <w:szCs w:val="24"/>
              </w:rPr>
            </w:pPr>
          </w:p>
          <w:p w14:paraId="33364C40" w14:textId="77777777" w:rsidR="00447711" w:rsidRDefault="00447711" w:rsidP="00447711">
            <w:pPr>
              <w:jc w:val="both"/>
              <w:rPr>
                <w:iCs/>
                <w:sz w:val="24"/>
                <w:szCs w:val="24"/>
              </w:rPr>
            </w:pPr>
            <w:r w:rsidRPr="00447711">
              <w:rPr>
                <w:iCs/>
                <w:sz w:val="24"/>
                <w:szCs w:val="24"/>
              </w:rPr>
              <w:t>The greatest professional dilemma arose from balancing Child 2's right to protection against his and his family's right to respect for private and family life under Article 8 of the European Convention on Human Rights. Safeguarding interventions inevitably involved sharing confidential information, undertaking intrusive assessments, convening multi-agency meetings and ultimately facilitating hospital admission. Whilst each action represented an interference with Article 8 rights, I reflected that every intervention was supported by evidence, undertaken for the legitimate aim of protecting Child 2 from significant emotional harm and represented the least restrictive option available at that stage of the intervention. The principles established within Olsson v Sweden (1988) and K and T v Finland (2001) reinforced the importance of continually reviewing proportionality rather than assuming that safeguarding duties automatically override human rights.</w:t>
            </w:r>
          </w:p>
          <w:p w14:paraId="493D46B9" w14:textId="77777777" w:rsidR="007C3203" w:rsidRPr="00447711" w:rsidRDefault="007C3203" w:rsidP="00447711">
            <w:pPr>
              <w:jc w:val="both"/>
              <w:rPr>
                <w:iCs/>
                <w:sz w:val="24"/>
                <w:szCs w:val="24"/>
              </w:rPr>
            </w:pPr>
          </w:p>
          <w:p w14:paraId="4517F26A" w14:textId="77777777" w:rsidR="00447711" w:rsidRDefault="00447711" w:rsidP="00447711">
            <w:pPr>
              <w:jc w:val="both"/>
              <w:rPr>
                <w:iCs/>
                <w:sz w:val="24"/>
                <w:szCs w:val="24"/>
              </w:rPr>
            </w:pPr>
            <w:r w:rsidRPr="00447711">
              <w:rPr>
                <w:iCs/>
                <w:sz w:val="24"/>
                <w:szCs w:val="24"/>
              </w:rPr>
              <w:t xml:space="preserve">Similarly, this case strengthened my understanding of the relationship between Welsh safeguarding legislation and the United Nations Convention on the Rights of the Child. Articles 3, 12 and 19 required me not only to protect Child 2 from harm but also to ensure that his views remained central to decision-making and that interventions promoted his longer-term wellbeing rather than simply responding to immediate crisis. Involving Child 2 in developing his safety plan, adapting communication methods to meet his individual needs and ensuring that his wishes and feelings informed professional decisions demonstrated these principles in practice. Reflecting upon this experience, I recognised that safeguarding children is not achieved by prioritising one legal framework above another but by carefully balancing </w:t>
            </w:r>
            <w:r w:rsidRPr="00447711">
              <w:rPr>
                <w:iCs/>
                <w:sz w:val="24"/>
                <w:szCs w:val="24"/>
              </w:rPr>
              <w:lastRenderedPageBreak/>
              <w:t>children's rights, parental rights and statutory duties through evidence-based professional judgement.</w:t>
            </w:r>
          </w:p>
          <w:p w14:paraId="748510C1" w14:textId="77777777" w:rsidR="007C3203" w:rsidRPr="00447711" w:rsidRDefault="007C3203" w:rsidP="00447711">
            <w:pPr>
              <w:jc w:val="both"/>
              <w:rPr>
                <w:iCs/>
                <w:sz w:val="24"/>
                <w:szCs w:val="24"/>
              </w:rPr>
            </w:pPr>
          </w:p>
          <w:p w14:paraId="42BBAB11" w14:textId="77777777" w:rsidR="00447711" w:rsidRDefault="00447711" w:rsidP="00447711">
            <w:pPr>
              <w:jc w:val="both"/>
              <w:rPr>
                <w:iCs/>
                <w:sz w:val="24"/>
                <w:szCs w:val="24"/>
              </w:rPr>
            </w:pPr>
            <w:r w:rsidRPr="00447711">
              <w:rPr>
                <w:iCs/>
                <w:sz w:val="24"/>
                <w:szCs w:val="24"/>
              </w:rPr>
              <w:t>Finally, this case reinforced that safeguarding practice takes place within the reality of complex service systems. Delays in accessing CAMHS demonstrated that legislative aspirations and policy expectations are not always matched by available resources. Whilst practitioners remain accountable for safeguarding decisions, they must often exercise professional creativity, resilience and leadership to ensure that vulnerable children continue to receive timely protection despite wider systemic pressures. This experience strengthened my confidence in advocating for children when statutory services cannot respond within expected timescales and highlighted the importance of professional challenge within multi-agency partnerships.</w:t>
            </w:r>
          </w:p>
          <w:p w14:paraId="5BD8FED8" w14:textId="77777777" w:rsidR="007C3203" w:rsidRPr="00447711" w:rsidRDefault="007C3203" w:rsidP="00447711">
            <w:pPr>
              <w:jc w:val="both"/>
              <w:rPr>
                <w:iCs/>
                <w:sz w:val="24"/>
                <w:szCs w:val="24"/>
              </w:rPr>
            </w:pPr>
          </w:p>
          <w:p w14:paraId="349E8DDB" w14:textId="77777777" w:rsidR="00447711" w:rsidRPr="00447711" w:rsidRDefault="00447711" w:rsidP="00447711">
            <w:pPr>
              <w:jc w:val="both"/>
              <w:rPr>
                <w:iCs/>
                <w:sz w:val="24"/>
                <w:szCs w:val="24"/>
              </w:rPr>
            </w:pPr>
            <w:r w:rsidRPr="00447711">
              <w:rPr>
                <w:iCs/>
                <w:sz w:val="24"/>
                <w:szCs w:val="24"/>
              </w:rPr>
              <w:t>Overall, this case has significantly influenced my professional development. It has strengthened my appreciation that effective safeguarding extends beyond recognising risk or applying legislation. Instead, it requires critical reflection, ethical reasoning, collaborative decision-making and continual balancing of competing rights. Moving forward, I will continue to approach safeguarding assessments with greater confidence in applying legislation alongside human rights principles, ensuring that interventions remain child-centred, proportionate and informed by both evidence and reflective practice. This experience has reinforced that high-quality safeguarding practice is achieved not through rigid adherence to procedure but through thoughtful, compassionate and critically informed professional judgement that places the child's welfare and rights at the centre of all decision-making.</w:t>
            </w:r>
          </w:p>
          <w:p w14:paraId="41B4ECDD" w14:textId="77777777" w:rsidR="00447711" w:rsidRPr="00447711" w:rsidRDefault="00447711" w:rsidP="00447711">
            <w:pPr>
              <w:jc w:val="both"/>
              <w:rPr>
                <w:i/>
                <w:sz w:val="24"/>
                <w:szCs w:val="24"/>
              </w:rPr>
            </w:pPr>
          </w:p>
          <w:p w14:paraId="60B2E102" w14:textId="77777777" w:rsidR="00447711" w:rsidRPr="00447711" w:rsidRDefault="00447711" w:rsidP="00FF7EBB">
            <w:pPr>
              <w:jc w:val="both"/>
              <w:rPr>
                <w:iCs/>
                <w:sz w:val="24"/>
                <w:szCs w:val="24"/>
              </w:rPr>
            </w:pPr>
          </w:p>
          <w:p w14:paraId="78BB72B7" w14:textId="4F8EC755" w:rsidR="00F32B2E" w:rsidRDefault="00F32B2E" w:rsidP="00FF7EBB">
            <w:pPr>
              <w:jc w:val="both"/>
              <w:rPr>
                <w:i/>
                <w:sz w:val="24"/>
                <w:szCs w:val="24"/>
              </w:rPr>
            </w:pPr>
          </w:p>
          <w:p w14:paraId="3381D7AE" w14:textId="27B95791" w:rsidR="00F32B2E" w:rsidRPr="00F32B2E" w:rsidRDefault="00F32B2E" w:rsidP="00FF7EBB">
            <w:pPr>
              <w:jc w:val="both"/>
              <w:rPr>
                <w:sz w:val="24"/>
                <w:szCs w:val="24"/>
              </w:rPr>
            </w:pPr>
            <w:r>
              <w:rPr>
                <w:sz w:val="24"/>
                <w:szCs w:val="24"/>
              </w:rPr>
              <w:t xml:space="preserve">Word Count – </w:t>
            </w:r>
            <w:r w:rsidR="00D222BD">
              <w:rPr>
                <w:sz w:val="24"/>
                <w:szCs w:val="24"/>
              </w:rPr>
              <w:t>4</w:t>
            </w:r>
            <w:r w:rsidR="008F0545">
              <w:rPr>
                <w:sz w:val="24"/>
                <w:szCs w:val="24"/>
              </w:rPr>
              <w:t>,111</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A8022" w14:textId="77777777" w:rsidR="001175A8" w:rsidRDefault="001175A8">
      <w:r>
        <w:separator/>
      </w:r>
    </w:p>
  </w:endnote>
  <w:endnote w:type="continuationSeparator" w:id="0">
    <w:p w14:paraId="5433FF4C" w14:textId="77777777" w:rsidR="001175A8" w:rsidRDefault="00117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4A6FB524" w:rsidR="00A5656A" w:rsidRDefault="00A5656A">
    <w:pPr>
      <w:pStyle w:val="Footer"/>
      <w:jc w:val="right"/>
    </w:pPr>
    <w:r>
      <w:fldChar w:fldCharType="begin"/>
    </w:r>
    <w:r>
      <w:instrText xml:space="preserve"> PAGE   \* MERGEFORMAT </w:instrText>
    </w:r>
    <w:r>
      <w:fldChar w:fldCharType="separate"/>
    </w:r>
    <w:r w:rsidR="001D45E6">
      <w:rPr>
        <w:noProof/>
      </w:rPr>
      <w:t>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D4AD3" w14:textId="77777777" w:rsidR="001175A8" w:rsidRDefault="001175A8">
      <w:r>
        <w:separator/>
      </w:r>
    </w:p>
  </w:footnote>
  <w:footnote w:type="continuationSeparator" w:id="0">
    <w:p w14:paraId="4B95ACD5" w14:textId="77777777" w:rsidR="001175A8" w:rsidRDefault="00117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82803316">
    <w:abstractNumId w:val="1"/>
    <w:lvlOverride w:ilvl="0">
      <w:lvl w:ilvl="0">
        <w:start w:val="1"/>
        <w:numFmt w:val="bullet"/>
        <w:lvlText w:val=""/>
        <w:lvlJc w:val="left"/>
        <w:pPr>
          <w:ind w:left="720" w:hanging="360"/>
        </w:pPr>
        <w:rPr>
          <w:rFonts w:ascii="Symbol" w:hAnsi="Symbol" w:hint="default"/>
        </w:rPr>
      </w:lvl>
    </w:lvlOverride>
  </w:num>
  <w:num w:numId="2" w16cid:durableId="1687709148">
    <w:abstractNumId w:val="22"/>
  </w:num>
  <w:num w:numId="3" w16cid:durableId="854349453">
    <w:abstractNumId w:val="45"/>
  </w:num>
  <w:num w:numId="4" w16cid:durableId="1214317346">
    <w:abstractNumId w:val="47"/>
  </w:num>
  <w:num w:numId="5" w16cid:durableId="1105461721">
    <w:abstractNumId w:val="34"/>
  </w:num>
  <w:num w:numId="6" w16cid:durableId="1573155024">
    <w:abstractNumId w:val="32"/>
  </w:num>
  <w:num w:numId="7" w16cid:durableId="210658249">
    <w:abstractNumId w:val="29"/>
  </w:num>
  <w:num w:numId="8" w16cid:durableId="96491940">
    <w:abstractNumId w:val="30"/>
  </w:num>
  <w:num w:numId="9" w16cid:durableId="918565084">
    <w:abstractNumId w:val="10"/>
  </w:num>
  <w:num w:numId="10" w16cid:durableId="1806048796">
    <w:abstractNumId w:val="33"/>
  </w:num>
  <w:num w:numId="11" w16cid:durableId="1477606313">
    <w:abstractNumId w:val="17"/>
  </w:num>
  <w:num w:numId="12" w16cid:durableId="1125344520">
    <w:abstractNumId w:val="16"/>
  </w:num>
  <w:num w:numId="13" w16cid:durableId="450981207">
    <w:abstractNumId w:val="27"/>
  </w:num>
  <w:num w:numId="14" w16cid:durableId="515997673">
    <w:abstractNumId w:val="8"/>
  </w:num>
  <w:num w:numId="15" w16cid:durableId="468403639">
    <w:abstractNumId w:val="26"/>
  </w:num>
  <w:num w:numId="16" w16cid:durableId="500581563">
    <w:abstractNumId w:val="15"/>
  </w:num>
  <w:num w:numId="17" w16cid:durableId="443308322">
    <w:abstractNumId w:val="13"/>
  </w:num>
  <w:num w:numId="18" w16cid:durableId="126812169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7918474">
    <w:abstractNumId w:val="23"/>
  </w:num>
  <w:num w:numId="20" w16cid:durableId="545682975">
    <w:abstractNumId w:val="18"/>
  </w:num>
  <w:num w:numId="21" w16cid:durableId="572276579">
    <w:abstractNumId w:val="14"/>
  </w:num>
  <w:num w:numId="22" w16cid:durableId="1226449939">
    <w:abstractNumId w:val="11"/>
  </w:num>
  <w:num w:numId="23" w16cid:durableId="542985585">
    <w:abstractNumId w:val="28"/>
  </w:num>
  <w:num w:numId="24" w16cid:durableId="1020664203">
    <w:abstractNumId w:val="19"/>
  </w:num>
  <w:num w:numId="25" w16cid:durableId="1416394230">
    <w:abstractNumId w:val="41"/>
  </w:num>
  <w:num w:numId="26" w16cid:durableId="598678310">
    <w:abstractNumId w:val="35"/>
  </w:num>
  <w:num w:numId="27" w16cid:durableId="1953901573">
    <w:abstractNumId w:val="40"/>
  </w:num>
  <w:num w:numId="28" w16cid:durableId="636034579">
    <w:abstractNumId w:val="20"/>
  </w:num>
  <w:num w:numId="29" w16cid:durableId="1895001062">
    <w:abstractNumId w:val="43"/>
  </w:num>
  <w:num w:numId="30" w16cid:durableId="1499692642">
    <w:abstractNumId w:val="31"/>
  </w:num>
  <w:num w:numId="31" w16cid:durableId="1475101273">
    <w:abstractNumId w:val="12"/>
  </w:num>
  <w:num w:numId="32" w16cid:durableId="1856386699">
    <w:abstractNumId w:val="44"/>
  </w:num>
  <w:num w:numId="33" w16cid:durableId="115834205">
    <w:abstractNumId w:val="39"/>
  </w:num>
  <w:num w:numId="34" w16cid:durableId="1737698921">
    <w:abstractNumId w:val="5"/>
  </w:num>
  <w:num w:numId="35" w16cid:durableId="406270177">
    <w:abstractNumId w:val="46"/>
  </w:num>
  <w:num w:numId="36" w16cid:durableId="2079597624">
    <w:abstractNumId w:val="42"/>
  </w:num>
  <w:num w:numId="37" w16cid:durableId="1634677452">
    <w:abstractNumId w:val="36"/>
  </w:num>
  <w:num w:numId="38" w16cid:durableId="82379037">
    <w:abstractNumId w:val="37"/>
  </w:num>
  <w:num w:numId="39" w16cid:durableId="239144213">
    <w:abstractNumId w:val="4"/>
  </w:num>
  <w:num w:numId="40" w16cid:durableId="992292267">
    <w:abstractNumId w:val="6"/>
  </w:num>
  <w:num w:numId="41" w16cid:durableId="1645890830">
    <w:abstractNumId w:val="25"/>
  </w:num>
  <w:num w:numId="42" w16cid:durableId="1438522864">
    <w:abstractNumId w:val="7"/>
  </w:num>
  <w:num w:numId="43" w16cid:durableId="1861358464">
    <w:abstractNumId w:val="3"/>
  </w:num>
  <w:num w:numId="44" w16cid:durableId="224609669">
    <w:abstractNumId w:val="38"/>
  </w:num>
  <w:num w:numId="45" w16cid:durableId="90513708">
    <w:abstractNumId w:val="0"/>
  </w:num>
  <w:num w:numId="46" w16cid:durableId="2039547706">
    <w:abstractNumId w:val="14"/>
  </w:num>
  <w:num w:numId="47" w16cid:durableId="2096128968">
    <w:abstractNumId w:val="48"/>
  </w:num>
  <w:num w:numId="48" w16cid:durableId="63683740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93492191">
    <w:abstractNumId w:val="11"/>
  </w:num>
  <w:num w:numId="50" w16cid:durableId="697436209">
    <w:abstractNumId w:val="28"/>
  </w:num>
  <w:num w:numId="51" w16cid:durableId="277563938">
    <w:abstractNumId w:val="24"/>
  </w:num>
  <w:num w:numId="52" w16cid:durableId="2129547655">
    <w:abstractNumId w:val="21"/>
  </w:num>
  <w:num w:numId="53" w16cid:durableId="927007789">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DFE"/>
    <w:rsid w:val="00002C7A"/>
    <w:rsid w:val="000045B8"/>
    <w:rsid w:val="00012B16"/>
    <w:rsid w:val="00020EEC"/>
    <w:rsid w:val="0002440E"/>
    <w:rsid w:val="000252C0"/>
    <w:rsid w:val="0002759A"/>
    <w:rsid w:val="00027B1F"/>
    <w:rsid w:val="0003088B"/>
    <w:rsid w:val="000325D9"/>
    <w:rsid w:val="00032DC1"/>
    <w:rsid w:val="000372B2"/>
    <w:rsid w:val="0004079F"/>
    <w:rsid w:val="00043543"/>
    <w:rsid w:val="00045B87"/>
    <w:rsid w:val="00045C07"/>
    <w:rsid w:val="00045C40"/>
    <w:rsid w:val="00046861"/>
    <w:rsid w:val="000508B4"/>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5A8"/>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08C3"/>
    <w:rsid w:val="0019496C"/>
    <w:rsid w:val="001961CF"/>
    <w:rsid w:val="001A59BB"/>
    <w:rsid w:val="001A607E"/>
    <w:rsid w:val="001A6A51"/>
    <w:rsid w:val="001A79C4"/>
    <w:rsid w:val="001B331A"/>
    <w:rsid w:val="001B5C57"/>
    <w:rsid w:val="001C0237"/>
    <w:rsid w:val="001C0E74"/>
    <w:rsid w:val="001C3E71"/>
    <w:rsid w:val="001C4DB8"/>
    <w:rsid w:val="001C50B8"/>
    <w:rsid w:val="001D229F"/>
    <w:rsid w:val="001D45E6"/>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0DFD"/>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6019"/>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69A1"/>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321D"/>
    <w:rsid w:val="003F67A4"/>
    <w:rsid w:val="00400786"/>
    <w:rsid w:val="00401FDA"/>
    <w:rsid w:val="00403590"/>
    <w:rsid w:val="004046F0"/>
    <w:rsid w:val="0040668F"/>
    <w:rsid w:val="00411EF7"/>
    <w:rsid w:val="00412677"/>
    <w:rsid w:val="00425160"/>
    <w:rsid w:val="0042595C"/>
    <w:rsid w:val="004271FB"/>
    <w:rsid w:val="00430DE3"/>
    <w:rsid w:val="004348AE"/>
    <w:rsid w:val="004376C0"/>
    <w:rsid w:val="0044223A"/>
    <w:rsid w:val="00447711"/>
    <w:rsid w:val="00450B67"/>
    <w:rsid w:val="00451851"/>
    <w:rsid w:val="0045189A"/>
    <w:rsid w:val="00453343"/>
    <w:rsid w:val="004538C3"/>
    <w:rsid w:val="004608B9"/>
    <w:rsid w:val="00463B55"/>
    <w:rsid w:val="00465947"/>
    <w:rsid w:val="004667B1"/>
    <w:rsid w:val="00467F66"/>
    <w:rsid w:val="00470461"/>
    <w:rsid w:val="00470BB1"/>
    <w:rsid w:val="00470ED0"/>
    <w:rsid w:val="00472DA5"/>
    <w:rsid w:val="00473153"/>
    <w:rsid w:val="0047350F"/>
    <w:rsid w:val="004743AF"/>
    <w:rsid w:val="00482C17"/>
    <w:rsid w:val="00484CE3"/>
    <w:rsid w:val="004911B4"/>
    <w:rsid w:val="0049196A"/>
    <w:rsid w:val="004923DA"/>
    <w:rsid w:val="00492EEB"/>
    <w:rsid w:val="00493434"/>
    <w:rsid w:val="00493441"/>
    <w:rsid w:val="004968E2"/>
    <w:rsid w:val="004975EE"/>
    <w:rsid w:val="004A2A49"/>
    <w:rsid w:val="004A50FD"/>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64ED"/>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A6FE2"/>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66BC"/>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4B45"/>
    <w:rsid w:val="006B4496"/>
    <w:rsid w:val="006B5E67"/>
    <w:rsid w:val="006B6612"/>
    <w:rsid w:val="006C2EB5"/>
    <w:rsid w:val="006D18A3"/>
    <w:rsid w:val="006D23D3"/>
    <w:rsid w:val="006D5970"/>
    <w:rsid w:val="006E481E"/>
    <w:rsid w:val="006E795F"/>
    <w:rsid w:val="006F01FB"/>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4F6A"/>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3203"/>
    <w:rsid w:val="007C556F"/>
    <w:rsid w:val="007C5ABE"/>
    <w:rsid w:val="007C6A87"/>
    <w:rsid w:val="007D0A07"/>
    <w:rsid w:val="007D0F11"/>
    <w:rsid w:val="007D133D"/>
    <w:rsid w:val="007D3EB4"/>
    <w:rsid w:val="007D3F16"/>
    <w:rsid w:val="007E3223"/>
    <w:rsid w:val="007F10BD"/>
    <w:rsid w:val="007F1F6F"/>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7CC2"/>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0545"/>
    <w:rsid w:val="008F127E"/>
    <w:rsid w:val="008F32D9"/>
    <w:rsid w:val="00902A65"/>
    <w:rsid w:val="00903932"/>
    <w:rsid w:val="009079BD"/>
    <w:rsid w:val="00912BD9"/>
    <w:rsid w:val="00916FB2"/>
    <w:rsid w:val="00920E5B"/>
    <w:rsid w:val="00926436"/>
    <w:rsid w:val="00926C53"/>
    <w:rsid w:val="0093018C"/>
    <w:rsid w:val="0094495F"/>
    <w:rsid w:val="00946312"/>
    <w:rsid w:val="009544C0"/>
    <w:rsid w:val="00954FA4"/>
    <w:rsid w:val="009560F2"/>
    <w:rsid w:val="00956AE9"/>
    <w:rsid w:val="00964CC6"/>
    <w:rsid w:val="00967BFA"/>
    <w:rsid w:val="0098262C"/>
    <w:rsid w:val="0098427C"/>
    <w:rsid w:val="00986B43"/>
    <w:rsid w:val="00986C0B"/>
    <w:rsid w:val="00986D46"/>
    <w:rsid w:val="00991FDA"/>
    <w:rsid w:val="009923FB"/>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A46"/>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025B"/>
    <w:rsid w:val="00A652F6"/>
    <w:rsid w:val="00A65861"/>
    <w:rsid w:val="00A66A85"/>
    <w:rsid w:val="00A67BA4"/>
    <w:rsid w:val="00A732EA"/>
    <w:rsid w:val="00A7489E"/>
    <w:rsid w:val="00A8015F"/>
    <w:rsid w:val="00A85039"/>
    <w:rsid w:val="00A85951"/>
    <w:rsid w:val="00A906AA"/>
    <w:rsid w:val="00A94C5E"/>
    <w:rsid w:val="00AA252C"/>
    <w:rsid w:val="00AA666E"/>
    <w:rsid w:val="00AA7960"/>
    <w:rsid w:val="00AB5518"/>
    <w:rsid w:val="00AC3A0E"/>
    <w:rsid w:val="00AC4A04"/>
    <w:rsid w:val="00AC5679"/>
    <w:rsid w:val="00AD2489"/>
    <w:rsid w:val="00AD3151"/>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15E"/>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13CD"/>
    <w:rsid w:val="00BD30B1"/>
    <w:rsid w:val="00BE0F7B"/>
    <w:rsid w:val="00BE10C2"/>
    <w:rsid w:val="00BF0D6C"/>
    <w:rsid w:val="00C000BC"/>
    <w:rsid w:val="00C01D14"/>
    <w:rsid w:val="00C01D97"/>
    <w:rsid w:val="00C025B4"/>
    <w:rsid w:val="00C029EC"/>
    <w:rsid w:val="00C046BF"/>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6EB2"/>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4BA1"/>
    <w:rsid w:val="00D0274B"/>
    <w:rsid w:val="00D0400B"/>
    <w:rsid w:val="00D0503D"/>
    <w:rsid w:val="00D052BC"/>
    <w:rsid w:val="00D07026"/>
    <w:rsid w:val="00D146AE"/>
    <w:rsid w:val="00D222BD"/>
    <w:rsid w:val="00D22C8F"/>
    <w:rsid w:val="00D24E05"/>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EF716C"/>
    <w:rsid w:val="00F01F92"/>
    <w:rsid w:val="00F030D4"/>
    <w:rsid w:val="00F04053"/>
    <w:rsid w:val="00F06573"/>
    <w:rsid w:val="00F10A08"/>
    <w:rsid w:val="00F15354"/>
    <w:rsid w:val="00F22AC5"/>
    <w:rsid w:val="00F254D1"/>
    <w:rsid w:val="00F32B2E"/>
    <w:rsid w:val="00F32B82"/>
    <w:rsid w:val="00F34C86"/>
    <w:rsid w:val="00F4043E"/>
    <w:rsid w:val="00F41577"/>
    <w:rsid w:val="00F41795"/>
    <w:rsid w:val="00F41BBC"/>
    <w:rsid w:val="00F444F0"/>
    <w:rsid w:val="00F446FF"/>
    <w:rsid w:val="00F45521"/>
    <w:rsid w:val="00F50847"/>
    <w:rsid w:val="00F53F27"/>
    <w:rsid w:val="00F546D1"/>
    <w:rsid w:val="00F60281"/>
    <w:rsid w:val="00F65235"/>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3C32"/>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40331A-C6D6-440D-989A-427FF8CAA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12</Pages>
  <Words>4800</Words>
  <Characters>27366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Rhiana1 Povey</cp:lastModifiedBy>
  <cp:revision>53</cp:revision>
  <cp:lastPrinted>2020-02-11T19:20:00Z</cp:lastPrinted>
  <dcterms:created xsi:type="dcterms:W3CDTF">2025-10-05T16:21:00Z</dcterms:created>
  <dcterms:modified xsi:type="dcterms:W3CDTF">2026-07-08T12:31:00Z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