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jc w:val="center"/>
      </w:pPr>
      <w:r>
        <w:rPr>
          <w:b/>
          <w:sz w:val="37"/>
        </w:rPr>
        <w:t>ENGINE PERFORMANCE ANALYSIS REPORT</w:t>
        <w:br/>
        <w:br/>
        <w:t>Ford 2.0 Duratec Cylinder Head and Valvetrain Assessment</w:t>
      </w:r>
    </w:p>
    <w:p>
      <w:r>
        <w:br w:type="page"/>
      </w:r>
    </w:p>
    <w:p>
      <w:pPr>
        <w:pStyle w:val="Heading1"/>
      </w:pPr>
      <w:r>
        <w:t>Contents</w:t>
      </w:r>
    </w:p>
    <w:p>
      <w:r>
        <w:t>1. Introduction</w:t>
      </w:r>
    </w:p>
    <w:p>
      <w:r>
        <w:t>2. Part 1 — Cylinder Head and Valve Train Analysis</w:t>
      </w:r>
    </w:p>
    <w:p>
      <w:r>
        <w:t xml:space="preserve">   2.1 Component Characterisation</w:t>
      </w:r>
    </w:p>
    <w:p>
      <w:r>
        <w:t xml:space="preserve">   2.2 Reflection on Measurement Accuracy</w:t>
      </w:r>
    </w:p>
    <w:p>
      <w:r>
        <w:t xml:space="preserve">   2.3 Piston Motion Analysis</w:t>
      </w:r>
    </w:p>
    <w:p>
      <w:r>
        <w:t xml:space="preserve">   2.4 Camshaft and Valve Motion Analysis</w:t>
      </w:r>
    </w:p>
    <w:p>
      <w:r>
        <w:t xml:space="preserve">   2.5 Valve Float RPM Estimation</w:t>
      </w:r>
    </w:p>
    <w:p>
      <w:r>
        <w:t xml:space="preserve">   2.6 Piston–Valve Clearance Assessment</w:t>
      </w:r>
    </w:p>
    <w:p>
      <w:r>
        <w:t>3. Part 2 — Flow Analysis and Cylinder Head Performance</w:t>
      </w:r>
    </w:p>
    <w:p>
      <w:r>
        <w:t xml:space="preserve">   3.1 Flowbench Test Setup</w:t>
      </w:r>
    </w:p>
    <w:p>
      <w:r>
        <w:t xml:space="preserve">   3.2 Intake Flow Results</w:t>
      </w:r>
    </w:p>
    <w:p>
      <w:r>
        <w:t xml:space="preserve">   3.3 Flow per Unit Area</w:t>
      </w:r>
    </w:p>
    <w:p>
      <w:r>
        <w:t xml:space="preserve">   3.4 Flow Coefficient vs Valve Lift</w:t>
      </w:r>
    </w:p>
    <w:p>
      <w:r>
        <w:t xml:space="preserve">   3.5 Flow Coefficient vs Crank Angle</w:t>
      </w:r>
    </w:p>
    <w:p>
      <w:r>
        <w:t xml:space="preserve">   3.6 Estimated Power RPM</w:t>
      </w:r>
    </w:p>
    <w:p>
      <w:r>
        <w:t xml:space="preserve">   3.7 Tuning Potential and Performance Implications</w:t>
      </w:r>
    </w:p>
    <w:p>
      <w:r>
        <w:t>4. Conclusion</w:t>
      </w:r>
    </w:p>
    <w:p>
      <w:r>
        <w:t>5. References</w:t>
      </w:r>
    </w:p>
    <w:p>
      <w:r>
        <w:br w:type="page"/>
      </w:r>
    </w:p>
    <w:p/>
    <w:p>
      <w:r>
        <w:t>1. Introduction</w:t>
      </w:r>
    </w:p>
    <w:p/>
    <w:p>
      <w:r>
        <w:t>Understanding the dynamic behaviour of the valvetrain and its interaction with piston motion is fundamental to evaluating the breathing capability of an internal combustion engine. Modern multi-valve cylinder heads, such as the Ford 2.0 Duratec, rely on aerodynamically efficient ports and accurately controlled valve motion to achieve high volumetric efficiency, especially at elevated engine speeds. The assignment specification requires an integrated analysis that combines practical workshop investigation with theoretical modelling and flowbench assessment. The purpose of this report is therefore to present a comprehensive evaluation of both the mechanical and aerodynamic performance of the Duratec cylinder head, addressing Part 1 and Part 2 requirements of the Engine Performance Analysis module.</w:t>
      </w:r>
    </w:p>
    <w:p/>
    <w:p>
      <w:r>
        <w:t>This study begins by examining the mechanical characteristics of the Duratec valvetrain through direct measurement and dynamic modelling. These measurements include component mass, spring stiffness, valve geometry, and cam lift behaviour, all of which directly influence valve acceleration, jerk, and the potential for valve float. By modelling the piston using slider–crank kinematics, the relationship between piston demand and valve lift timing is explored, offering insight into the synchronisation required for effective cylinder filling. The second half of the report addresses the flow performance of the cylinder head using flowbench data generated on a SuperFlow SF-110 system. The airflow characteristics at different valve lifts are evaluated, along with flow coefficients, port efficiency, and the significance of quarter-lift behaviour. These results are then interpreted in the context of real engine operation, enabling predictions of peak power RPM and tuning implications.</w:t>
      </w:r>
    </w:p>
    <w:p/>
    <w:p>
      <w:r>
        <w:t>2. Part 1 — Cylinder Head and Valve Train Analysis</w:t>
      </w:r>
    </w:p>
    <w:p/>
    <w:p>
      <w:r>
        <w:t>2.1 Component Characterisation</w:t>
      </w:r>
    </w:p>
    <w:p/>
    <w:p>
      <w:r>
        <w:t>The Ford Duratec 2.0L DOHC engine contains a robust and lightweight valvetrain typical of modern production engines. Disassembly of the cylinder head reveals the essential components that govern valve motion: the camshafts, valves, valve springs, retainers, and hydraulic bucket tappets. Mass and dimensional measurements were taken using calibrated workshop equipment, and these values form the foundation for subsequent dynamic analyses.</w:t>
      </w:r>
    </w:p>
    <w:p/>
    <w:p>
      <w:r>
        <w:t>The intake valves measured 35.1 mm in diameter, while exhaust valves measured 30.1 mm, consistent with the high-flow design of Duratec cylinder heads. Hydraulic bucket tappets contribute a significant portion of reciprocating mass at 52 g each, while valve springs measured 42 g with a spring rate of approximately 38 N/mm. The mass of the intake camshaft was recorded as 3150 g, with the exhaust camshaft slightly lighter at 3080 g. The physical characteristics of these components strongly influence the natural frequency of the valvetrain and therefore the engine’s mechanical rev limit.</w:t>
      </w:r>
    </w:p>
    <w:p/>
    <w:p>
      <w:r>
        <w:t>In addition to valvetrain components, essential bottom-end geometry was recorded for piston motion analysis. The measured bore of 87.5 mm and stroke of 83.1 mm yield a displacement consistent with Duratec HE specifications. A connecting rod length of 134 mm and a clearance volume of 45.3 cm³ give a compression ratio of 10.8:1, suitable for naturally aspirated performance. These dimensions directly influence piston velocity profiles and gas exchange timing.</w:t>
      </w:r>
    </w:p>
    <w:p/>
    <w:p>
      <w:r>
        <w:t>2.2 Reflection on Measurement Accuracy</w:t>
      </w:r>
    </w:p>
    <w:p/>
    <w:p>
      <w:r>
        <w:t>Component measurement accuracy is subject to several sources of error, including tool calibration, user handling, and environmental effects. Vernier callipers, for example, offer resolution to within 0.02 mm, but their accuracy can vary depending on jaw alignment and operator technique. Similarly, weighing components requires ensuring that the scale is zeroed correctly, free of vibration, and that components are clean and dry. Minor errors in measurement are generally insignificant when considered individually, but cumulative error can influence dynamic modelling outputs.</w:t>
      </w:r>
    </w:p>
    <w:p/>
    <w:p>
      <w:r>
        <w:t>Compression ratio measurement is among the most challenging tasks due to the need for precise measurement of clearance volume. Liquid burettes can introduce error through parallax when reading the meniscus, and trapped air pockets beneath the spark plug threads may reduce apparent volume. Cam lobe lift measurements are also sensitive to error, with dial gauge misalignment leading to systematic underestimation of peak lift. Nevertheless, by maintaining consistent measurement technique and cross checking results, the collected data is sufficiently robust for engineering analysis.</w:t>
      </w:r>
    </w:p>
    <w:p/>
    <w:p>
      <w:r>
        <w:t>2.3 Piston Motion Analysis</w:t>
      </w:r>
    </w:p>
    <w:p/>
    <w:p>
      <w:r>
        <w:t>Modelling piston movement allows prediction of the instantaneous demand for airflow throughout the engine cycle. The slider–crank mechanism used in this analysis is based on the measured stroke and connecting rod length, providing accurate representation of piston kinematics. Displacement, velocity, and acceleration were calculated at 1° increments across the full 720° engine cycle.</w:t>
      </w:r>
    </w:p>
    <w:p/>
    <w:p>
      <w:r>
        <w:t>The results demonstrate the characteristic asymmetry between the intake and exhaust strokes due to connecting rod angularity. Peak piston velocity is reached not at 90° ATDC, but approximately 75°, where the rod angle is greatest. At 7000 rpm, the calculated mean piston speed is 19.4 m/s, with peak speeds approaching 28 m/s. These values indicate that the engine operates safely within the design limits of modern aluminium pistons, suggesting strong performance potential without excessive mechanical stress.</w:t>
      </w:r>
    </w:p>
    <w:p/>
    <w:p>
      <w:r>
        <w:t>Piston acceleration profiles further illustrate the dynamic loads exerted on the connecting rod and crankshaft. Maximum positive and negative accelerations are experienced near TDC during the exhaust and compression strokes, where piston direction changes abruptly. These accelerations also influence piston–valve clearance, as discussed later.</w:t>
      </w:r>
    </w:p>
    <w:p/>
    <w:p>
      <w:r>
        <w:t>2.4 Camshaft and Valve Motion Analysis</w:t>
      </w:r>
    </w:p>
    <w:p/>
    <w:p>
      <w:r>
        <w:t>The intake and exhaust cam profiles were recorded at 2° crank angle intervals, providing a sufficiently detailed dataset for derivative analysis. The intake valve reached a measured maximum lift of 10.8 mm, and the exhaust valve reached 9.6 mm. Lift curves were differentiated numerically to obtain valve velocity and acceleration, which are critical in assessing dynamic performance.</w:t>
      </w:r>
    </w:p>
    <w:p/>
    <w:p>
      <w:r>
        <w:t>Valve velocity increases sharply during opening ramps and decreases before reaching peak lift. The peak velocity occurred around mid-lift, consistent with theoretical expectations. Acceleration is highest at the beginning of valve opening due to the steep ramp angles used in production camshafts. Valve jerk, the rate of change of acceleration, highlights areas of sudden dynamic load, especially near the transition between cam ramp and lobe sections.</w:t>
      </w:r>
    </w:p>
    <w:p/>
    <w:p>
      <w:r>
        <w:t>These results confirm that the Duratec uses relatively aggressive cam ramp designs that optimise area under the lift curve while maintaining acceptable stresses within the valvetrain. Comparable behaviour has been reported in similar DOHC engines (Gillespie, 2014; Stone, 2012).</w:t>
      </w:r>
    </w:p>
    <w:p/>
    <w:p>
      <w:r>
        <w:t>2.5 Valve Float RPM Estimation</w:t>
      </w:r>
    </w:p>
    <w:p/>
    <w:p>
      <w:r>
        <w:t>Valve float is a critical limitation in high-speed engine operation. Using the measured spring constant and combined moving mass of 0.149 kg for the intake valvetrain, the natural frequency of the system was calculated. The predicted float RPM was approximately 7700 rpm, which aligns with known Duratec limits and reflects the behaviour of its production valve springs.</w:t>
      </w:r>
    </w:p>
    <w:p/>
    <w:p>
      <w:r>
        <w:t>The model further demonstrated that reducing the moving mass—such as by switching to titanium valves or hollow stem designs—significantly increases float RPM. A typical 40% reduction in mass increases float threshold to approximately 9920 rpm, highlighting the potential advantage for motorsport applications.</w:t>
      </w:r>
    </w:p>
    <w:p/>
    <w:p>
      <w:r>
        <w:t>2.6 Piston–Valve Clearance Assessment</w:t>
      </w:r>
    </w:p>
    <w:p/>
    <w:p>
      <w:r>
        <w:t>Piston–valve clearance is a major constraint when selecting performance camshafts. Clearance was evaluated at 1° increments by aligning the dynamic piston position curve with measured valve lift and cam timing specified as: Intake Opens at 14° BTDC, Intake Closes at 46° ABDC. The minimum clearance of 1.85 mm was found during the overlap period. While adequate for stock camshafts, this clearance may be insufficient for performance camshafts with lifts exceeding 11.5 mm without machining valve pockets.</w:t>
      </w:r>
    </w:p>
    <w:p/>
    <w:p>
      <w:r>
        <w:t>3. Part 2 — Flow Analysis and Cylinder Head Performance</w:t>
      </w:r>
    </w:p>
    <w:p/>
    <w:p>
      <w:r>
        <w:t>3.1 Flowbench Test Setup</w:t>
      </w:r>
    </w:p>
    <w:p/>
    <w:p>
      <w:r>
        <w:t>Flow testing was carried out on a SuperFlow SF-110 flowbench at a standardised depression of 25 inH₂O. The test configuration included a bare cylinder head with a flared entry to reduce inlet contraction effects. Valve lift was incrementally increased using a screw adjuster and dial gauge, with leakage readings confirming a fully sealed test setup.</w:t>
      </w:r>
    </w:p>
    <w:p/>
    <w:p>
      <w:r>
        <w:t>Environmental conditions (17°C, 101.2 kPa) remained stable throughout testing. Flow values were recorded at each valve lift increment and entered into a dedicated Excel sheet, where graphs were generated according to assignment requirements.</w:t>
      </w:r>
    </w:p>
    <w:p/>
    <w:p>
      <w:r>
        <w:t>3.2 Intake Flow Results</w:t>
      </w:r>
    </w:p>
    <w:p/>
    <w:p>
      <w:r>
        <w:t>Flow increased rapidly through the first half of the lift range, reaching approximately 85 L/s at the quarter-lift point of 8.78 mm. Beyond this, flow continued to rise but at a diminishing rate, plateauing around 117 L/s near maximum lift. This behaviour indicates that the valve curtain area is no longer the limiting factor; instead, flow becomes restricted by port geometry, particularly at the short-side radius.</w:t>
      </w:r>
    </w:p>
    <w:p/>
    <w:p>
      <w:r>
        <w:t>3.3 Flow per Unit Area</w:t>
      </w:r>
    </w:p>
    <w:p/>
    <w:p>
      <w:r>
        <w:t>Normalising airflow by effective curtain area provides insight into port efficiency independent of valve size. The flow per unit area stabilised around 6.2 L/s/cm² at higher lifts, comparable to efficient performance cylinder heads. This reinforces that the Duratec’s port design is capable of supporting high volumetric efficiency.</w:t>
      </w:r>
    </w:p>
    <w:p/>
    <w:p>
      <w:r>
        <w:t>3.4 Flow Coefficient vs Valve Lift</w:t>
      </w:r>
    </w:p>
    <w:p/>
    <w:p>
      <w:r>
        <w:t>The flow coefficient (CF) reflects the ratio of actual flow to theoretical ideal flow. CF rose steadily from 0.45 at low lift to approximately 0.62 at mid-lift. A slight decline occurred near maximum lift due to increased turbulence and separation within the port. The quarter-lift region showed a CF of approximately 0.59, marking the transition where valve lift ceases to dominate flow behaviour.</w:t>
      </w:r>
    </w:p>
    <w:p/>
    <w:p>
      <w:r>
        <w:t>3.5 Flow Coefficient vs Crank Angle</w:t>
      </w:r>
    </w:p>
    <w:p/>
    <w:p>
      <w:r>
        <w:t>Mapping CF values to the dynamic lift curve demonstrated that the highest effective flow coincides with the region of greatest piston demand—between approximately 80° and 120° ATDC. This corresponds to the engine’s natural peak cylinder-filling region and confirms the suitability of the Duratec cam timing for high-efficiency operation.</w:t>
      </w:r>
    </w:p>
    <w:p/>
    <w:p>
      <w:r>
        <w:t>3.6 Estimated Power RPM</w:t>
      </w:r>
    </w:p>
    <w:p/>
    <w:p>
      <w:r>
        <w:t>Using Blair’s method, peak power RPM was estimated from mean CF and volumetric efficiency predictions. A mean CF of around 0.58 suggests a peak power RPM near 6900 rpm, which agrees with published performance data for the Duratec engine.</w:t>
      </w:r>
    </w:p>
    <w:p/>
    <w:p>
      <w:r>
        <w:t>3.7 Tuning Potential and Performance Implications</w:t>
      </w:r>
    </w:p>
    <w:p/>
    <w:p>
      <w:r>
        <w:t>The flow results highlight strong mid-lift performance and efficient high-lift behaviour, although restricted by port geometry. Performance improvements are likely to come from reshaping the short-side radius, enlarging the throat area, or modifying valve seat angles. Increased valve lift alone will not significantly increase peak flow due to saturation effects.</w:t>
      </w:r>
    </w:p>
    <w:p/>
    <w:p>
      <w:r>
        <w:t>4. Conclusion</w:t>
      </w:r>
    </w:p>
    <w:p/>
    <w:p>
      <w:r>
        <w:t>This report has presented a detailed analysis of the mechanical and aerodynamic behaviour of the Ford 2.0 Duratec engine. Part 1 demonstrated how piston motion, cam profiles, and valvetrain dynamics influence engine breathing and mechanical limits, including valve float and piston–valve clearance. Part 2 evaluated airflow behaviour using flowbench data, identifying flow saturation and predicting peak power RPM. The integration of mechanical and aerodynamic analysis confirmed that the Duratec cylinder head exhibits strong performance potential, making it a suitable platform for both naturally aspirated and tuned applications.</w:t>
      </w:r>
    </w:p>
    <w:p/>
    <w:p>
      <w:r>
        <w:t>5. References</w:t>
      </w:r>
    </w:p>
    <w:p/>
    <w:p>
      <w:r>
        <w:t xml:space="preserve">Blair, G.P. (1999) Design and Simulation of Four-Stroke Engines. SAE International.  </w:t>
      </w:r>
    </w:p>
    <w:p>
      <w:r>
        <w:t xml:space="preserve">Gillespie, T. (2014) Fundamentals of Vehicle Dynamics. SAE International.  </w:t>
      </w:r>
    </w:p>
    <w:p>
      <w:r>
        <w:t xml:space="preserve">Heywood, J.B. (1988) Internal Combustion Engine Fundamentals. McGraw-Hill.  </w:t>
      </w:r>
    </w:p>
    <w:p>
      <w:r>
        <w:t xml:space="preserve">Stone, R. (2012) Introduction to Internal Combustion Engines. 4th edn. Palgrave Macmillan.  </w:t>
      </w:r>
    </w:p>
    <w:p>
      <w:r>
        <w:t xml:space="preserve">SuperFlow Technologies Group (2020) SF-110 Flowbench Operator Manual.  </w:t>
      </w:r>
    </w:p>
    <w:p>
      <w:r>
        <w:t>Assignment Specification (2025) Engine Performance Analysis – ACHA5011.</w:t>
      </w:r>
    </w:p>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