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18AAE2" w14:textId="0D1BF4DC" w:rsidR="00EC5962" w:rsidRDefault="00EC5962" w:rsidP="00EC5962">
      <w:pPr>
        <w:pStyle w:val="NormalWeb"/>
        <w:spacing w:before="0" w:beforeAutospacing="0" w:after="0" w:afterAutospacing="0"/>
        <w:ind w:left="-180" w:right="-334"/>
      </w:pPr>
      <w:r w:rsidRPr="004401AE">
        <w:rPr>
          <w:noProof/>
          <w:lang w:eastAsia="en-GB"/>
        </w:rPr>
        <w:drawing>
          <wp:inline distT="0" distB="0" distL="0" distR="0" wp14:anchorId="0FF3127B" wp14:editId="415C4DA8">
            <wp:extent cx="2382520" cy="934720"/>
            <wp:effectExtent l="0" t="0" r="508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82520" cy="934720"/>
                    </a:xfrm>
                    <a:prstGeom prst="rect">
                      <a:avLst/>
                    </a:prstGeom>
                    <a:noFill/>
                    <a:ln>
                      <a:noFill/>
                    </a:ln>
                  </pic:spPr>
                </pic:pic>
              </a:graphicData>
            </a:graphic>
          </wp:inline>
        </w:drawing>
      </w:r>
    </w:p>
    <w:p w14:paraId="7C6094C3" w14:textId="77777777" w:rsidR="00EC5962" w:rsidRDefault="00EC5962" w:rsidP="00EC5962">
      <w:pPr>
        <w:pStyle w:val="NormalWeb"/>
        <w:spacing w:before="0" w:beforeAutospacing="0" w:after="0" w:afterAutospacing="0"/>
        <w:ind w:left="-180" w:right="-334"/>
      </w:pPr>
    </w:p>
    <w:p w14:paraId="2037F600" w14:textId="77777777" w:rsidR="00EC5962" w:rsidRPr="00E95BF7" w:rsidRDefault="00EC5962" w:rsidP="00EC5962">
      <w:pPr>
        <w:pStyle w:val="NormalWeb"/>
        <w:spacing w:before="0" w:beforeAutospacing="0" w:after="0" w:afterAutospacing="0"/>
        <w:ind w:left="-180" w:right="-334"/>
        <w:jc w:val="center"/>
        <w:rPr>
          <w:rFonts w:ascii="Arial" w:hAnsi="Arial" w:cs="Arial"/>
          <w:b/>
          <w:sz w:val="28"/>
          <w:szCs w:val="28"/>
          <w:lang w:val="cy-GB"/>
        </w:rPr>
      </w:pPr>
      <w:r w:rsidRPr="00E95BF7">
        <w:rPr>
          <w:rFonts w:ascii="Arial" w:hAnsi="Arial" w:cs="Arial"/>
          <w:b/>
          <w:sz w:val="28"/>
          <w:szCs w:val="28"/>
          <w:lang w:val="cy-GB"/>
        </w:rPr>
        <w:t xml:space="preserve">Postgraduate/Distance Learning </w:t>
      </w:r>
    </w:p>
    <w:p w14:paraId="1DE52CE7" w14:textId="77777777" w:rsidR="00EC5962" w:rsidRPr="00E95BF7" w:rsidRDefault="00EC5962" w:rsidP="00EC5962">
      <w:pPr>
        <w:pStyle w:val="NormalWeb"/>
        <w:spacing w:before="0" w:beforeAutospacing="0" w:after="0" w:afterAutospacing="0"/>
        <w:ind w:left="-180" w:right="-334"/>
        <w:jc w:val="center"/>
        <w:rPr>
          <w:rFonts w:ascii="Arial" w:hAnsi="Arial" w:cs="Arial"/>
          <w:b/>
          <w:sz w:val="28"/>
          <w:szCs w:val="28"/>
        </w:rPr>
      </w:pPr>
      <w:r w:rsidRPr="00E95BF7">
        <w:rPr>
          <w:rFonts w:ascii="Arial" w:hAnsi="Arial" w:cs="Arial"/>
          <w:b/>
          <w:sz w:val="28"/>
          <w:szCs w:val="28"/>
          <w:lang w:val="cy-GB"/>
        </w:rPr>
        <w:t>Assignment Coversheet &amp; Feedback Form</w:t>
      </w:r>
    </w:p>
    <w:p w14:paraId="7BF857A8" w14:textId="77777777" w:rsidR="00EC5962" w:rsidRPr="00E95BF7" w:rsidRDefault="00EC5962" w:rsidP="00EC5962">
      <w:pPr>
        <w:rPr>
          <w:rFonts w:ascii="Arial" w:hAnsi="Arial" w:cs="Arial"/>
          <w:sz w:val="28"/>
          <w:szCs w:val="28"/>
          <w:lang w:val="cy-GB"/>
        </w:rPr>
      </w:pPr>
    </w:p>
    <w:p w14:paraId="0147BBA6" w14:textId="77777777" w:rsidR="00EC5962" w:rsidRPr="00E95BF7" w:rsidRDefault="00EC5962" w:rsidP="00EC5962">
      <w:pPr>
        <w:jc w:val="center"/>
        <w:rPr>
          <w:rFonts w:ascii="Arial" w:hAnsi="Arial" w:cs="Arial"/>
          <w:sz w:val="20"/>
          <w:szCs w:val="20"/>
          <w:lang w:val="cy-GB"/>
        </w:rPr>
      </w:pPr>
      <w:r w:rsidRPr="00E95BF7">
        <w:rPr>
          <w:rFonts w:ascii="Arial" w:hAnsi="Arial" w:cs="Arial"/>
          <w:sz w:val="20"/>
          <w:szCs w:val="20"/>
          <w:lang w:val="cy-GB"/>
        </w:rPr>
        <w:t>[Please insert this coversheet as the first page of the assignment you are submitting]</w:t>
      </w:r>
    </w:p>
    <w:p w14:paraId="37F68D45" w14:textId="77777777" w:rsidR="00EC5962" w:rsidRPr="00E95BF7" w:rsidRDefault="00EC5962" w:rsidP="00EC5962">
      <w:pPr>
        <w:pStyle w:val="Heading3"/>
        <w:jc w:val="center"/>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1980"/>
        <w:gridCol w:w="286"/>
        <w:gridCol w:w="1802"/>
      </w:tblGrid>
      <w:tr w:rsidR="00EC5962" w:rsidRPr="00E95BF7" w14:paraId="7E75B21A" w14:textId="77777777" w:rsidTr="00E71443">
        <w:trPr>
          <w:trHeight w:val="724"/>
        </w:trPr>
        <w:tc>
          <w:tcPr>
            <w:tcW w:w="8856" w:type="dxa"/>
            <w:gridSpan w:val="4"/>
          </w:tcPr>
          <w:p w14:paraId="0896723A" w14:textId="77777777" w:rsidR="00EC5962" w:rsidRPr="00E95BF7" w:rsidRDefault="00EC5962" w:rsidP="00E71443">
            <w:pPr>
              <w:pStyle w:val="NormalWeb"/>
              <w:spacing w:before="0" w:beforeAutospacing="0" w:after="0" w:afterAutospacing="0"/>
              <w:ind w:right="34"/>
              <w:rPr>
                <w:rFonts w:ascii="Arial" w:hAnsi="Arial" w:cs="Arial"/>
                <w:sz w:val="22"/>
                <w:szCs w:val="22"/>
              </w:rPr>
            </w:pPr>
            <w:r w:rsidRPr="00E95BF7">
              <w:rPr>
                <w:rFonts w:ascii="Arial" w:hAnsi="Arial" w:cs="Arial"/>
                <w:b/>
                <w:sz w:val="22"/>
                <w:szCs w:val="22"/>
              </w:rPr>
              <w:t>For completion by the student</w:t>
            </w:r>
            <w:r w:rsidRPr="00E95BF7">
              <w:rPr>
                <w:rFonts w:ascii="Arial" w:hAnsi="Arial" w:cs="Arial"/>
                <w:sz w:val="22"/>
                <w:szCs w:val="22"/>
              </w:rPr>
              <w:t>:</w:t>
            </w:r>
          </w:p>
          <w:p w14:paraId="0EA8D811" w14:textId="3CAA4809" w:rsidR="00EC5962" w:rsidRPr="00E95BF7" w:rsidRDefault="00EC5962" w:rsidP="00E71443">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Name:</w:t>
            </w:r>
            <w:r>
              <w:rPr>
                <w:rFonts w:ascii="Arial" w:hAnsi="Arial" w:cs="Arial"/>
                <w:sz w:val="22"/>
                <w:szCs w:val="22"/>
              </w:rPr>
              <w:t xml:space="preserve">                    </w:t>
            </w:r>
            <w:r w:rsidRPr="00EC5962">
              <w:rPr>
                <w:rFonts w:ascii="Arial" w:hAnsi="Arial" w:cs="Arial"/>
                <w:b/>
                <w:sz w:val="22"/>
                <w:szCs w:val="22"/>
              </w:rPr>
              <w:t>Alyson Blamey</w:t>
            </w:r>
          </w:p>
        </w:tc>
      </w:tr>
      <w:tr w:rsidR="00EC5962" w:rsidRPr="00E95BF7" w14:paraId="73D56B33" w14:textId="77777777" w:rsidTr="00E71443">
        <w:trPr>
          <w:trHeight w:val="693"/>
        </w:trPr>
        <w:tc>
          <w:tcPr>
            <w:tcW w:w="4788" w:type="dxa"/>
          </w:tcPr>
          <w:p w14:paraId="043E9CEA" w14:textId="77777777" w:rsidR="00EC5962" w:rsidRPr="00E95BF7" w:rsidRDefault="00EC5962" w:rsidP="00E71443">
            <w:pPr>
              <w:pStyle w:val="NormalWeb"/>
              <w:spacing w:before="0" w:beforeAutospacing="0" w:after="0" w:afterAutospacing="0"/>
              <w:ind w:right="34"/>
              <w:rPr>
                <w:rFonts w:ascii="Arial" w:hAnsi="Arial" w:cs="Arial"/>
                <w:sz w:val="22"/>
                <w:szCs w:val="22"/>
              </w:rPr>
            </w:pPr>
          </w:p>
          <w:p w14:paraId="2A5542AE" w14:textId="18DB2347" w:rsidR="00EC5962" w:rsidRDefault="00EC5962" w:rsidP="00EC5962">
            <w:pPr>
              <w:pStyle w:val="Heading1"/>
              <w:spacing w:before="0"/>
              <w:rPr>
                <w:rFonts w:ascii="Helvetica Neue" w:eastAsia="Times New Roman" w:hAnsi="Helvetica Neue"/>
                <w:color w:val="373A3C"/>
                <w:sz w:val="48"/>
                <w:szCs w:val="48"/>
              </w:rPr>
            </w:pPr>
            <w:r w:rsidRPr="00EC5962">
              <w:rPr>
                <w:rFonts w:ascii="Arial" w:hAnsi="Arial" w:cs="Arial"/>
                <w:color w:val="000000" w:themeColor="text1"/>
                <w:sz w:val="22"/>
                <w:szCs w:val="22"/>
              </w:rPr>
              <w:t xml:space="preserve">Module code: </w:t>
            </w:r>
            <w:r w:rsidRPr="00EC5962">
              <w:rPr>
                <w:rFonts w:ascii="Helvetica Neue" w:eastAsia="Times New Roman" w:hAnsi="Helvetica Neue"/>
                <w:bCs/>
                <w:color w:val="000000"/>
                <w:sz w:val="24"/>
                <w:szCs w:val="24"/>
              </w:rPr>
              <w:t>CSPH70</w:t>
            </w:r>
            <w:r w:rsidR="00AB7435">
              <w:rPr>
                <w:rFonts w:ascii="Helvetica Neue" w:eastAsia="Times New Roman" w:hAnsi="Helvetica Neue"/>
                <w:bCs/>
                <w:color w:val="000000"/>
                <w:sz w:val="24"/>
                <w:szCs w:val="24"/>
              </w:rPr>
              <w:t>40</w:t>
            </w:r>
          </w:p>
          <w:p w14:paraId="71166E15" w14:textId="6B9A6526" w:rsidR="00EC5962" w:rsidRPr="00E95BF7" w:rsidRDefault="00EC5962" w:rsidP="00E71443">
            <w:pPr>
              <w:pStyle w:val="NormalWeb"/>
              <w:spacing w:before="0" w:beforeAutospacing="0" w:after="0" w:afterAutospacing="0"/>
              <w:ind w:right="34"/>
              <w:rPr>
                <w:rFonts w:ascii="Arial" w:hAnsi="Arial" w:cs="Arial"/>
                <w:sz w:val="22"/>
                <w:szCs w:val="22"/>
              </w:rPr>
            </w:pPr>
          </w:p>
          <w:p w14:paraId="048A1ADC" w14:textId="77777777" w:rsidR="00EC5962" w:rsidRPr="00E95BF7" w:rsidRDefault="00EC5962" w:rsidP="00E71443">
            <w:pPr>
              <w:pStyle w:val="NormalWeb"/>
              <w:spacing w:before="0" w:beforeAutospacing="0" w:after="0" w:afterAutospacing="0"/>
              <w:ind w:right="34"/>
              <w:rPr>
                <w:rFonts w:ascii="Arial" w:hAnsi="Arial" w:cs="Arial"/>
                <w:sz w:val="22"/>
                <w:szCs w:val="22"/>
              </w:rPr>
            </w:pPr>
          </w:p>
        </w:tc>
        <w:tc>
          <w:tcPr>
            <w:tcW w:w="2266" w:type="dxa"/>
            <w:gridSpan w:val="2"/>
            <w:vMerge w:val="restart"/>
          </w:tcPr>
          <w:p w14:paraId="2859F9F2" w14:textId="77777777" w:rsidR="00EC5962" w:rsidRDefault="00EC5962" w:rsidP="00E71443">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University Number:</w:t>
            </w:r>
          </w:p>
          <w:p w14:paraId="1ED6790E" w14:textId="77777777" w:rsidR="00EC5962" w:rsidRDefault="00EC5962" w:rsidP="00E71443">
            <w:pPr>
              <w:pStyle w:val="NormalWeb"/>
              <w:spacing w:before="0" w:beforeAutospacing="0" w:after="0" w:afterAutospacing="0"/>
              <w:ind w:right="34"/>
              <w:rPr>
                <w:rFonts w:ascii="Arial" w:hAnsi="Arial" w:cs="Arial"/>
                <w:sz w:val="22"/>
                <w:szCs w:val="22"/>
              </w:rPr>
            </w:pPr>
          </w:p>
          <w:p w14:paraId="41352DE2" w14:textId="1DE0750C" w:rsidR="00EC5962" w:rsidRPr="00E95BF7" w:rsidRDefault="00EC5962" w:rsidP="00E71443">
            <w:pPr>
              <w:pStyle w:val="NormalWeb"/>
              <w:spacing w:before="0" w:beforeAutospacing="0" w:after="0" w:afterAutospacing="0"/>
              <w:ind w:right="34"/>
              <w:rPr>
                <w:rFonts w:ascii="Arial" w:hAnsi="Arial" w:cs="Arial"/>
                <w:sz w:val="22"/>
                <w:szCs w:val="22"/>
              </w:rPr>
            </w:pPr>
            <w:r>
              <w:rPr>
                <w:rFonts w:ascii="Arial" w:hAnsi="Arial" w:cs="Arial"/>
                <w:sz w:val="22"/>
                <w:szCs w:val="22"/>
              </w:rPr>
              <w:t>180</w:t>
            </w:r>
            <w:r w:rsidR="00CC6294">
              <w:rPr>
                <w:rFonts w:ascii="Arial" w:hAnsi="Arial" w:cs="Arial"/>
                <w:sz w:val="22"/>
                <w:szCs w:val="22"/>
              </w:rPr>
              <w:t>4745</w:t>
            </w:r>
          </w:p>
        </w:tc>
        <w:tc>
          <w:tcPr>
            <w:tcW w:w="1802" w:type="dxa"/>
            <w:vMerge w:val="restart"/>
          </w:tcPr>
          <w:p w14:paraId="302E0747" w14:textId="77777777" w:rsidR="00EC5962" w:rsidRPr="00E95BF7" w:rsidRDefault="00EC5962" w:rsidP="00E71443">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Educational support needs:</w:t>
            </w:r>
          </w:p>
          <w:p w14:paraId="70D9EFE7" w14:textId="77777777" w:rsidR="00EC5962" w:rsidRPr="00E95BF7" w:rsidRDefault="00EC5962" w:rsidP="00E71443">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Yes/</w:t>
            </w:r>
            <w:r w:rsidRPr="00EC5962">
              <w:rPr>
                <w:rFonts w:ascii="Arial" w:hAnsi="Arial" w:cs="Arial"/>
                <w:sz w:val="22"/>
                <w:szCs w:val="22"/>
                <w:highlight w:val="yellow"/>
              </w:rPr>
              <w:t>No</w:t>
            </w:r>
          </w:p>
        </w:tc>
      </w:tr>
      <w:tr w:rsidR="00EC5962" w:rsidRPr="00E95BF7" w14:paraId="6BE8CF70" w14:textId="77777777" w:rsidTr="00E71443">
        <w:trPr>
          <w:trHeight w:val="630"/>
        </w:trPr>
        <w:tc>
          <w:tcPr>
            <w:tcW w:w="4788" w:type="dxa"/>
          </w:tcPr>
          <w:p w14:paraId="5D7E6E26" w14:textId="77777777" w:rsidR="00EC5962" w:rsidRPr="00E95BF7" w:rsidRDefault="00EC5962" w:rsidP="00E71443">
            <w:pPr>
              <w:pStyle w:val="NormalWeb"/>
              <w:spacing w:before="0" w:beforeAutospacing="0" w:after="0" w:afterAutospacing="0"/>
              <w:ind w:right="34"/>
              <w:rPr>
                <w:rFonts w:ascii="Arial" w:hAnsi="Arial" w:cs="Arial"/>
                <w:sz w:val="22"/>
                <w:szCs w:val="22"/>
              </w:rPr>
            </w:pPr>
          </w:p>
          <w:p w14:paraId="565493ED" w14:textId="1F77680B" w:rsidR="00EC5962" w:rsidRPr="00E95BF7" w:rsidRDefault="00EC5962" w:rsidP="00E71443">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title:</w:t>
            </w:r>
            <w:r>
              <w:rPr>
                <w:rFonts w:ascii="Arial" w:hAnsi="Arial" w:cs="Arial"/>
                <w:sz w:val="22"/>
                <w:szCs w:val="22"/>
              </w:rPr>
              <w:t xml:space="preserve"> </w:t>
            </w:r>
            <w:r w:rsidR="00AB7435">
              <w:rPr>
                <w:rFonts w:ascii="Arial" w:hAnsi="Arial" w:cs="Arial"/>
                <w:sz w:val="22"/>
                <w:szCs w:val="22"/>
              </w:rPr>
              <w:t>Knowledge and Culture</w:t>
            </w:r>
          </w:p>
          <w:p w14:paraId="05BBC910" w14:textId="77777777" w:rsidR="00EC5962" w:rsidRPr="00E95BF7" w:rsidRDefault="00EC5962" w:rsidP="00E71443">
            <w:pPr>
              <w:pStyle w:val="NormalWeb"/>
              <w:spacing w:before="0" w:beforeAutospacing="0" w:after="0" w:afterAutospacing="0"/>
              <w:ind w:right="34"/>
              <w:rPr>
                <w:rFonts w:ascii="Arial" w:hAnsi="Arial" w:cs="Arial"/>
                <w:sz w:val="22"/>
                <w:szCs w:val="22"/>
              </w:rPr>
            </w:pPr>
          </w:p>
        </w:tc>
        <w:tc>
          <w:tcPr>
            <w:tcW w:w="2266" w:type="dxa"/>
            <w:gridSpan w:val="2"/>
            <w:vMerge/>
          </w:tcPr>
          <w:p w14:paraId="101D15C0" w14:textId="77777777" w:rsidR="00EC5962" w:rsidRPr="00E95BF7" w:rsidRDefault="00EC5962" w:rsidP="00E71443">
            <w:pPr>
              <w:pStyle w:val="NormalWeb"/>
              <w:spacing w:before="0" w:beforeAutospacing="0" w:after="0" w:afterAutospacing="0"/>
              <w:ind w:right="34"/>
              <w:rPr>
                <w:rFonts w:ascii="Arial" w:hAnsi="Arial" w:cs="Arial"/>
                <w:sz w:val="22"/>
                <w:szCs w:val="22"/>
              </w:rPr>
            </w:pPr>
          </w:p>
        </w:tc>
        <w:tc>
          <w:tcPr>
            <w:tcW w:w="1802" w:type="dxa"/>
            <w:vMerge/>
          </w:tcPr>
          <w:p w14:paraId="46D81D4C" w14:textId="77777777" w:rsidR="00EC5962" w:rsidRPr="00E95BF7" w:rsidRDefault="00EC5962" w:rsidP="00E71443">
            <w:pPr>
              <w:pStyle w:val="NormalWeb"/>
              <w:spacing w:before="0" w:beforeAutospacing="0" w:after="0" w:afterAutospacing="0"/>
              <w:ind w:right="34"/>
              <w:rPr>
                <w:rFonts w:ascii="Arial" w:hAnsi="Arial" w:cs="Arial"/>
                <w:sz w:val="22"/>
                <w:szCs w:val="22"/>
              </w:rPr>
            </w:pPr>
          </w:p>
        </w:tc>
      </w:tr>
      <w:tr w:rsidR="00EC5962" w:rsidRPr="00E95BF7" w14:paraId="4D574BEB" w14:textId="77777777" w:rsidTr="00E71443">
        <w:trPr>
          <w:trHeight w:val="630"/>
        </w:trPr>
        <w:tc>
          <w:tcPr>
            <w:tcW w:w="8856" w:type="dxa"/>
            <w:gridSpan w:val="4"/>
          </w:tcPr>
          <w:p w14:paraId="5D6AEBEE" w14:textId="77777777" w:rsidR="00EC5962" w:rsidRPr="00E95BF7" w:rsidRDefault="00EC5962" w:rsidP="00E71443">
            <w:pPr>
              <w:pStyle w:val="NormalWeb"/>
              <w:spacing w:before="0" w:beforeAutospacing="0" w:after="0" w:afterAutospacing="0"/>
              <w:ind w:right="34"/>
              <w:rPr>
                <w:rFonts w:ascii="Arial" w:hAnsi="Arial" w:cs="Arial"/>
                <w:sz w:val="22"/>
                <w:szCs w:val="22"/>
              </w:rPr>
            </w:pPr>
          </w:p>
          <w:p w14:paraId="69E9E732" w14:textId="39FCC295" w:rsidR="00EC5962" w:rsidRPr="00E95BF7" w:rsidRDefault="00EC5962" w:rsidP="00E71443">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tutor:</w:t>
            </w:r>
            <w:r w:rsidR="00CC6294">
              <w:rPr>
                <w:rFonts w:ascii="Arial" w:hAnsi="Arial" w:cs="Arial"/>
                <w:sz w:val="22"/>
                <w:szCs w:val="22"/>
              </w:rPr>
              <w:t xml:space="preserve"> </w:t>
            </w:r>
            <w:r w:rsidR="00C515DA">
              <w:rPr>
                <w:rFonts w:ascii="Arial" w:hAnsi="Arial" w:cs="Arial"/>
                <w:sz w:val="22"/>
                <w:szCs w:val="22"/>
              </w:rPr>
              <w:t>Dr Rebekah Humphreys</w:t>
            </w:r>
          </w:p>
        </w:tc>
      </w:tr>
      <w:tr w:rsidR="00EC5962" w:rsidRPr="00E95BF7" w14:paraId="53869ABF" w14:textId="77777777" w:rsidTr="00E71443">
        <w:trPr>
          <w:trHeight w:val="630"/>
        </w:trPr>
        <w:tc>
          <w:tcPr>
            <w:tcW w:w="8856" w:type="dxa"/>
            <w:gridSpan w:val="4"/>
          </w:tcPr>
          <w:p w14:paraId="29085FA6" w14:textId="77777777" w:rsidR="00EC5962" w:rsidRDefault="00EC5962" w:rsidP="00E71443">
            <w:pPr>
              <w:pStyle w:val="NormalWeb"/>
              <w:spacing w:before="0" w:beforeAutospacing="0" w:after="0" w:afterAutospacing="0"/>
              <w:ind w:right="34"/>
              <w:rPr>
                <w:rFonts w:ascii="Arial" w:hAnsi="Arial" w:cs="Arial"/>
                <w:sz w:val="22"/>
                <w:szCs w:val="22"/>
              </w:rPr>
            </w:pPr>
          </w:p>
          <w:p w14:paraId="179861C9" w14:textId="77777777" w:rsidR="00EC5962" w:rsidRDefault="00EC5962" w:rsidP="00E71443">
            <w:pPr>
              <w:pStyle w:val="NormalWeb"/>
              <w:spacing w:before="0" w:beforeAutospacing="0" w:after="0" w:afterAutospacing="0"/>
              <w:ind w:right="34"/>
              <w:rPr>
                <w:rFonts w:ascii="Arial" w:hAnsi="Arial" w:cs="Arial"/>
                <w:sz w:val="22"/>
                <w:szCs w:val="22"/>
              </w:rPr>
            </w:pPr>
            <w:r>
              <w:rPr>
                <w:rFonts w:ascii="Arial" w:hAnsi="Arial" w:cs="Arial"/>
                <w:sz w:val="22"/>
                <w:szCs w:val="22"/>
              </w:rPr>
              <w:t>Assignment title:</w:t>
            </w:r>
            <w:r w:rsidR="00CC6294">
              <w:rPr>
                <w:rFonts w:ascii="Arial" w:hAnsi="Arial" w:cs="Arial"/>
                <w:sz w:val="22"/>
                <w:szCs w:val="22"/>
              </w:rPr>
              <w:t xml:space="preserve"> </w:t>
            </w:r>
            <w:r w:rsidR="00AB7435">
              <w:rPr>
                <w:rFonts w:ascii="Arial" w:hAnsi="Arial" w:cs="Arial"/>
                <w:sz w:val="22"/>
                <w:szCs w:val="22"/>
              </w:rPr>
              <w:t xml:space="preserve"> How (if at all) is knowledge possible in the light of the Heraclitean doctrine of flux?</w:t>
            </w:r>
          </w:p>
          <w:p w14:paraId="414A1EA6" w14:textId="0E1A0758" w:rsidR="00AB7435" w:rsidRPr="00E95BF7" w:rsidRDefault="00AB7435" w:rsidP="00E71443">
            <w:pPr>
              <w:pStyle w:val="NormalWeb"/>
              <w:spacing w:before="0" w:beforeAutospacing="0" w:after="0" w:afterAutospacing="0"/>
              <w:ind w:right="34"/>
              <w:rPr>
                <w:rFonts w:ascii="Arial" w:hAnsi="Arial" w:cs="Arial"/>
                <w:sz w:val="22"/>
                <w:szCs w:val="22"/>
              </w:rPr>
            </w:pPr>
          </w:p>
        </w:tc>
      </w:tr>
      <w:tr w:rsidR="00EC5962" w:rsidRPr="00E95BF7" w14:paraId="71F3B5CC" w14:textId="77777777" w:rsidTr="00E71443">
        <w:trPr>
          <w:trHeight w:val="630"/>
        </w:trPr>
        <w:tc>
          <w:tcPr>
            <w:tcW w:w="8856" w:type="dxa"/>
            <w:gridSpan w:val="4"/>
          </w:tcPr>
          <w:p w14:paraId="6DEB866C" w14:textId="77777777" w:rsidR="00EC5962" w:rsidRPr="00E95BF7" w:rsidRDefault="00EC5962" w:rsidP="00E71443">
            <w:pPr>
              <w:pStyle w:val="NormalWeb"/>
              <w:spacing w:before="0" w:beforeAutospacing="0" w:after="0" w:afterAutospacing="0"/>
              <w:ind w:right="34"/>
              <w:rPr>
                <w:rFonts w:ascii="Arial" w:hAnsi="Arial" w:cs="Arial"/>
                <w:sz w:val="22"/>
                <w:szCs w:val="22"/>
              </w:rPr>
            </w:pPr>
          </w:p>
          <w:p w14:paraId="7F90D2CB" w14:textId="5FFCA18E" w:rsidR="00EC5962" w:rsidRPr="00E95BF7" w:rsidRDefault="00EC5962" w:rsidP="00E71443">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Assignment due date:</w:t>
            </w:r>
            <w:r w:rsidR="00CC6294">
              <w:rPr>
                <w:rFonts w:ascii="Arial" w:hAnsi="Arial" w:cs="Arial"/>
                <w:sz w:val="22"/>
                <w:szCs w:val="22"/>
              </w:rPr>
              <w:t xml:space="preserve"> </w:t>
            </w:r>
            <w:r w:rsidR="00AB7435">
              <w:rPr>
                <w:rFonts w:ascii="Arial" w:hAnsi="Arial" w:cs="Arial"/>
                <w:sz w:val="22"/>
                <w:szCs w:val="22"/>
              </w:rPr>
              <w:t>31</w:t>
            </w:r>
            <w:r w:rsidR="00AB7435" w:rsidRPr="00AB7435">
              <w:rPr>
                <w:rFonts w:ascii="Arial" w:hAnsi="Arial" w:cs="Arial"/>
                <w:sz w:val="22"/>
                <w:szCs w:val="22"/>
                <w:vertAlign w:val="superscript"/>
              </w:rPr>
              <w:t>st</w:t>
            </w:r>
            <w:r w:rsidR="00AB7435">
              <w:rPr>
                <w:rFonts w:ascii="Arial" w:hAnsi="Arial" w:cs="Arial"/>
                <w:sz w:val="22"/>
                <w:szCs w:val="22"/>
              </w:rPr>
              <w:t xml:space="preserve"> August 2020 by 2pm</w:t>
            </w:r>
          </w:p>
        </w:tc>
      </w:tr>
      <w:tr w:rsidR="00EC5962" w:rsidRPr="00E95BF7" w14:paraId="5491D6F1" w14:textId="77777777" w:rsidTr="00E71443">
        <w:trPr>
          <w:trHeight w:val="978"/>
        </w:trPr>
        <w:tc>
          <w:tcPr>
            <w:tcW w:w="8856" w:type="dxa"/>
            <w:gridSpan w:val="4"/>
            <w:shd w:val="clear" w:color="auto" w:fill="D9D9D9"/>
          </w:tcPr>
          <w:p w14:paraId="2D923D49" w14:textId="77777777" w:rsidR="00EC5962" w:rsidRPr="00E95BF7" w:rsidRDefault="00EC5962" w:rsidP="00E71443">
            <w:pPr>
              <w:pStyle w:val="NormalWeb"/>
              <w:spacing w:before="0" w:beforeAutospacing="0" w:after="0" w:afterAutospacing="0"/>
              <w:ind w:right="34"/>
              <w:rPr>
                <w:rFonts w:ascii="Arial" w:hAnsi="Arial" w:cs="Arial"/>
                <w:sz w:val="22"/>
                <w:szCs w:val="22"/>
              </w:rPr>
            </w:pPr>
          </w:p>
          <w:p w14:paraId="5E45DBD4" w14:textId="77777777" w:rsidR="00EC5962" w:rsidRPr="00E95BF7" w:rsidRDefault="00EC5962" w:rsidP="00E71443">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I confirm that this is my original work and that I have adhered to the University policy on plagiarism.</w:t>
            </w:r>
          </w:p>
          <w:p w14:paraId="390F4AB4" w14:textId="77777777" w:rsidR="00EC5962" w:rsidRPr="00E95BF7" w:rsidRDefault="00EC5962" w:rsidP="00E71443">
            <w:pPr>
              <w:pStyle w:val="NormalWeb"/>
              <w:spacing w:before="0" w:beforeAutospacing="0" w:after="0" w:afterAutospacing="0"/>
              <w:ind w:right="34"/>
              <w:rPr>
                <w:rFonts w:ascii="Arial" w:hAnsi="Arial" w:cs="Arial"/>
                <w:sz w:val="22"/>
                <w:szCs w:val="22"/>
              </w:rPr>
            </w:pPr>
          </w:p>
          <w:p w14:paraId="1AB1AA71" w14:textId="21C6ECA8" w:rsidR="00EC5962" w:rsidRPr="00E95BF7" w:rsidRDefault="00EC5962" w:rsidP="00E71443">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Name …</w:t>
            </w:r>
            <w:r w:rsidR="00CC6294">
              <w:rPr>
                <w:rFonts w:ascii="Arial" w:hAnsi="Arial" w:cs="Arial"/>
                <w:noProof/>
                <w:sz w:val="23"/>
                <w:szCs w:val="23"/>
                <w:lang w:eastAsia="en-GB"/>
              </w:rPr>
              <w:drawing>
                <wp:inline distT="0" distB="0" distL="0" distR="0" wp14:anchorId="6771B827" wp14:editId="4B2ACD09">
                  <wp:extent cx="574040" cy="1251803"/>
                  <wp:effectExtent l="0" t="8573" r="1588" b="1587"/>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16200000">
                            <a:off x="0" y="0"/>
                            <a:ext cx="595757" cy="1299161"/>
                          </a:xfrm>
                          <a:prstGeom prst="rect">
                            <a:avLst/>
                          </a:prstGeom>
                          <a:noFill/>
                          <a:ln>
                            <a:noFill/>
                          </a:ln>
                        </pic:spPr>
                      </pic:pic>
                    </a:graphicData>
                  </a:graphic>
                </wp:inline>
              </w:drawing>
            </w:r>
            <w:r w:rsidRPr="00E95BF7">
              <w:rPr>
                <w:rFonts w:ascii="Arial" w:hAnsi="Arial" w:cs="Arial"/>
                <w:sz w:val="22"/>
                <w:szCs w:val="22"/>
              </w:rPr>
              <w:t>…………………………………………………………</w:t>
            </w:r>
          </w:p>
          <w:p w14:paraId="2CE47CBB" w14:textId="77777777" w:rsidR="00EC5962" w:rsidRPr="00E95BF7" w:rsidRDefault="00EC5962" w:rsidP="00E71443">
            <w:pPr>
              <w:pStyle w:val="NormalWeb"/>
              <w:spacing w:before="0" w:beforeAutospacing="0" w:after="0" w:afterAutospacing="0"/>
              <w:ind w:right="34"/>
              <w:rPr>
                <w:rFonts w:ascii="Arial" w:hAnsi="Arial" w:cs="Arial"/>
                <w:sz w:val="22"/>
                <w:szCs w:val="22"/>
              </w:rPr>
            </w:pPr>
          </w:p>
        </w:tc>
      </w:tr>
      <w:tr w:rsidR="00EC5962" w:rsidRPr="00E95BF7" w14:paraId="6C2A36A3" w14:textId="77777777" w:rsidTr="00E71443">
        <w:trPr>
          <w:trHeight w:val="3972"/>
        </w:trPr>
        <w:tc>
          <w:tcPr>
            <w:tcW w:w="8856" w:type="dxa"/>
            <w:gridSpan w:val="4"/>
          </w:tcPr>
          <w:p w14:paraId="79EFC08D" w14:textId="77777777" w:rsidR="00EC5962" w:rsidRPr="00E95BF7" w:rsidRDefault="00EC5962" w:rsidP="00E71443">
            <w:pPr>
              <w:rPr>
                <w:rFonts w:ascii="Arial" w:hAnsi="Arial" w:cs="Arial"/>
                <w:b/>
              </w:rPr>
            </w:pPr>
          </w:p>
          <w:p w14:paraId="7DBADBBA" w14:textId="77777777" w:rsidR="00EC5962" w:rsidRPr="00E95BF7" w:rsidRDefault="00EC5962" w:rsidP="00E71443">
            <w:pPr>
              <w:rPr>
                <w:rFonts w:ascii="Arial" w:hAnsi="Arial" w:cs="Arial"/>
              </w:rPr>
            </w:pPr>
            <w:r w:rsidRPr="00E95BF7">
              <w:rPr>
                <w:rFonts w:ascii="Arial" w:hAnsi="Arial" w:cs="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C5962" w:rsidRPr="00E95BF7" w14:paraId="0C8BFDBD" w14:textId="77777777" w:rsidTr="00E71443">
              <w:tc>
                <w:tcPr>
                  <w:tcW w:w="6970" w:type="dxa"/>
                </w:tcPr>
                <w:p w14:paraId="048C6E2D" w14:textId="77777777" w:rsidR="00EC5962" w:rsidRPr="00E95BF7" w:rsidRDefault="00EC5962" w:rsidP="00E71443">
                  <w:pPr>
                    <w:rPr>
                      <w:rFonts w:ascii="Arial" w:hAnsi="Arial" w:cs="Arial"/>
                    </w:rPr>
                  </w:pPr>
                </w:p>
                <w:p w14:paraId="1A6B74B7" w14:textId="77777777" w:rsidR="00EC5962" w:rsidRPr="00E95BF7" w:rsidRDefault="00EC5962" w:rsidP="00E71443">
                  <w:pPr>
                    <w:rPr>
                      <w:rFonts w:ascii="Arial" w:hAnsi="Arial" w:cs="Arial"/>
                    </w:rPr>
                  </w:pPr>
                  <w:r w:rsidRPr="00E95BF7">
                    <w:rPr>
                      <w:rFonts w:ascii="Arial" w:hAnsi="Arial" w:cs="Arial"/>
                    </w:rPr>
                    <w:t>1</w:t>
                  </w:r>
                  <w:r w:rsidRPr="00E95BF7">
                    <w:rPr>
                      <w:rFonts w:ascii="Arial" w:hAnsi="Arial" w:cs="Arial"/>
                      <w:vertAlign w:val="superscript"/>
                    </w:rPr>
                    <w:t>st</w:t>
                  </w:r>
                  <w:r w:rsidRPr="00E95BF7">
                    <w:rPr>
                      <w:rFonts w:ascii="Arial" w:hAnsi="Arial" w:cs="Arial"/>
                    </w:rPr>
                    <w:t xml:space="preserve"> Marker’s Provisional mark</w:t>
                  </w:r>
                </w:p>
              </w:tc>
              <w:tc>
                <w:tcPr>
                  <w:tcW w:w="1660" w:type="dxa"/>
                </w:tcPr>
                <w:p w14:paraId="27694515" w14:textId="77777777" w:rsidR="00EC5962" w:rsidRPr="00E95BF7" w:rsidRDefault="00EC5962" w:rsidP="00E71443">
                  <w:pPr>
                    <w:rPr>
                      <w:rFonts w:ascii="Arial" w:hAnsi="Arial" w:cs="Arial"/>
                      <w:sz w:val="20"/>
                      <w:szCs w:val="20"/>
                    </w:rPr>
                  </w:pPr>
                </w:p>
              </w:tc>
            </w:tr>
            <w:tr w:rsidR="00EC5962" w:rsidRPr="00E95BF7" w14:paraId="4B3E964A" w14:textId="77777777" w:rsidTr="00E71443">
              <w:tc>
                <w:tcPr>
                  <w:tcW w:w="6970" w:type="dxa"/>
                </w:tcPr>
                <w:p w14:paraId="7191FD98" w14:textId="77777777" w:rsidR="00EC5962" w:rsidRPr="00E95BF7" w:rsidRDefault="00EC5962" w:rsidP="00E71443">
                  <w:pPr>
                    <w:rPr>
                      <w:rFonts w:ascii="Arial" w:hAnsi="Arial" w:cs="Arial"/>
                    </w:rPr>
                  </w:pPr>
                </w:p>
                <w:p w14:paraId="08BAAA6E" w14:textId="77777777" w:rsidR="00EC5962" w:rsidRPr="00E95BF7" w:rsidRDefault="00EC5962" w:rsidP="00E71443">
                  <w:pPr>
                    <w:rPr>
                      <w:rFonts w:ascii="Arial" w:hAnsi="Arial" w:cs="Arial"/>
                    </w:rPr>
                  </w:pPr>
                  <w:r w:rsidRPr="00E95BF7">
                    <w:rPr>
                      <w:rFonts w:ascii="Arial" w:hAnsi="Arial" w:cs="Arial"/>
                    </w:rPr>
                    <w:t>2</w:t>
                  </w:r>
                  <w:r w:rsidRPr="00E95BF7">
                    <w:rPr>
                      <w:rFonts w:ascii="Arial" w:hAnsi="Arial" w:cs="Arial"/>
                      <w:vertAlign w:val="superscript"/>
                    </w:rPr>
                    <w:t>nd</w:t>
                  </w:r>
                  <w:r w:rsidRPr="00E95BF7">
                    <w:rPr>
                      <w:rFonts w:ascii="Arial" w:hAnsi="Arial" w:cs="Arial"/>
                    </w:rPr>
                    <w:t xml:space="preserve"> Marker’s/Moderator’s provisional mark</w:t>
                  </w:r>
                </w:p>
              </w:tc>
              <w:tc>
                <w:tcPr>
                  <w:tcW w:w="1660" w:type="dxa"/>
                </w:tcPr>
                <w:p w14:paraId="7C28FB53" w14:textId="77777777" w:rsidR="00EC5962" w:rsidRPr="00E95BF7" w:rsidRDefault="00EC5962" w:rsidP="00E71443">
                  <w:pPr>
                    <w:rPr>
                      <w:rFonts w:ascii="Arial" w:hAnsi="Arial" w:cs="Arial"/>
                      <w:sz w:val="20"/>
                      <w:szCs w:val="20"/>
                    </w:rPr>
                  </w:pPr>
                </w:p>
              </w:tc>
            </w:tr>
            <w:tr w:rsidR="00EC5962" w:rsidRPr="00E95BF7" w14:paraId="4604D9BF" w14:textId="77777777" w:rsidTr="00E71443">
              <w:tc>
                <w:tcPr>
                  <w:tcW w:w="6970" w:type="dxa"/>
                </w:tcPr>
                <w:p w14:paraId="3B186788" w14:textId="77777777" w:rsidR="00EC5962" w:rsidRPr="00E95BF7" w:rsidRDefault="00EC5962" w:rsidP="00E71443">
                  <w:pPr>
                    <w:rPr>
                      <w:rFonts w:ascii="Arial" w:hAnsi="Arial" w:cs="Arial"/>
                    </w:rPr>
                  </w:pPr>
                </w:p>
                <w:p w14:paraId="32488D4C" w14:textId="77777777" w:rsidR="00EC5962" w:rsidRPr="00E95BF7" w:rsidRDefault="00EC5962" w:rsidP="00E71443">
                  <w:pPr>
                    <w:rPr>
                      <w:rFonts w:ascii="Arial" w:hAnsi="Arial" w:cs="Arial"/>
                    </w:rPr>
                  </w:pPr>
                  <w:r w:rsidRPr="00E95BF7">
                    <w:rPr>
                      <w:rFonts w:ascii="Arial" w:hAnsi="Arial" w:cs="Arial"/>
                    </w:rPr>
                    <w:t>External Examiner mark (if relevant)</w:t>
                  </w:r>
                </w:p>
              </w:tc>
              <w:tc>
                <w:tcPr>
                  <w:tcW w:w="1660" w:type="dxa"/>
                </w:tcPr>
                <w:p w14:paraId="24615BA0" w14:textId="77777777" w:rsidR="00EC5962" w:rsidRPr="00E95BF7" w:rsidRDefault="00EC5962" w:rsidP="00E71443">
                  <w:pPr>
                    <w:rPr>
                      <w:rFonts w:ascii="Arial" w:hAnsi="Arial" w:cs="Arial"/>
                      <w:sz w:val="20"/>
                      <w:szCs w:val="20"/>
                    </w:rPr>
                  </w:pPr>
                </w:p>
              </w:tc>
            </w:tr>
            <w:tr w:rsidR="00EC5962" w:rsidRPr="00E95BF7" w14:paraId="784F522D" w14:textId="77777777" w:rsidTr="00E71443">
              <w:tc>
                <w:tcPr>
                  <w:tcW w:w="6970" w:type="dxa"/>
                </w:tcPr>
                <w:p w14:paraId="43225F4F" w14:textId="77777777" w:rsidR="00EC5962" w:rsidRPr="00E95BF7" w:rsidRDefault="00EC5962" w:rsidP="00E71443">
                  <w:pPr>
                    <w:rPr>
                      <w:rFonts w:ascii="Arial" w:hAnsi="Arial" w:cs="Arial"/>
                    </w:rPr>
                  </w:pPr>
                </w:p>
                <w:p w14:paraId="18AF3B42" w14:textId="77777777" w:rsidR="00EC5962" w:rsidRPr="00E95BF7" w:rsidRDefault="00EC5962" w:rsidP="00E71443">
                  <w:pPr>
                    <w:rPr>
                      <w:rFonts w:ascii="Arial" w:hAnsi="Arial" w:cs="Arial"/>
                      <w:b/>
                    </w:rPr>
                  </w:pPr>
                  <w:r w:rsidRPr="00E95BF7">
                    <w:rPr>
                      <w:rFonts w:ascii="Arial" w:hAnsi="Arial" w:cs="Arial"/>
                      <w:b/>
                    </w:rPr>
                    <w:t>Final Mark</w:t>
                  </w:r>
                </w:p>
                <w:p w14:paraId="1581197D" w14:textId="77777777" w:rsidR="00EC5962" w:rsidRPr="00E95BF7" w:rsidRDefault="00EC5962" w:rsidP="00E71443">
                  <w:pPr>
                    <w:rPr>
                      <w:rFonts w:ascii="Arial" w:hAnsi="Arial" w:cs="Arial"/>
                    </w:rPr>
                  </w:pPr>
                </w:p>
              </w:tc>
              <w:tc>
                <w:tcPr>
                  <w:tcW w:w="1660" w:type="dxa"/>
                </w:tcPr>
                <w:p w14:paraId="14BB80F7" w14:textId="77777777" w:rsidR="00EC5962" w:rsidRPr="00E95BF7" w:rsidRDefault="00EC5962" w:rsidP="00E71443">
                  <w:pPr>
                    <w:rPr>
                      <w:rFonts w:ascii="Arial" w:hAnsi="Arial" w:cs="Arial"/>
                      <w:b/>
                      <w:sz w:val="20"/>
                      <w:szCs w:val="20"/>
                    </w:rPr>
                  </w:pPr>
                </w:p>
              </w:tc>
            </w:tr>
          </w:tbl>
          <w:p w14:paraId="16108F5F" w14:textId="77777777" w:rsidR="00EC5962" w:rsidRPr="00E95BF7" w:rsidRDefault="00EC5962" w:rsidP="00E71443">
            <w:pPr>
              <w:pStyle w:val="NormalWeb"/>
              <w:spacing w:before="0" w:beforeAutospacing="0" w:after="0" w:afterAutospacing="0"/>
              <w:ind w:left="142" w:right="34"/>
              <w:rPr>
                <w:rFonts w:ascii="Arial" w:hAnsi="Arial" w:cs="Arial"/>
                <w:b/>
                <w:sz w:val="22"/>
                <w:szCs w:val="22"/>
              </w:rPr>
            </w:pPr>
          </w:p>
          <w:p w14:paraId="1458EF47" w14:textId="77777777" w:rsidR="00EC5962" w:rsidRPr="00E95BF7" w:rsidRDefault="00EC5962" w:rsidP="00E71443">
            <w:pPr>
              <w:pStyle w:val="NormalWeb"/>
              <w:spacing w:before="0" w:beforeAutospacing="0" w:after="0" w:afterAutospacing="0"/>
              <w:ind w:left="142" w:right="34"/>
              <w:jc w:val="center"/>
              <w:rPr>
                <w:rFonts w:ascii="Arial" w:hAnsi="Arial" w:cs="Arial"/>
                <w:b/>
                <w:sz w:val="22"/>
                <w:szCs w:val="22"/>
              </w:rPr>
            </w:pPr>
            <w:r w:rsidRPr="00E95BF7">
              <w:rPr>
                <w:rFonts w:ascii="Arial" w:hAnsi="Arial" w:cs="Arial"/>
                <w:b/>
                <w:sz w:val="22"/>
                <w:szCs w:val="22"/>
              </w:rPr>
              <w:t>NB.  All marks are provisional until confirmed by the Final Examination</w:t>
            </w:r>
            <w:r>
              <w:rPr>
                <w:rFonts w:ascii="Arial" w:hAnsi="Arial" w:cs="Arial"/>
                <w:b/>
                <w:sz w:val="22"/>
                <w:szCs w:val="22"/>
              </w:rPr>
              <w:t xml:space="preserve"> Board</w:t>
            </w:r>
          </w:p>
          <w:p w14:paraId="32E04060" w14:textId="77777777" w:rsidR="00EC5962" w:rsidRPr="00E95BF7" w:rsidRDefault="00EC5962" w:rsidP="00E71443">
            <w:pPr>
              <w:pStyle w:val="NormalWeb"/>
              <w:spacing w:before="0" w:beforeAutospacing="0" w:after="0" w:afterAutospacing="0"/>
              <w:rPr>
                <w:rFonts w:ascii="Arial" w:hAnsi="Arial" w:cs="Arial"/>
                <w:b/>
                <w:sz w:val="22"/>
                <w:szCs w:val="22"/>
              </w:rPr>
            </w:pPr>
          </w:p>
          <w:p w14:paraId="60126496" w14:textId="77777777" w:rsidR="00EC5962" w:rsidRPr="00E95BF7" w:rsidRDefault="00EC5962" w:rsidP="00E71443">
            <w:pPr>
              <w:pStyle w:val="NormalWeb"/>
              <w:spacing w:before="0" w:beforeAutospacing="0" w:after="0" w:afterAutospacing="0"/>
              <w:rPr>
                <w:rFonts w:ascii="Arial" w:hAnsi="Arial" w:cs="Arial"/>
                <w:b/>
                <w:sz w:val="22"/>
                <w:szCs w:val="22"/>
              </w:rPr>
            </w:pPr>
          </w:p>
          <w:p w14:paraId="3CA9B3CC" w14:textId="77777777" w:rsidR="00EC5962" w:rsidRPr="00E95BF7" w:rsidRDefault="00EC5962" w:rsidP="00E71443">
            <w:pPr>
              <w:pStyle w:val="NormalWeb"/>
              <w:spacing w:before="0" w:beforeAutospacing="0" w:after="0" w:afterAutospacing="0"/>
              <w:rPr>
                <w:rFonts w:ascii="Arial" w:hAnsi="Arial" w:cs="Arial"/>
                <w:b/>
                <w:sz w:val="22"/>
                <w:szCs w:val="22"/>
              </w:rPr>
            </w:pPr>
          </w:p>
          <w:p w14:paraId="556362C3" w14:textId="77777777" w:rsidR="00EC5962" w:rsidRPr="00E95BF7" w:rsidRDefault="00EC5962" w:rsidP="00E71443">
            <w:pPr>
              <w:pStyle w:val="NormalWeb"/>
              <w:spacing w:before="0" w:beforeAutospacing="0" w:after="0" w:afterAutospacing="0"/>
              <w:rPr>
                <w:rFonts w:ascii="Arial" w:hAnsi="Arial" w:cs="Arial"/>
                <w:b/>
                <w:sz w:val="22"/>
                <w:szCs w:val="22"/>
              </w:rPr>
            </w:pPr>
          </w:p>
          <w:p w14:paraId="60D0C1E2" w14:textId="77777777" w:rsidR="00EC5962" w:rsidRPr="00E95BF7" w:rsidRDefault="00EC5962" w:rsidP="00E71443">
            <w:pPr>
              <w:pStyle w:val="NormalWeb"/>
              <w:spacing w:before="0" w:beforeAutospacing="0" w:after="0" w:afterAutospacing="0"/>
              <w:rPr>
                <w:rFonts w:ascii="Arial" w:hAnsi="Arial" w:cs="Arial"/>
                <w:b/>
                <w:sz w:val="22"/>
                <w:szCs w:val="22"/>
              </w:rPr>
            </w:pPr>
          </w:p>
          <w:p w14:paraId="43AADC49" w14:textId="77777777" w:rsidR="00EC5962" w:rsidRPr="00E95BF7" w:rsidRDefault="00EC5962" w:rsidP="00E71443">
            <w:pPr>
              <w:pStyle w:val="NormalWeb"/>
              <w:spacing w:before="0" w:beforeAutospacing="0" w:after="0" w:afterAutospacing="0"/>
              <w:rPr>
                <w:rFonts w:ascii="Arial" w:hAnsi="Arial" w:cs="Arial"/>
                <w:b/>
                <w:sz w:val="22"/>
                <w:szCs w:val="22"/>
              </w:rPr>
            </w:pPr>
          </w:p>
          <w:p w14:paraId="0CD1A68D" w14:textId="77777777" w:rsidR="00EC5962" w:rsidRPr="00E95BF7" w:rsidRDefault="00EC5962" w:rsidP="00E71443">
            <w:pPr>
              <w:pStyle w:val="NormalWeb"/>
              <w:spacing w:before="0" w:beforeAutospacing="0" w:after="0" w:afterAutospacing="0"/>
              <w:rPr>
                <w:rFonts w:ascii="Arial" w:hAnsi="Arial" w:cs="Arial"/>
                <w:b/>
                <w:sz w:val="22"/>
                <w:szCs w:val="22"/>
              </w:rPr>
            </w:pPr>
          </w:p>
          <w:p w14:paraId="61EF3461" w14:textId="77777777" w:rsidR="00EC5962" w:rsidRPr="00E95BF7" w:rsidRDefault="00EC5962" w:rsidP="00E71443">
            <w:pPr>
              <w:pStyle w:val="NormalWeb"/>
              <w:spacing w:before="0" w:beforeAutospacing="0" w:after="0" w:afterAutospacing="0"/>
              <w:rPr>
                <w:rFonts w:ascii="Arial" w:hAnsi="Arial" w:cs="Arial"/>
                <w:b/>
                <w:sz w:val="22"/>
                <w:szCs w:val="22"/>
              </w:rPr>
            </w:pPr>
          </w:p>
          <w:p w14:paraId="30B9602E" w14:textId="77777777" w:rsidR="00EC5962" w:rsidRPr="00E95BF7" w:rsidRDefault="00EC5962" w:rsidP="00E71443">
            <w:pPr>
              <w:pStyle w:val="NormalWeb"/>
              <w:spacing w:before="0" w:beforeAutospacing="0" w:after="0" w:afterAutospacing="0"/>
              <w:rPr>
                <w:rFonts w:ascii="Arial" w:hAnsi="Arial" w:cs="Arial"/>
                <w:b/>
                <w:sz w:val="22"/>
                <w:szCs w:val="22"/>
              </w:rPr>
            </w:pPr>
          </w:p>
          <w:p w14:paraId="52AB909D" w14:textId="77777777" w:rsidR="00EC5962" w:rsidRPr="00E95BF7" w:rsidRDefault="00EC5962" w:rsidP="00E71443">
            <w:pPr>
              <w:pStyle w:val="NormalWeb"/>
              <w:spacing w:before="0" w:beforeAutospacing="0" w:after="0" w:afterAutospacing="0"/>
              <w:rPr>
                <w:rFonts w:ascii="Arial" w:hAnsi="Arial" w:cs="Arial"/>
                <w:b/>
                <w:sz w:val="22"/>
                <w:szCs w:val="22"/>
              </w:rPr>
            </w:pPr>
          </w:p>
          <w:p w14:paraId="1AD7B0F4" w14:textId="77777777" w:rsidR="00EC5962" w:rsidRPr="00E95BF7" w:rsidRDefault="00EC5962" w:rsidP="00E71443">
            <w:pPr>
              <w:pStyle w:val="NormalWeb"/>
              <w:spacing w:before="0" w:beforeAutospacing="0" w:after="0" w:afterAutospacing="0"/>
              <w:rPr>
                <w:rFonts w:ascii="Arial" w:hAnsi="Arial" w:cs="Arial"/>
                <w:b/>
                <w:sz w:val="22"/>
                <w:szCs w:val="22"/>
              </w:rPr>
            </w:pPr>
            <w:r w:rsidRPr="00E95BF7">
              <w:rPr>
                <w:rFonts w:ascii="Arial" w:hAnsi="Arial" w:cs="Arial"/>
                <w:b/>
                <w:sz w:val="22"/>
                <w:szCs w:val="22"/>
              </w:rPr>
              <w:t>For completion by Marker 1:</w:t>
            </w:r>
          </w:p>
          <w:p w14:paraId="5FAC32EA" w14:textId="77777777" w:rsidR="00EC5962" w:rsidRPr="00E95BF7" w:rsidRDefault="00EC5962" w:rsidP="00E71443">
            <w:pPr>
              <w:pStyle w:val="NormalWeb"/>
              <w:rPr>
                <w:rFonts w:ascii="Arial" w:hAnsi="Arial" w:cs="Arial"/>
                <w:sz w:val="22"/>
                <w:szCs w:val="22"/>
              </w:rPr>
            </w:pPr>
            <w:r w:rsidRPr="00E95BF7">
              <w:rPr>
                <w:rFonts w:ascii="Arial" w:hAnsi="Arial" w:cs="Arial"/>
                <w:sz w:val="22"/>
                <w:szCs w:val="22"/>
              </w:rPr>
              <w:t>Comments:</w:t>
            </w:r>
          </w:p>
        </w:tc>
      </w:tr>
      <w:tr w:rsidR="00EC5962" w:rsidRPr="00E95BF7" w14:paraId="7D985727" w14:textId="77777777" w:rsidTr="00E71443">
        <w:trPr>
          <w:trHeight w:val="408"/>
        </w:trPr>
        <w:tc>
          <w:tcPr>
            <w:tcW w:w="6768" w:type="dxa"/>
            <w:gridSpan w:val="2"/>
          </w:tcPr>
          <w:p w14:paraId="2A7F002E" w14:textId="77777777" w:rsidR="00EC5962" w:rsidRPr="00E95BF7" w:rsidRDefault="00EC5962" w:rsidP="00E71443">
            <w:pPr>
              <w:pStyle w:val="NormalWeb"/>
              <w:ind w:right="34"/>
              <w:rPr>
                <w:rFonts w:ascii="Arial" w:hAnsi="Arial" w:cs="Arial"/>
                <w:sz w:val="22"/>
                <w:szCs w:val="22"/>
              </w:rPr>
            </w:pPr>
            <w:r w:rsidRPr="00E95BF7">
              <w:rPr>
                <w:rFonts w:ascii="Arial" w:hAnsi="Arial" w:cs="Arial"/>
                <w:sz w:val="22"/>
                <w:szCs w:val="22"/>
              </w:rPr>
              <w:t>Marker 1 signature:</w:t>
            </w:r>
          </w:p>
        </w:tc>
        <w:tc>
          <w:tcPr>
            <w:tcW w:w="2088" w:type="dxa"/>
            <w:gridSpan w:val="2"/>
          </w:tcPr>
          <w:p w14:paraId="6536AD04" w14:textId="77777777" w:rsidR="00EC5962" w:rsidRPr="00E95BF7" w:rsidRDefault="00EC5962" w:rsidP="00E71443">
            <w:pPr>
              <w:pStyle w:val="NormalWeb"/>
              <w:spacing w:after="0"/>
              <w:ind w:left="142" w:right="34"/>
              <w:rPr>
                <w:rFonts w:ascii="Arial" w:hAnsi="Arial" w:cs="Arial"/>
                <w:sz w:val="22"/>
                <w:szCs w:val="22"/>
              </w:rPr>
            </w:pPr>
            <w:r w:rsidRPr="00E95BF7">
              <w:rPr>
                <w:rFonts w:ascii="Arial" w:hAnsi="Arial" w:cs="Arial"/>
                <w:sz w:val="22"/>
                <w:szCs w:val="22"/>
              </w:rPr>
              <w:t>Date:</w:t>
            </w:r>
          </w:p>
        </w:tc>
      </w:tr>
      <w:tr w:rsidR="00EC5962" w:rsidRPr="00E95BF7" w14:paraId="1833ED4F" w14:textId="77777777" w:rsidTr="00E71443">
        <w:tc>
          <w:tcPr>
            <w:tcW w:w="8856" w:type="dxa"/>
            <w:gridSpan w:val="4"/>
          </w:tcPr>
          <w:p w14:paraId="5854782A" w14:textId="77777777" w:rsidR="00EC5962" w:rsidRPr="00E95BF7" w:rsidRDefault="00EC5962" w:rsidP="00E71443">
            <w:pPr>
              <w:pStyle w:val="NormalWeb"/>
              <w:spacing w:before="0" w:beforeAutospacing="0" w:after="0" w:afterAutospacing="0"/>
              <w:ind w:right="-334"/>
              <w:rPr>
                <w:rFonts w:ascii="Arial" w:hAnsi="Arial" w:cs="Arial"/>
                <w:bCs/>
                <w:i/>
                <w:sz w:val="22"/>
                <w:szCs w:val="22"/>
              </w:rPr>
            </w:pPr>
          </w:p>
          <w:p w14:paraId="3B92CCFB" w14:textId="77777777" w:rsidR="00EC5962" w:rsidRPr="00E95BF7" w:rsidRDefault="00EC5962" w:rsidP="00E71443">
            <w:pPr>
              <w:pStyle w:val="NormalWeb"/>
              <w:spacing w:before="0" w:beforeAutospacing="0" w:after="0" w:afterAutospacing="0"/>
              <w:ind w:right="-334"/>
              <w:rPr>
                <w:rFonts w:ascii="Arial" w:hAnsi="Arial" w:cs="Arial"/>
                <w:b/>
                <w:bCs/>
                <w:sz w:val="22"/>
                <w:szCs w:val="22"/>
              </w:rPr>
            </w:pPr>
            <w:r w:rsidRPr="00E95BF7">
              <w:rPr>
                <w:rFonts w:ascii="Arial" w:hAnsi="Arial" w:cs="Arial"/>
                <w:b/>
                <w:bCs/>
                <w:sz w:val="22"/>
                <w:szCs w:val="22"/>
              </w:rPr>
              <w:t>For completion by Marker 2 / Moderator:</w:t>
            </w:r>
          </w:p>
          <w:p w14:paraId="09CE9E57" w14:textId="77777777" w:rsidR="00EC5962" w:rsidRPr="00E95BF7" w:rsidRDefault="00EC5962" w:rsidP="00E71443">
            <w:pPr>
              <w:pStyle w:val="NormalWeb"/>
              <w:spacing w:before="0" w:beforeAutospacing="0" w:after="0" w:afterAutospacing="0"/>
              <w:ind w:right="-334"/>
              <w:rPr>
                <w:rFonts w:ascii="Arial" w:hAnsi="Arial" w:cs="Arial"/>
                <w:b/>
                <w:bCs/>
                <w:sz w:val="22"/>
                <w:szCs w:val="22"/>
              </w:rPr>
            </w:pPr>
          </w:p>
          <w:p w14:paraId="569D2B53" w14:textId="77777777" w:rsidR="00EC5962" w:rsidRPr="00E95BF7" w:rsidRDefault="00EC5962" w:rsidP="00E71443">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Comments:</w:t>
            </w:r>
          </w:p>
          <w:p w14:paraId="6693E013" w14:textId="77777777" w:rsidR="00EC5962" w:rsidRPr="00E95BF7" w:rsidRDefault="00EC5962" w:rsidP="00E71443">
            <w:pPr>
              <w:pStyle w:val="NormalWeb"/>
              <w:spacing w:before="0" w:beforeAutospacing="0" w:after="0" w:afterAutospacing="0"/>
              <w:ind w:right="-334"/>
              <w:rPr>
                <w:rFonts w:ascii="Arial" w:hAnsi="Arial" w:cs="Arial"/>
                <w:bCs/>
                <w:sz w:val="22"/>
                <w:szCs w:val="22"/>
              </w:rPr>
            </w:pPr>
          </w:p>
          <w:p w14:paraId="52081956" w14:textId="77777777" w:rsidR="00EC5962" w:rsidRPr="00E95BF7" w:rsidRDefault="00EC5962" w:rsidP="00E71443">
            <w:pPr>
              <w:pStyle w:val="NormalWeb"/>
              <w:spacing w:before="0" w:beforeAutospacing="0" w:after="0" w:afterAutospacing="0"/>
              <w:ind w:right="-334"/>
              <w:rPr>
                <w:rFonts w:ascii="Arial" w:hAnsi="Arial" w:cs="Arial"/>
                <w:bCs/>
                <w:sz w:val="22"/>
                <w:szCs w:val="22"/>
              </w:rPr>
            </w:pPr>
          </w:p>
          <w:p w14:paraId="1BC0C951" w14:textId="77777777" w:rsidR="00EC5962" w:rsidRPr="00E95BF7" w:rsidRDefault="00EC5962" w:rsidP="00E71443">
            <w:pPr>
              <w:pStyle w:val="NormalWeb"/>
              <w:spacing w:before="0" w:beforeAutospacing="0" w:after="0" w:afterAutospacing="0"/>
              <w:ind w:right="-334"/>
              <w:rPr>
                <w:rFonts w:ascii="Arial" w:hAnsi="Arial" w:cs="Arial"/>
                <w:bCs/>
                <w:sz w:val="22"/>
                <w:szCs w:val="22"/>
              </w:rPr>
            </w:pPr>
          </w:p>
          <w:p w14:paraId="4DF7F06E" w14:textId="77777777" w:rsidR="00EC5962" w:rsidRPr="00E95BF7" w:rsidRDefault="00EC5962" w:rsidP="00E71443">
            <w:pPr>
              <w:pStyle w:val="NormalWeb"/>
              <w:spacing w:before="0" w:beforeAutospacing="0" w:after="0" w:afterAutospacing="0"/>
              <w:ind w:right="-334"/>
              <w:rPr>
                <w:rFonts w:ascii="Arial" w:hAnsi="Arial" w:cs="Arial"/>
                <w:bCs/>
                <w:sz w:val="22"/>
                <w:szCs w:val="22"/>
              </w:rPr>
            </w:pPr>
          </w:p>
          <w:p w14:paraId="3BCF9B28" w14:textId="77777777" w:rsidR="00EC5962" w:rsidRPr="00E95BF7" w:rsidRDefault="00EC5962" w:rsidP="00E71443">
            <w:pPr>
              <w:pStyle w:val="NormalWeb"/>
              <w:spacing w:before="0" w:beforeAutospacing="0" w:after="0" w:afterAutospacing="0"/>
              <w:ind w:right="-334"/>
              <w:rPr>
                <w:rFonts w:ascii="Arial" w:hAnsi="Arial" w:cs="Arial"/>
                <w:bCs/>
                <w:sz w:val="22"/>
                <w:szCs w:val="22"/>
              </w:rPr>
            </w:pPr>
          </w:p>
          <w:p w14:paraId="2680164A" w14:textId="77777777" w:rsidR="00EC5962" w:rsidRPr="00E95BF7" w:rsidRDefault="00EC5962" w:rsidP="00E71443">
            <w:pPr>
              <w:pStyle w:val="NormalWeb"/>
              <w:spacing w:before="0" w:beforeAutospacing="0" w:after="0" w:afterAutospacing="0"/>
              <w:ind w:right="-334"/>
              <w:rPr>
                <w:rFonts w:ascii="Arial" w:hAnsi="Arial" w:cs="Arial"/>
                <w:bCs/>
                <w:sz w:val="22"/>
                <w:szCs w:val="22"/>
              </w:rPr>
            </w:pPr>
          </w:p>
          <w:p w14:paraId="1AE3D6AC" w14:textId="77777777" w:rsidR="00EC5962" w:rsidRPr="00E95BF7" w:rsidRDefault="00EC5962" w:rsidP="00E71443">
            <w:pPr>
              <w:pStyle w:val="NormalWeb"/>
              <w:spacing w:before="0" w:beforeAutospacing="0" w:after="0" w:afterAutospacing="0"/>
              <w:ind w:right="-334"/>
              <w:rPr>
                <w:rFonts w:ascii="Arial" w:hAnsi="Arial" w:cs="Arial"/>
                <w:bCs/>
                <w:sz w:val="22"/>
                <w:szCs w:val="22"/>
              </w:rPr>
            </w:pPr>
          </w:p>
          <w:p w14:paraId="31AF4A65" w14:textId="77777777" w:rsidR="00EC5962" w:rsidRPr="00E95BF7" w:rsidRDefault="00EC5962" w:rsidP="00E71443">
            <w:pPr>
              <w:pStyle w:val="NormalWeb"/>
              <w:spacing w:before="0" w:beforeAutospacing="0" w:after="0" w:afterAutospacing="0"/>
              <w:ind w:right="-334"/>
              <w:rPr>
                <w:rFonts w:ascii="Arial" w:hAnsi="Arial" w:cs="Arial"/>
                <w:bCs/>
                <w:sz w:val="22"/>
                <w:szCs w:val="22"/>
              </w:rPr>
            </w:pPr>
          </w:p>
          <w:p w14:paraId="2CC5CA3A" w14:textId="77777777" w:rsidR="00EC5962" w:rsidRPr="00E95BF7" w:rsidRDefault="00EC5962" w:rsidP="00E71443">
            <w:pPr>
              <w:pStyle w:val="NormalWeb"/>
              <w:spacing w:before="0" w:beforeAutospacing="0" w:after="0" w:afterAutospacing="0"/>
              <w:ind w:right="-334"/>
              <w:rPr>
                <w:rFonts w:ascii="Arial" w:hAnsi="Arial" w:cs="Arial"/>
                <w:bCs/>
                <w:sz w:val="22"/>
                <w:szCs w:val="22"/>
              </w:rPr>
            </w:pPr>
          </w:p>
          <w:p w14:paraId="3AEBDC20" w14:textId="77777777" w:rsidR="00EC5962" w:rsidRPr="00E95BF7" w:rsidRDefault="00EC5962" w:rsidP="00E71443">
            <w:pPr>
              <w:pStyle w:val="NormalWeb"/>
              <w:spacing w:before="0" w:beforeAutospacing="0" w:after="0" w:afterAutospacing="0"/>
              <w:ind w:right="-334"/>
              <w:rPr>
                <w:rFonts w:ascii="Arial" w:hAnsi="Arial" w:cs="Arial"/>
                <w:bCs/>
                <w:sz w:val="22"/>
                <w:szCs w:val="22"/>
              </w:rPr>
            </w:pPr>
          </w:p>
          <w:p w14:paraId="0568954A" w14:textId="77777777" w:rsidR="00EC5962" w:rsidRPr="00E95BF7" w:rsidRDefault="00EC5962" w:rsidP="00E71443">
            <w:pPr>
              <w:pStyle w:val="NormalWeb"/>
              <w:spacing w:before="0" w:beforeAutospacing="0" w:after="0" w:afterAutospacing="0"/>
              <w:ind w:right="-334"/>
              <w:rPr>
                <w:rFonts w:ascii="Arial" w:hAnsi="Arial" w:cs="Arial"/>
                <w:bCs/>
                <w:sz w:val="22"/>
                <w:szCs w:val="22"/>
              </w:rPr>
            </w:pPr>
          </w:p>
        </w:tc>
      </w:tr>
      <w:tr w:rsidR="00EC5962" w:rsidRPr="00E95BF7" w14:paraId="01A4D9AC" w14:textId="77777777" w:rsidTr="00E71443">
        <w:trPr>
          <w:trHeight w:val="398"/>
        </w:trPr>
        <w:tc>
          <w:tcPr>
            <w:tcW w:w="6768" w:type="dxa"/>
            <w:gridSpan w:val="2"/>
          </w:tcPr>
          <w:p w14:paraId="1B23B6BC" w14:textId="77777777" w:rsidR="00EC5962" w:rsidRPr="00E95BF7" w:rsidRDefault="00EC5962" w:rsidP="00E71443">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Marker 2 / Moderator signature:</w:t>
            </w:r>
          </w:p>
        </w:tc>
        <w:tc>
          <w:tcPr>
            <w:tcW w:w="2088" w:type="dxa"/>
            <w:gridSpan w:val="2"/>
          </w:tcPr>
          <w:p w14:paraId="44260544" w14:textId="77777777" w:rsidR="00EC5962" w:rsidRPr="00E95BF7" w:rsidRDefault="00EC5962" w:rsidP="00E71443">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Date:</w:t>
            </w:r>
          </w:p>
        </w:tc>
      </w:tr>
      <w:tr w:rsidR="00EC5962" w:rsidRPr="00E95BF7" w14:paraId="2474FF78" w14:textId="77777777" w:rsidTr="00E71443">
        <w:trPr>
          <w:trHeight w:val="720"/>
        </w:trPr>
        <w:tc>
          <w:tcPr>
            <w:tcW w:w="8856" w:type="dxa"/>
            <w:gridSpan w:val="4"/>
          </w:tcPr>
          <w:p w14:paraId="2C3F5867" w14:textId="77777777" w:rsidR="00EC5962" w:rsidRPr="00E95BF7" w:rsidRDefault="00EC5962" w:rsidP="00E71443">
            <w:pPr>
              <w:rPr>
                <w:rFonts w:ascii="Arial" w:hAnsi="Arial" w:cs="Arial"/>
                <w:b/>
              </w:rPr>
            </w:pPr>
          </w:p>
          <w:p w14:paraId="152F34C0" w14:textId="77777777" w:rsidR="00EC5962" w:rsidRPr="00E95BF7" w:rsidRDefault="00EC5962" w:rsidP="00E71443">
            <w:pPr>
              <w:rPr>
                <w:rFonts w:ascii="Arial" w:hAnsi="Arial" w:cs="Arial"/>
                <w:b/>
              </w:rPr>
            </w:pPr>
            <w:r w:rsidRPr="00E95BF7">
              <w:rPr>
                <w:rFonts w:ascii="Arial" w:hAnsi="Arial" w:cs="Arial"/>
                <w:b/>
              </w:rPr>
              <w:t>External Examiner’s comments (if relevant):</w:t>
            </w:r>
          </w:p>
          <w:p w14:paraId="4F0753BF" w14:textId="77777777" w:rsidR="00EC5962" w:rsidRPr="00E95BF7" w:rsidRDefault="00EC5962" w:rsidP="00E71443">
            <w:pPr>
              <w:pStyle w:val="NormalWeb"/>
              <w:spacing w:before="0" w:beforeAutospacing="0" w:after="0" w:afterAutospacing="0"/>
              <w:ind w:right="-334"/>
              <w:rPr>
                <w:rFonts w:ascii="Arial" w:hAnsi="Arial" w:cs="Arial"/>
                <w:bCs/>
                <w:sz w:val="22"/>
                <w:szCs w:val="22"/>
              </w:rPr>
            </w:pPr>
          </w:p>
          <w:p w14:paraId="6724AC1A" w14:textId="77777777" w:rsidR="00EC5962" w:rsidRPr="00E95BF7" w:rsidRDefault="00EC5962" w:rsidP="00E71443">
            <w:pPr>
              <w:pStyle w:val="NormalWeb"/>
              <w:spacing w:before="0" w:beforeAutospacing="0" w:after="0" w:afterAutospacing="0"/>
              <w:ind w:right="-334"/>
              <w:rPr>
                <w:rFonts w:ascii="Arial" w:hAnsi="Arial" w:cs="Arial"/>
                <w:bCs/>
                <w:sz w:val="22"/>
                <w:szCs w:val="22"/>
              </w:rPr>
            </w:pPr>
          </w:p>
          <w:p w14:paraId="04EB3E36" w14:textId="77777777" w:rsidR="00EC5962" w:rsidRPr="00E95BF7" w:rsidRDefault="00EC5962" w:rsidP="00E71443">
            <w:pPr>
              <w:pStyle w:val="NormalWeb"/>
              <w:spacing w:before="0" w:beforeAutospacing="0" w:after="0" w:afterAutospacing="0"/>
              <w:ind w:right="-334"/>
              <w:rPr>
                <w:rFonts w:ascii="Arial" w:hAnsi="Arial" w:cs="Arial"/>
                <w:bCs/>
                <w:sz w:val="22"/>
                <w:szCs w:val="22"/>
              </w:rPr>
            </w:pPr>
          </w:p>
          <w:p w14:paraId="4FBE4C26" w14:textId="77777777" w:rsidR="00EC5962" w:rsidRPr="00E95BF7" w:rsidRDefault="00EC5962" w:rsidP="00E71443">
            <w:pPr>
              <w:pStyle w:val="NormalWeb"/>
              <w:spacing w:before="0" w:beforeAutospacing="0" w:after="0" w:afterAutospacing="0"/>
              <w:ind w:right="-334"/>
              <w:rPr>
                <w:rFonts w:ascii="Arial" w:hAnsi="Arial" w:cs="Arial"/>
                <w:bCs/>
                <w:sz w:val="22"/>
                <w:szCs w:val="22"/>
              </w:rPr>
            </w:pPr>
          </w:p>
          <w:p w14:paraId="527C1FED" w14:textId="77777777" w:rsidR="00EC5962" w:rsidRPr="00E95BF7" w:rsidRDefault="00EC5962" w:rsidP="00E71443">
            <w:pPr>
              <w:pStyle w:val="NormalWeb"/>
              <w:spacing w:before="0" w:beforeAutospacing="0" w:after="0" w:afterAutospacing="0"/>
              <w:ind w:right="-334"/>
              <w:rPr>
                <w:rFonts w:ascii="Arial" w:hAnsi="Arial" w:cs="Arial"/>
                <w:bCs/>
                <w:sz w:val="22"/>
                <w:szCs w:val="22"/>
              </w:rPr>
            </w:pPr>
          </w:p>
          <w:p w14:paraId="7EE1A3EE" w14:textId="77777777" w:rsidR="00EC5962" w:rsidRPr="00E95BF7" w:rsidRDefault="00EC5962" w:rsidP="00E71443">
            <w:pPr>
              <w:pStyle w:val="NormalWeb"/>
              <w:spacing w:before="0" w:beforeAutospacing="0" w:after="0" w:afterAutospacing="0"/>
              <w:ind w:right="-334"/>
              <w:rPr>
                <w:rFonts w:ascii="Arial" w:hAnsi="Arial" w:cs="Arial"/>
                <w:bCs/>
                <w:sz w:val="22"/>
                <w:szCs w:val="22"/>
              </w:rPr>
            </w:pPr>
          </w:p>
          <w:p w14:paraId="315AE3B0" w14:textId="77777777" w:rsidR="00EC5962" w:rsidRPr="00E95BF7" w:rsidRDefault="00EC5962" w:rsidP="00E71443">
            <w:pPr>
              <w:pStyle w:val="NormalWeb"/>
              <w:spacing w:before="0" w:beforeAutospacing="0" w:after="0" w:afterAutospacing="0"/>
              <w:ind w:right="-334"/>
              <w:rPr>
                <w:rFonts w:ascii="Arial" w:hAnsi="Arial" w:cs="Arial"/>
                <w:bCs/>
                <w:sz w:val="22"/>
                <w:szCs w:val="22"/>
              </w:rPr>
            </w:pPr>
          </w:p>
          <w:p w14:paraId="06DDA517" w14:textId="77777777" w:rsidR="00EC5962" w:rsidRPr="00E95BF7" w:rsidRDefault="00EC5962" w:rsidP="00E71443">
            <w:pPr>
              <w:pStyle w:val="NormalWeb"/>
              <w:spacing w:before="0" w:beforeAutospacing="0" w:after="0" w:afterAutospacing="0"/>
              <w:ind w:right="-334"/>
              <w:rPr>
                <w:rFonts w:ascii="Arial" w:hAnsi="Arial" w:cs="Arial"/>
                <w:bCs/>
                <w:sz w:val="22"/>
                <w:szCs w:val="22"/>
              </w:rPr>
            </w:pPr>
          </w:p>
          <w:p w14:paraId="00132825" w14:textId="77777777" w:rsidR="00EC5962" w:rsidRPr="00E95BF7" w:rsidRDefault="00EC5962" w:rsidP="00E71443">
            <w:pPr>
              <w:pStyle w:val="NormalWeb"/>
              <w:spacing w:before="0" w:beforeAutospacing="0" w:after="0" w:afterAutospacing="0"/>
              <w:ind w:right="-334"/>
              <w:rPr>
                <w:rFonts w:ascii="Arial" w:hAnsi="Arial" w:cs="Arial"/>
                <w:bCs/>
                <w:sz w:val="22"/>
                <w:szCs w:val="22"/>
              </w:rPr>
            </w:pPr>
          </w:p>
          <w:p w14:paraId="79F7BD2C" w14:textId="77777777" w:rsidR="00EC5962" w:rsidRPr="00E95BF7" w:rsidRDefault="00EC5962" w:rsidP="00E71443">
            <w:pPr>
              <w:pStyle w:val="NormalWeb"/>
              <w:spacing w:before="0" w:beforeAutospacing="0" w:after="0" w:afterAutospacing="0"/>
              <w:ind w:right="-334"/>
              <w:rPr>
                <w:rFonts w:ascii="Arial" w:hAnsi="Arial" w:cs="Arial"/>
                <w:bCs/>
                <w:sz w:val="22"/>
                <w:szCs w:val="22"/>
              </w:rPr>
            </w:pPr>
          </w:p>
          <w:p w14:paraId="302147DC" w14:textId="77777777" w:rsidR="00EC5962" w:rsidRPr="00E95BF7" w:rsidRDefault="00EC5962" w:rsidP="00E71443">
            <w:pPr>
              <w:pStyle w:val="NormalWeb"/>
              <w:spacing w:before="0" w:beforeAutospacing="0" w:after="0" w:afterAutospacing="0"/>
              <w:ind w:right="-334"/>
              <w:rPr>
                <w:rFonts w:ascii="Arial" w:hAnsi="Arial" w:cs="Arial"/>
                <w:bCs/>
                <w:sz w:val="22"/>
                <w:szCs w:val="22"/>
              </w:rPr>
            </w:pPr>
          </w:p>
          <w:p w14:paraId="07CE8264" w14:textId="77777777" w:rsidR="00EC5962" w:rsidRPr="00E95BF7" w:rsidRDefault="00EC5962" w:rsidP="00E71443">
            <w:pPr>
              <w:pStyle w:val="NormalWeb"/>
              <w:spacing w:before="0" w:beforeAutospacing="0" w:after="0" w:afterAutospacing="0"/>
              <w:ind w:right="-334"/>
              <w:rPr>
                <w:rFonts w:ascii="Arial" w:hAnsi="Arial" w:cs="Arial"/>
                <w:bCs/>
                <w:sz w:val="22"/>
                <w:szCs w:val="22"/>
              </w:rPr>
            </w:pPr>
          </w:p>
          <w:p w14:paraId="186CE40A" w14:textId="77777777" w:rsidR="00EC5962" w:rsidRPr="00E95BF7" w:rsidRDefault="00EC5962" w:rsidP="00E71443">
            <w:pPr>
              <w:pStyle w:val="NormalWeb"/>
              <w:spacing w:before="0" w:beforeAutospacing="0" w:after="0" w:afterAutospacing="0"/>
              <w:ind w:right="-334"/>
              <w:rPr>
                <w:rFonts w:ascii="Arial" w:hAnsi="Arial" w:cs="Arial"/>
                <w:bCs/>
                <w:sz w:val="22"/>
                <w:szCs w:val="22"/>
              </w:rPr>
            </w:pPr>
          </w:p>
        </w:tc>
      </w:tr>
      <w:tr w:rsidR="00EC5962" w:rsidRPr="00E95BF7" w14:paraId="55B04A77" w14:textId="77777777" w:rsidTr="00E71443">
        <w:trPr>
          <w:trHeight w:val="479"/>
        </w:trPr>
        <w:tc>
          <w:tcPr>
            <w:tcW w:w="6768" w:type="dxa"/>
            <w:gridSpan w:val="2"/>
          </w:tcPr>
          <w:p w14:paraId="37795C09" w14:textId="77777777" w:rsidR="00EC5962" w:rsidRPr="00E95BF7" w:rsidRDefault="00EC5962" w:rsidP="00E71443">
            <w:pPr>
              <w:rPr>
                <w:rFonts w:ascii="Arial" w:hAnsi="Arial" w:cs="Arial"/>
              </w:rPr>
            </w:pPr>
            <w:r w:rsidRPr="00E95BF7">
              <w:rPr>
                <w:rFonts w:ascii="Arial" w:hAnsi="Arial" w:cs="Arial"/>
              </w:rPr>
              <w:lastRenderedPageBreak/>
              <w:t>External Examiner signature:</w:t>
            </w:r>
          </w:p>
        </w:tc>
        <w:tc>
          <w:tcPr>
            <w:tcW w:w="2088" w:type="dxa"/>
            <w:gridSpan w:val="2"/>
          </w:tcPr>
          <w:p w14:paraId="45CC9D03" w14:textId="77777777" w:rsidR="00EC5962" w:rsidRPr="00E95BF7" w:rsidRDefault="00EC5962" w:rsidP="00E71443">
            <w:pPr>
              <w:rPr>
                <w:rFonts w:ascii="Arial" w:hAnsi="Arial" w:cs="Arial"/>
              </w:rPr>
            </w:pPr>
            <w:r w:rsidRPr="00E95BF7">
              <w:rPr>
                <w:rFonts w:ascii="Arial" w:hAnsi="Arial" w:cs="Arial"/>
              </w:rPr>
              <w:t>Date:</w:t>
            </w:r>
          </w:p>
        </w:tc>
      </w:tr>
    </w:tbl>
    <w:p w14:paraId="672590EB" w14:textId="77777777" w:rsidR="00EC5962" w:rsidRPr="00E95BF7" w:rsidRDefault="00EC5962" w:rsidP="00EC5962">
      <w:pPr>
        <w:pStyle w:val="NormalWeb"/>
        <w:spacing w:before="0" w:beforeAutospacing="0" w:after="0" w:afterAutospacing="0"/>
        <w:ind w:right="-334"/>
        <w:rPr>
          <w:rFonts w:ascii="Arial" w:hAnsi="Arial" w:cs="Arial"/>
          <w:bCs/>
          <w:sz w:val="24"/>
          <w:szCs w:val="24"/>
        </w:rPr>
      </w:pPr>
    </w:p>
    <w:p w14:paraId="7750670E" w14:textId="77777777" w:rsidR="00EC5962" w:rsidRDefault="00EC5962">
      <w:pPr>
        <w:rPr>
          <w:sz w:val="24"/>
          <w:szCs w:val="24"/>
          <w:u w:val="single"/>
        </w:rPr>
      </w:pPr>
    </w:p>
    <w:p w14:paraId="372A4484" w14:textId="4D4CFD86" w:rsidR="00F27EFA" w:rsidRDefault="002F7C4E">
      <w:pPr>
        <w:rPr>
          <w:sz w:val="24"/>
          <w:szCs w:val="24"/>
        </w:rPr>
      </w:pPr>
      <w:r>
        <w:rPr>
          <w:sz w:val="24"/>
          <w:szCs w:val="24"/>
        </w:rPr>
        <w:t xml:space="preserve">This essay will attempt to explore the ideas of Heraclitus focussing particularly on his ideas around knowledge and if it is possible to acquire knowledge despite the notion of flux. Foundational to this is an exploration of the view of </w:t>
      </w:r>
      <w:r>
        <w:rPr>
          <w:i/>
          <w:iCs/>
          <w:sz w:val="24"/>
          <w:szCs w:val="24"/>
        </w:rPr>
        <w:t>logos</w:t>
      </w:r>
      <w:r>
        <w:rPr>
          <w:sz w:val="24"/>
          <w:szCs w:val="24"/>
        </w:rPr>
        <w:t xml:space="preserve"> and its importance to Heraclitus’s philosophy. The philosophy of Heraclitus will be contrasted with that of Parmenides and will be supported briefly by that of Nietzsche.</w:t>
      </w:r>
    </w:p>
    <w:p w14:paraId="1DA6DBCB" w14:textId="77777777" w:rsidR="002F7C4E" w:rsidRPr="002F7C4E" w:rsidRDefault="002F7C4E">
      <w:pPr>
        <w:rPr>
          <w:sz w:val="24"/>
          <w:szCs w:val="24"/>
        </w:rPr>
      </w:pPr>
    </w:p>
    <w:p w14:paraId="1F6C371B" w14:textId="49153AEC" w:rsidR="00F53FA4" w:rsidRDefault="00F53FA4" w:rsidP="00AE4607">
      <w:pPr>
        <w:spacing w:line="276" w:lineRule="auto"/>
        <w:rPr>
          <w:sz w:val="24"/>
          <w:szCs w:val="24"/>
        </w:rPr>
      </w:pPr>
      <w:r>
        <w:rPr>
          <w:sz w:val="24"/>
          <w:szCs w:val="24"/>
        </w:rPr>
        <w:t xml:space="preserve">Heraclitus (c.540 – c.480 BCE) was one of many of the </w:t>
      </w:r>
      <w:r w:rsidR="0035359B">
        <w:rPr>
          <w:sz w:val="24"/>
          <w:szCs w:val="24"/>
        </w:rPr>
        <w:t>P</w:t>
      </w:r>
      <w:r>
        <w:rPr>
          <w:sz w:val="24"/>
          <w:szCs w:val="24"/>
        </w:rPr>
        <w:t xml:space="preserve">resocratic group of philosophers which started with Thales (c.624 BCE) and ended with Socrates (469 – 399 BCE). </w:t>
      </w:r>
    </w:p>
    <w:p w14:paraId="3CEA0866" w14:textId="1C26D2B7" w:rsidR="00F53FA4" w:rsidRDefault="00F53FA4" w:rsidP="00AE4607">
      <w:pPr>
        <w:spacing w:line="276" w:lineRule="auto"/>
        <w:rPr>
          <w:sz w:val="24"/>
          <w:szCs w:val="24"/>
        </w:rPr>
      </w:pPr>
      <w:r>
        <w:rPr>
          <w:sz w:val="24"/>
          <w:szCs w:val="24"/>
        </w:rPr>
        <w:t xml:space="preserve">The </w:t>
      </w:r>
      <w:r w:rsidR="0035359B">
        <w:rPr>
          <w:sz w:val="24"/>
          <w:szCs w:val="24"/>
        </w:rPr>
        <w:t>Pre</w:t>
      </w:r>
      <w:r>
        <w:rPr>
          <w:sz w:val="24"/>
          <w:szCs w:val="24"/>
        </w:rPr>
        <w:t>socratics made a definitive departure from the established mythological accounts of life towards the more rational explanations of the workings of the cosmos.</w:t>
      </w:r>
    </w:p>
    <w:p w14:paraId="12414287" w14:textId="69930AE1" w:rsidR="00C768A6" w:rsidRDefault="00F53FA4" w:rsidP="00AE4607">
      <w:pPr>
        <w:spacing w:line="276" w:lineRule="auto"/>
        <w:rPr>
          <w:sz w:val="24"/>
          <w:szCs w:val="24"/>
        </w:rPr>
      </w:pPr>
      <w:r>
        <w:rPr>
          <w:sz w:val="24"/>
          <w:szCs w:val="24"/>
        </w:rPr>
        <w:t xml:space="preserve">Each of the </w:t>
      </w:r>
      <w:r w:rsidR="0035359B">
        <w:rPr>
          <w:sz w:val="24"/>
          <w:szCs w:val="24"/>
        </w:rPr>
        <w:t>P</w:t>
      </w:r>
      <w:r>
        <w:rPr>
          <w:sz w:val="24"/>
          <w:szCs w:val="24"/>
        </w:rPr>
        <w:t>resocratic philosophers had ideas about what constituted the first principle (arche) of the cosmos. Thales believed water to be the primary source of all things whereas, in contrast, Anaximenes (c.546 - c.528 BCE) believed it to be air</w:t>
      </w:r>
      <w:r w:rsidR="0035359B">
        <w:rPr>
          <w:sz w:val="24"/>
          <w:szCs w:val="24"/>
        </w:rPr>
        <w:t xml:space="preserve"> and w</w:t>
      </w:r>
      <w:r>
        <w:rPr>
          <w:sz w:val="24"/>
          <w:szCs w:val="24"/>
        </w:rPr>
        <w:t>hilst Heraclitus gave importance to fire</w:t>
      </w:r>
      <w:r w:rsidR="00C768A6">
        <w:rPr>
          <w:sz w:val="24"/>
          <w:szCs w:val="24"/>
        </w:rPr>
        <w:t xml:space="preserve"> in his view of the cosmos, it was his ideas about reality and knowledge which makes him prominent in Greek philosophy.</w:t>
      </w:r>
    </w:p>
    <w:p w14:paraId="098115C1" w14:textId="76523E94" w:rsidR="0035359B" w:rsidRDefault="0035359B" w:rsidP="00AE4607">
      <w:pPr>
        <w:spacing w:line="276" w:lineRule="auto"/>
        <w:rPr>
          <w:sz w:val="24"/>
          <w:szCs w:val="24"/>
        </w:rPr>
      </w:pPr>
      <w:r>
        <w:rPr>
          <w:sz w:val="24"/>
          <w:szCs w:val="24"/>
        </w:rPr>
        <w:t xml:space="preserve">Heraclitus grew up in Ephesus in Asia Minor </w:t>
      </w:r>
      <w:r w:rsidR="00AE4607">
        <w:rPr>
          <w:sz w:val="24"/>
          <w:szCs w:val="24"/>
        </w:rPr>
        <w:t xml:space="preserve">which </w:t>
      </w:r>
      <w:r>
        <w:rPr>
          <w:sz w:val="24"/>
          <w:szCs w:val="24"/>
        </w:rPr>
        <w:t>at that time was flourishing under Persian rule. He is reported to have been from an aristocratic family and was thought to show prejudice towards what he calls ‘the mob’.</w:t>
      </w:r>
      <w:r>
        <w:rPr>
          <w:rStyle w:val="FootnoteReference"/>
          <w:sz w:val="24"/>
          <w:szCs w:val="24"/>
        </w:rPr>
        <w:footnoteReference w:id="1"/>
      </w:r>
    </w:p>
    <w:p w14:paraId="68B0F97A" w14:textId="4BD46E5F" w:rsidR="0035359B" w:rsidRDefault="0035359B" w:rsidP="00AE4607">
      <w:pPr>
        <w:spacing w:line="276" w:lineRule="auto"/>
        <w:rPr>
          <w:sz w:val="24"/>
          <w:szCs w:val="24"/>
        </w:rPr>
      </w:pPr>
      <w:r>
        <w:rPr>
          <w:sz w:val="24"/>
          <w:szCs w:val="24"/>
        </w:rPr>
        <w:t>It is thought that Heraclitus may have written a single book, possibly called ‘</w:t>
      </w:r>
      <w:r w:rsidR="00AE4607">
        <w:rPr>
          <w:sz w:val="24"/>
          <w:szCs w:val="24"/>
        </w:rPr>
        <w:t>O</w:t>
      </w:r>
      <w:r>
        <w:rPr>
          <w:sz w:val="24"/>
          <w:szCs w:val="24"/>
        </w:rPr>
        <w:t xml:space="preserve">n Nature’ (Diogenes Laertius 9.5) but this remains heavily debated by scholars. </w:t>
      </w:r>
      <w:r w:rsidR="001D53AD">
        <w:rPr>
          <w:sz w:val="24"/>
          <w:szCs w:val="24"/>
        </w:rPr>
        <w:t xml:space="preserve">What we do have are fragments and Ancient </w:t>
      </w:r>
      <w:r w:rsidR="001D53AD">
        <w:rPr>
          <w:i/>
          <w:iCs/>
          <w:sz w:val="24"/>
          <w:szCs w:val="24"/>
        </w:rPr>
        <w:t>Testimonia.</w:t>
      </w:r>
      <w:r>
        <w:rPr>
          <w:sz w:val="24"/>
          <w:szCs w:val="24"/>
        </w:rPr>
        <w:t xml:space="preserve"> </w:t>
      </w:r>
    </w:p>
    <w:p w14:paraId="2F9B1857" w14:textId="77777777" w:rsidR="00AE4607" w:rsidRDefault="00AE4607" w:rsidP="00AE4607">
      <w:pPr>
        <w:spacing w:line="276" w:lineRule="auto"/>
        <w:rPr>
          <w:sz w:val="24"/>
          <w:szCs w:val="24"/>
        </w:rPr>
      </w:pPr>
    </w:p>
    <w:p w14:paraId="064CC5DD" w14:textId="264A45CB" w:rsidR="00056663" w:rsidRDefault="00056663" w:rsidP="00AE4607">
      <w:pPr>
        <w:spacing w:line="276" w:lineRule="auto"/>
        <w:rPr>
          <w:sz w:val="24"/>
          <w:szCs w:val="24"/>
        </w:rPr>
      </w:pPr>
      <w:r>
        <w:rPr>
          <w:sz w:val="24"/>
          <w:szCs w:val="24"/>
        </w:rPr>
        <w:t>Heraclitus did not simply accept the framework explaining the cosmos that was developed by the Milesians before him</w:t>
      </w:r>
      <w:r w:rsidR="001D53AD">
        <w:rPr>
          <w:sz w:val="24"/>
          <w:szCs w:val="24"/>
        </w:rPr>
        <w:t xml:space="preserve"> (especially Anaximander and Xenophanes)</w:t>
      </w:r>
      <w:r>
        <w:rPr>
          <w:sz w:val="24"/>
          <w:szCs w:val="24"/>
        </w:rPr>
        <w:t>: that the world came to be by some form of cosmic development but sought to question it. According to Graham (2008),</w:t>
      </w:r>
      <w:r>
        <w:rPr>
          <w:rStyle w:val="FootnoteReference"/>
          <w:sz w:val="24"/>
          <w:szCs w:val="24"/>
        </w:rPr>
        <w:footnoteReference w:id="2"/>
      </w:r>
      <w:r>
        <w:rPr>
          <w:sz w:val="24"/>
          <w:szCs w:val="24"/>
        </w:rPr>
        <w:t xml:space="preserve"> Heraclitus will not ‘advance a cosmogony. Nor will he focus on technical explanations and detailed accounts of the world.’</w:t>
      </w:r>
      <w:r w:rsidR="001D23D7">
        <w:rPr>
          <w:sz w:val="24"/>
          <w:szCs w:val="24"/>
        </w:rPr>
        <w:t xml:space="preserve"> It is thought that Heraclitus was perhaps the first philosopher who was concerned with the human condition and how humans perceived and interacted with the world around them.</w:t>
      </w:r>
      <w:r w:rsidR="001D23D7">
        <w:rPr>
          <w:rStyle w:val="FootnoteReference"/>
          <w:sz w:val="24"/>
          <w:szCs w:val="24"/>
        </w:rPr>
        <w:footnoteReference w:id="3"/>
      </w:r>
    </w:p>
    <w:p w14:paraId="59DC8ACD" w14:textId="1623FD39" w:rsidR="001D53AD" w:rsidRDefault="001D53AD" w:rsidP="00AE4607">
      <w:pPr>
        <w:spacing w:line="276" w:lineRule="auto"/>
        <w:rPr>
          <w:sz w:val="24"/>
          <w:szCs w:val="24"/>
        </w:rPr>
      </w:pPr>
      <w:r>
        <w:rPr>
          <w:sz w:val="24"/>
          <w:szCs w:val="24"/>
        </w:rPr>
        <w:lastRenderedPageBreak/>
        <w:t xml:space="preserve">The notion of </w:t>
      </w:r>
      <w:r>
        <w:rPr>
          <w:i/>
          <w:iCs/>
          <w:sz w:val="24"/>
          <w:szCs w:val="24"/>
        </w:rPr>
        <w:t>logos</w:t>
      </w:r>
      <w:r>
        <w:rPr>
          <w:sz w:val="24"/>
          <w:szCs w:val="24"/>
        </w:rPr>
        <w:t xml:space="preserve"> is foundational to Heractlitus’ </w:t>
      </w:r>
      <w:r w:rsidR="00AE4607">
        <w:rPr>
          <w:sz w:val="24"/>
          <w:szCs w:val="24"/>
        </w:rPr>
        <w:t xml:space="preserve">epistemological </w:t>
      </w:r>
      <w:r>
        <w:rPr>
          <w:sz w:val="24"/>
          <w:szCs w:val="24"/>
        </w:rPr>
        <w:t xml:space="preserve">philosophy but it can have many interpretations such as being a ‘rational ordering and unifying of the cosmos’; it can mean an ‘account’, ‘reason’, ‘measure’, or ‘proportion’. </w:t>
      </w:r>
    </w:p>
    <w:p w14:paraId="4B0FEB4A" w14:textId="4E8239C3" w:rsidR="001D53AD" w:rsidRPr="001D53AD" w:rsidRDefault="001D53AD" w:rsidP="00AE4607">
      <w:pPr>
        <w:spacing w:line="276" w:lineRule="auto"/>
        <w:rPr>
          <w:sz w:val="24"/>
          <w:szCs w:val="24"/>
        </w:rPr>
      </w:pPr>
      <w:r>
        <w:rPr>
          <w:sz w:val="24"/>
          <w:szCs w:val="24"/>
        </w:rPr>
        <w:t xml:space="preserve">‘But of this account, which holds forever, people forever prove uncomprehending, both before they have heard it and when once they have heard it. For, although all things happen in accordance with this account, they are like people </w:t>
      </w:r>
      <w:r>
        <w:rPr>
          <w:i/>
          <w:iCs/>
          <w:sz w:val="24"/>
          <w:szCs w:val="24"/>
        </w:rPr>
        <w:t xml:space="preserve">without </w:t>
      </w:r>
      <w:r>
        <w:rPr>
          <w:sz w:val="24"/>
          <w:szCs w:val="24"/>
        </w:rPr>
        <w:t xml:space="preserve">experience when they experience words and deeds such as I set forth, distinguishing each thing according to real constitution, i.e., pointing out how it </w:t>
      </w:r>
      <w:r>
        <w:rPr>
          <w:i/>
          <w:iCs/>
          <w:sz w:val="24"/>
          <w:szCs w:val="24"/>
        </w:rPr>
        <w:t xml:space="preserve">is. </w:t>
      </w:r>
      <w:r w:rsidRPr="009B11D5">
        <w:rPr>
          <w:sz w:val="24"/>
          <w:szCs w:val="24"/>
        </w:rPr>
        <w:t>The rest of mankind, however</w:t>
      </w:r>
      <w:r>
        <w:rPr>
          <w:sz w:val="24"/>
          <w:szCs w:val="24"/>
        </w:rPr>
        <w:t>,</w:t>
      </w:r>
      <w:r w:rsidRPr="009B11D5">
        <w:rPr>
          <w:sz w:val="24"/>
          <w:szCs w:val="24"/>
        </w:rPr>
        <w:t xml:space="preserve"> fail to be aware of what they do after they wake up just as they forget what they will do whilst asleep.’</w:t>
      </w:r>
      <w:r>
        <w:rPr>
          <w:sz w:val="24"/>
          <w:szCs w:val="24"/>
        </w:rPr>
        <w:t xml:space="preserve"> (fragment 1).</w:t>
      </w:r>
      <w:r w:rsidR="00481EAF">
        <w:rPr>
          <w:rStyle w:val="FootnoteReference"/>
          <w:sz w:val="24"/>
          <w:szCs w:val="24"/>
        </w:rPr>
        <w:footnoteReference w:id="4"/>
      </w:r>
    </w:p>
    <w:p w14:paraId="3CC2586A" w14:textId="7DCA4D76" w:rsidR="001D53AD" w:rsidRDefault="00C57D62" w:rsidP="00AE4607">
      <w:pPr>
        <w:spacing w:line="276" w:lineRule="auto"/>
        <w:rPr>
          <w:sz w:val="24"/>
          <w:szCs w:val="24"/>
        </w:rPr>
      </w:pPr>
      <w:r>
        <w:rPr>
          <w:sz w:val="24"/>
          <w:szCs w:val="24"/>
        </w:rPr>
        <w:t xml:space="preserve">‘The </w:t>
      </w:r>
      <w:r>
        <w:rPr>
          <w:i/>
          <w:iCs/>
          <w:sz w:val="24"/>
          <w:szCs w:val="24"/>
        </w:rPr>
        <w:t xml:space="preserve">logos </w:t>
      </w:r>
      <w:r>
        <w:rPr>
          <w:sz w:val="24"/>
          <w:szCs w:val="24"/>
        </w:rPr>
        <w:t>is the primary object of knowledge in Heraclitus’ epistemology.’</w:t>
      </w:r>
      <w:r>
        <w:rPr>
          <w:rStyle w:val="FootnoteReference"/>
          <w:sz w:val="24"/>
          <w:szCs w:val="24"/>
        </w:rPr>
        <w:footnoteReference w:id="5"/>
      </w:r>
      <w:r>
        <w:rPr>
          <w:sz w:val="24"/>
          <w:szCs w:val="24"/>
        </w:rPr>
        <w:t xml:space="preserve"> </w:t>
      </w:r>
      <w:r w:rsidR="001D53AD">
        <w:rPr>
          <w:sz w:val="24"/>
          <w:szCs w:val="24"/>
        </w:rPr>
        <w:t xml:space="preserve">For Heraclitus it is something that nobody understands even when they have heard it. We are unaware of the </w:t>
      </w:r>
      <w:r w:rsidR="001D53AD">
        <w:rPr>
          <w:i/>
          <w:iCs/>
          <w:sz w:val="24"/>
          <w:szCs w:val="24"/>
        </w:rPr>
        <w:t>logos</w:t>
      </w:r>
      <w:r w:rsidR="001D53AD">
        <w:rPr>
          <w:sz w:val="24"/>
          <w:szCs w:val="24"/>
        </w:rPr>
        <w:t xml:space="preserve"> even though evidence for it is all around us. </w:t>
      </w:r>
      <w:r w:rsidR="008D7A02">
        <w:rPr>
          <w:sz w:val="24"/>
          <w:szCs w:val="24"/>
        </w:rPr>
        <w:t xml:space="preserve">Heraclitus has little </w:t>
      </w:r>
      <w:r w:rsidR="000E06C4">
        <w:rPr>
          <w:sz w:val="24"/>
          <w:szCs w:val="24"/>
        </w:rPr>
        <w:t>confidence;</w:t>
      </w:r>
      <w:r w:rsidR="008D7A02">
        <w:rPr>
          <w:sz w:val="24"/>
          <w:szCs w:val="24"/>
        </w:rPr>
        <w:t xml:space="preserve"> it seems in the open-mindedness of ordinary people or their abilities to comprehend what is before them. He suggests that most people appear happy with a blurred account of what is real whereas his account (perhaps his </w:t>
      </w:r>
      <w:r w:rsidR="008D7A02">
        <w:rPr>
          <w:i/>
          <w:iCs/>
          <w:sz w:val="24"/>
          <w:szCs w:val="24"/>
        </w:rPr>
        <w:t>logos</w:t>
      </w:r>
      <w:r w:rsidR="008D7A02">
        <w:rPr>
          <w:sz w:val="24"/>
          <w:szCs w:val="24"/>
        </w:rPr>
        <w:t>) makes careful distinctions, searching out the real and looking for the way things are really constituted rather than the way they appear to be. Fragment 34, highlights this further when he says:</w:t>
      </w:r>
    </w:p>
    <w:p w14:paraId="2B667C85" w14:textId="135C9529" w:rsidR="008D7A02" w:rsidRDefault="008D7A02" w:rsidP="00AE4607">
      <w:pPr>
        <w:spacing w:line="276" w:lineRule="auto"/>
        <w:rPr>
          <w:sz w:val="24"/>
          <w:szCs w:val="24"/>
        </w:rPr>
      </w:pPr>
      <w:r>
        <w:rPr>
          <w:sz w:val="24"/>
          <w:szCs w:val="24"/>
        </w:rPr>
        <w:t>‘uncomprehending, even when they have heard, they are like deaf people. The saying ‘absent while present’ fits them well.’</w:t>
      </w:r>
      <w:r w:rsidR="00481EAF">
        <w:rPr>
          <w:rStyle w:val="FootnoteReference"/>
          <w:sz w:val="24"/>
          <w:szCs w:val="24"/>
        </w:rPr>
        <w:footnoteReference w:id="6"/>
      </w:r>
    </w:p>
    <w:p w14:paraId="03E037C6" w14:textId="1D3C65B6" w:rsidR="00C863EC" w:rsidRDefault="004F1871" w:rsidP="00AE4607">
      <w:pPr>
        <w:spacing w:line="276" w:lineRule="auto"/>
        <w:rPr>
          <w:sz w:val="24"/>
          <w:szCs w:val="24"/>
        </w:rPr>
      </w:pPr>
      <w:r>
        <w:rPr>
          <w:sz w:val="24"/>
          <w:szCs w:val="24"/>
        </w:rPr>
        <w:t xml:space="preserve">The </w:t>
      </w:r>
      <w:r>
        <w:rPr>
          <w:i/>
          <w:iCs/>
          <w:sz w:val="24"/>
          <w:szCs w:val="24"/>
        </w:rPr>
        <w:t xml:space="preserve">logos </w:t>
      </w:r>
      <w:r>
        <w:rPr>
          <w:sz w:val="24"/>
          <w:szCs w:val="24"/>
        </w:rPr>
        <w:t xml:space="preserve">that Heraclitus is trying to get people to listen to is one that he claims will explain everything and he uses the word </w:t>
      </w:r>
      <w:proofErr w:type="spellStart"/>
      <w:r>
        <w:rPr>
          <w:i/>
          <w:iCs/>
          <w:sz w:val="24"/>
          <w:szCs w:val="24"/>
        </w:rPr>
        <w:t>phusis</w:t>
      </w:r>
      <w:proofErr w:type="spellEnd"/>
      <w:r>
        <w:rPr>
          <w:sz w:val="24"/>
          <w:szCs w:val="24"/>
        </w:rPr>
        <w:t xml:space="preserve"> or ‘nature’ to highlight this. A further fragment expands on this, ‘Hearing not me, but the </w:t>
      </w:r>
      <w:r>
        <w:rPr>
          <w:i/>
          <w:iCs/>
          <w:sz w:val="24"/>
          <w:szCs w:val="24"/>
        </w:rPr>
        <w:t>logos</w:t>
      </w:r>
      <w:r>
        <w:rPr>
          <w:sz w:val="24"/>
          <w:szCs w:val="24"/>
        </w:rPr>
        <w:t>, it is wise to agree that all things are one</w:t>
      </w:r>
      <w:r w:rsidR="00C863EC">
        <w:rPr>
          <w:sz w:val="24"/>
          <w:szCs w:val="24"/>
        </w:rPr>
        <w:t>.</w:t>
      </w:r>
      <w:r w:rsidR="002F7C4E">
        <w:rPr>
          <w:sz w:val="24"/>
          <w:szCs w:val="24"/>
        </w:rPr>
        <w:t>’</w:t>
      </w:r>
      <w:r w:rsidR="00C863EC">
        <w:rPr>
          <w:sz w:val="24"/>
          <w:szCs w:val="24"/>
        </w:rPr>
        <w:t xml:space="preserve"> Heraclitus is saying that we shouldn’t listen to him, because it is him who is saying these things but because it is true. The second part of the phrase, ‘…all things are one’ confirms that Heraclitus was a </w:t>
      </w:r>
      <w:r w:rsidR="00AE4607">
        <w:rPr>
          <w:sz w:val="24"/>
          <w:szCs w:val="24"/>
        </w:rPr>
        <w:t xml:space="preserve">material </w:t>
      </w:r>
      <w:r w:rsidR="00C863EC">
        <w:rPr>
          <w:sz w:val="24"/>
          <w:szCs w:val="24"/>
        </w:rPr>
        <w:t>monist, the idea that everything is in some sense a unity</w:t>
      </w:r>
      <w:r w:rsidR="00AE4607">
        <w:rPr>
          <w:sz w:val="24"/>
          <w:szCs w:val="24"/>
        </w:rPr>
        <w:t xml:space="preserve"> and this will become evermore important to how he believes the universe is ordered.</w:t>
      </w:r>
    </w:p>
    <w:p w14:paraId="408A5FA1" w14:textId="77777777" w:rsidR="00AE4607" w:rsidRDefault="00AE4607" w:rsidP="00AE4607">
      <w:pPr>
        <w:spacing w:line="276" w:lineRule="auto"/>
        <w:rPr>
          <w:sz w:val="24"/>
          <w:szCs w:val="24"/>
        </w:rPr>
      </w:pPr>
    </w:p>
    <w:p w14:paraId="367D0043" w14:textId="77777777" w:rsidR="00481EAF" w:rsidRDefault="00AE4607" w:rsidP="00481EAF">
      <w:pPr>
        <w:spacing w:line="276" w:lineRule="auto"/>
        <w:rPr>
          <w:sz w:val="24"/>
          <w:szCs w:val="24"/>
        </w:rPr>
      </w:pPr>
      <w:r>
        <w:rPr>
          <w:sz w:val="24"/>
          <w:szCs w:val="24"/>
        </w:rPr>
        <w:t xml:space="preserve">Heraclitus appears to suggest that his ‘ordered’ world always ‘was, is and will be’ and calls it ‘an everliving fire, being kindled in measures and being put out in measures’ (fragment 30). </w:t>
      </w:r>
      <w:r w:rsidR="00481EAF">
        <w:rPr>
          <w:rStyle w:val="FootnoteReference"/>
          <w:sz w:val="24"/>
          <w:szCs w:val="24"/>
        </w:rPr>
        <w:footnoteReference w:id="7"/>
      </w:r>
      <w:r>
        <w:rPr>
          <w:sz w:val="24"/>
          <w:szCs w:val="24"/>
        </w:rPr>
        <w:t>Different interpretations exist of this fragment which could be taken to mean that the world is composed of fire and not merely that its ordered processes are somehow symbolised or representative of the activities of fire. Heraclitus was part of the hylozoic tradition</w:t>
      </w:r>
      <w:r>
        <w:rPr>
          <w:rStyle w:val="FootnoteReference"/>
          <w:sz w:val="24"/>
          <w:szCs w:val="24"/>
        </w:rPr>
        <w:footnoteReference w:id="8"/>
      </w:r>
      <w:r>
        <w:rPr>
          <w:sz w:val="24"/>
          <w:szCs w:val="24"/>
        </w:rPr>
        <w:t xml:space="preserve"> and </w:t>
      </w:r>
      <w:r w:rsidR="00481EAF">
        <w:rPr>
          <w:sz w:val="24"/>
          <w:szCs w:val="24"/>
        </w:rPr>
        <w:t xml:space="preserve">this relates well to his use of the word ‘everliving’ to represent fire. </w:t>
      </w:r>
    </w:p>
    <w:p w14:paraId="434A63BA" w14:textId="747FE3CD" w:rsidR="00AE4607" w:rsidRDefault="00AE4607" w:rsidP="00AE4607">
      <w:pPr>
        <w:spacing w:line="276" w:lineRule="auto"/>
        <w:rPr>
          <w:sz w:val="24"/>
          <w:szCs w:val="24"/>
        </w:rPr>
      </w:pPr>
    </w:p>
    <w:p w14:paraId="22D0D2D3" w14:textId="69532B07" w:rsidR="00AE4607" w:rsidRDefault="00AE4607" w:rsidP="00AE4607">
      <w:pPr>
        <w:spacing w:line="276" w:lineRule="auto"/>
        <w:rPr>
          <w:sz w:val="24"/>
          <w:szCs w:val="24"/>
        </w:rPr>
      </w:pPr>
      <w:r>
        <w:rPr>
          <w:sz w:val="24"/>
          <w:szCs w:val="24"/>
        </w:rPr>
        <w:t>Graham (2004) gives an account of fragments 31a and 31b that assists in supporting the idea that the fire is ‘everliving’ as a direct consequence of its changeableness. In fragments 31a and 31b, ‘Heraclitus tells us about the changes that fire, and other substances, undergo ‘fire’s turnings: first, sea, and of sea half is earth and half burner’ (fragment 31a) and that’ sea is poured forth from earth, and is measured in the same proportion as existed before it became earth’ (fragment 31b).</w:t>
      </w:r>
      <w:r w:rsidR="00481EAF">
        <w:rPr>
          <w:rStyle w:val="FootnoteReference"/>
          <w:sz w:val="24"/>
          <w:szCs w:val="24"/>
        </w:rPr>
        <w:footnoteReference w:id="9"/>
      </w:r>
    </w:p>
    <w:p w14:paraId="4034BD06" w14:textId="77777777" w:rsidR="00AE4607" w:rsidRDefault="00AE4607" w:rsidP="00AE4607">
      <w:pPr>
        <w:spacing w:line="276" w:lineRule="auto"/>
        <w:rPr>
          <w:sz w:val="24"/>
          <w:szCs w:val="24"/>
        </w:rPr>
      </w:pPr>
      <w:r>
        <w:rPr>
          <w:sz w:val="24"/>
          <w:szCs w:val="24"/>
        </w:rPr>
        <w:t>Heraclitus is saying that fire turns into water and water into earth. Then half of the water turns back into fire and half back into earth. These seemingly complex changes allude to the notion that the world will always contain the same amounts of fire, water and earth – they will not be the same fire, water and earth because they are always changing but the proportions and amounts will always be the same (by kindling and being quenched) thereby creating a unity of stability.</w:t>
      </w:r>
    </w:p>
    <w:p w14:paraId="424456E3" w14:textId="77777777" w:rsidR="00AE4607" w:rsidRDefault="00AE4607" w:rsidP="00AE4607">
      <w:pPr>
        <w:spacing w:line="276" w:lineRule="auto"/>
        <w:rPr>
          <w:sz w:val="24"/>
          <w:szCs w:val="24"/>
        </w:rPr>
      </w:pPr>
      <w:r>
        <w:rPr>
          <w:sz w:val="24"/>
          <w:szCs w:val="24"/>
        </w:rPr>
        <w:t xml:space="preserve">This starts to give us the idea that Heraclitus’s view of the world is one that has permanence and stability due to the ongoing renewal of its many parts. </w:t>
      </w:r>
    </w:p>
    <w:p w14:paraId="48C0690B" w14:textId="77777777" w:rsidR="00AE4607" w:rsidRDefault="00AE4607" w:rsidP="00AE4607">
      <w:pPr>
        <w:spacing w:line="276" w:lineRule="auto"/>
        <w:rPr>
          <w:sz w:val="24"/>
          <w:szCs w:val="24"/>
        </w:rPr>
      </w:pPr>
    </w:p>
    <w:p w14:paraId="669301EA" w14:textId="680493C9" w:rsidR="00FB7539" w:rsidRDefault="00C863EC" w:rsidP="00AE4607">
      <w:pPr>
        <w:spacing w:line="276" w:lineRule="auto"/>
        <w:rPr>
          <w:sz w:val="24"/>
          <w:szCs w:val="24"/>
        </w:rPr>
      </w:pPr>
      <w:r>
        <w:rPr>
          <w:sz w:val="24"/>
          <w:szCs w:val="24"/>
        </w:rPr>
        <w:t>Parmenides</w:t>
      </w:r>
      <w:r w:rsidR="00392869">
        <w:rPr>
          <w:sz w:val="24"/>
          <w:szCs w:val="24"/>
        </w:rPr>
        <w:t xml:space="preserve"> of Elea, active in the early part of the 5</w:t>
      </w:r>
      <w:r w:rsidR="00392869" w:rsidRPr="00392869">
        <w:rPr>
          <w:sz w:val="24"/>
          <w:szCs w:val="24"/>
          <w:vertAlign w:val="superscript"/>
        </w:rPr>
        <w:t>th</w:t>
      </w:r>
      <w:r w:rsidR="00392869">
        <w:rPr>
          <w:sz w:val="24"/>
          <w:szCs w:val="24"/>
        </w:rPr>
        <w:t xml:space="preserve"> Century BCE, </w:t>
      </w:r>
      <w:r>
        <w:rPr>
          <w:sz w:val="24"/>
          <w:szCs w:val="24"/>
        </w:rPr>
        <w:t>believed that unity</w:t>
      </w:r>
      <w:r w:rsidR="00413ABB">
        <w:rPr>
          <w:sz w:val="24"/>
          <w:szCs w:val="24"/>
        </w:rPr>
        <w:t xml:space="preserve"> (a unity of Being</w:t>
      </w:r>
      <w:r w:rsidR="00B63DFC">
        <w:rPr>
          <w:sz w:val="24"/>
          <w:szCs w:val="24"/>
        </w:rPr>
        <w:t xml:space="preserve"> </w:t>
      </w:r>
      <w:r w:rsidR="00392869">
        <w:rPr>
          <w:sz w:val="24"/>
          <w:szCs w:val="24"/>
        </w:rPr>
        <w:t>-of what exists</w:t>
      </w:r>
      <w:r w:rsidR="00413ABB">
        <w:rPr>
          <w:sz w:val="24"/>
          <w:szCs w:val="24"/>
        </w:rPr>
        <w:t>)</w:t>
      </w:r>
      <w:r>
        <w:rPr>
          <w:sz w:val="24"/>
          <w:szCs w:val="24"/>
        </w:rPr>
        <w:t xml:space="preserve"> is all there is and consequently rejected any experience of the world that tells us that there are many things.</w:t>
      </w:r>
      <w:r w:rsidR="00413ABB">
        <w:rPr>
          <w:sz w:val="24"/>
          <w:szCs w:val="24"/>
        </w:rPr>
        <w:t xml:space="preserve"> </w:t>
      </w:r>
      <w:r w:rsidR="00392869">
        <w:rPr>
          <w:sz w:val="24"/>
          <w:szCs w:val="24"/>
        </w:rPr>
        <w:t>For Parmenides, reality itself is one and nothing ever changes or moves. Multiplicity of everything is simply an illusion and Parmenides wr</w:t>
      </w:r>
      <w:r w:rsidR="00781B0C">
        <w:rPr>
          <w:sz w:val="24"/>
          <w:szCs w:val="24"/>
        </w:rPr>
        <w:t>ot</w:t>
      </w:r>
      <w:r w:rsidR="00392869">
        <w:rPr>
          <w:sz w:val="24"/>
          <w:szCs w:val="24"/>
        </w:rPr>
        <w:t>e this in the form of a poem.</w:t>
      </w:r>
      <w:r w:rsidR="00B63DFC">
        <w:rPr>
          <w:sz w:val="24"/>
          <w:szCs w:val="24"/>
        </w:rPr>
        <w:t xml:space="preserve"> For Parmenides it is all about ‘being’, but Heraclitus rejects this view and eradicates ‘being’.</w:t>
      </w:r>
      <w:r w:rsidR="00392869">
        <w:rPr>
          <w:sz w:val="24"/>
          <w:szCs w:val="24"/>
        </w:rPr>
        <w:t xml:space="preserve"> In contrast, Heraclitus doesn’t attempt to set about establishing the nature of all reality by some abstract notion, rather he makes observations about the world using his ears and eyes to observe and learns the laws that appear to govern the world</w:t>
      </w:r>
      <w:r w:rsidR="00781B0C">
        <w:rPr>
          <w:sz w:val="24"/>
          <w:szCs w:val="24"/>
        </w:rPr>
        <w:t>, passing those onto us in the fragments.</w:t>
      </w:r>
      <w:r w:rsidR="00B63DFC">
        <w:rPr>
          <w:sz w:val="24"/>
          <w:szCs w:val="24"/>
        </w:rPr>
        <w:t xml:space="preserve"> </w:t>
      </w:r>
    </w:p>
    <w:p w14:paraId="17F77EA1" w14:textId="5788593E" w:rsidR="00B63DFC" w:rsidRDefault="00B63DFC" w:rsidP="00AE4607">
      <w:pPr>
        <w:spacing w:line="276" w:lineRule="auto"/>
        <w:rPr>
          <w:sz w:val="24"/>
          <w:szCs w:val="24"/>
        </w:rPr>
      </w:pPr>
      <w:r>
        <w:rPr>
          <w:sz w:val="24"/>
          <w:szCs w:val="24"/>
        </w:rPr>
        <w:t xml:space="preserve">The previous Milesian thought that dominated the </w:t>
      </w:r>
      <w:r w:rsidR="00BF0106">
        <w:rPr>
          <w:sz w:val="24"/>
          <w:szCs w:val="24"/>
        </w:rPr>
        <w:t>sixth century</w:t>
      </w:r>
      <w:r>
        <w:rPr>
          <w:sz w:val="24"/>
          <w:szCs w:val="24"/>
        </w:rPr>
        <w:t xml:space="preserve"> sought order and sought to explain how change in the world could be derived from a single source and it led to ontological dualism</w:t>
      </w:r>
      <w:r w:rsidR="00BF0106">
        <w:rPr>
          <w:sz w:val="24"/>
          <w:szCs w:val="24"/>
        </w:rPr>
        <w:t>.</w:t>
      </w:r>
      <w:r w:rsidR="00BF0106">
        <w:rPr>
          <w:rStyle w:val="FootnoteReference"/>
          <w:sz w:val="24"/>
          <w:szCs w:val="24"/>
        </w:rPr>
        <w:footnoteReference w:id="10"/>
      </w:r>
      <w:r w:rsidR="00BF0106">
        <w:rPr>
          <w:sz w:val="24"/>
          <w:szCs w:val="24"/>
        </w:rPr>
        <w:t>The Milesians tried to reconnect the differences between Being (stable and enduring) and Becoming (beings in flux). For Thales (water) and Anaximenes (air) how do both water and air transform into other elements?</w:t>
      </w:r>
      <w:r w:rsidR="00BF0106" w:rsidRPr="00BF0106">
        <w:rPr>
          <w:sz w:val="24"/>
          <w:szCs w:val="24"/>
        </w:rPr>
        <w:t xml:space="preserve"> </w:t>
      </w:r>
      <w:r w:rsidR="00BF0106">
        <w:rPr>
          <w:sz w:val="24"/>
          <w:szCs w:val="24"/>
        </w:rPr>
        <w:t>For Heraclitus, ‘becoming’ is the key</w:t>
      </w:r>
      <w:r w:rsidR="00BF0106">
        <w:rPr>
          <w:sz w:val="24"/>
          <w:szCs w:val="24"/>
        </w:rPr>
        <w:t xml:space="preserve"> and this relieves the issue wrestled with by the Milesians. If there is no Being then there is no difficulty with the relationship between things of Becoming and the arche (Roochnik, 2004).</w:t>
      </w:r>
    </w:p>
    <w:p w14:paraId="5D046CD0" w14:textId="77777777" w:rsidR="00BF0106" w:rsidRDefault="00BF0106" w:rsidP="00AE4607">
      <w:pPr>
        <w:spacing w:line="276" w:lineRule="auto"/>
        <w:rPr>
          <w:sz w:val="24"/>
          <w:szCs w:val="24"/>
        </w:rPr>
      </w:pPr>
    </w:p>
    <w:p w14:paraId="284D9886" w14:textId="70FD5E54" w:rsidR="00AE4607" w:rsidRDefault="00C863EC" w:rsidP="00AE4607">
      <w:pPr>
        <w:spacing w:line="276" w:lineRule="auto"/>
        <w:rPr>
          <w:sz w:val="24"/>
          <w:szCs w:val="24"/>
        </w:rPr>
      </w:pPr>
      <w:r>
        <w:rPr>
          <w:sz w:val="24"/>
          <w:szCs w:val="24"/>
        </w:rPr>
        <w:t>Heraclitus</w:t>
      </w:r>
      <w:r w:rsidR="00FB7539">
        <w:rPr>
          <w:sz w:val="24"/>
          <w:szCs w:val="24"/>
        </w:rPr>
        <w:t xml:space="preserve"> </w:t>
      </w:r>
      <w:r>
        <w:rPr>
          <w:sz w:val="24"/>
          <w:szCs w:val="24"/>
        </w:rPr>
        <w:t xml:space="preserve">doesn’t appear to be saying that reality is one and not multiple, what he is saying is that there is unity in multiplicity. </w:t>
      </w:r>
      <w:r w:rsidR="00413ABB">
        <w:rPr>
          <w:sz w:val="24"/>
          <w:szCs w:val="24"/>
        </w:rPr>
        <w:t xml:space="preserve"> A more dynamic principle consisting of contrasting or conflicting interactions between opposites. </w:t>
      </w:r>
      <w:r>
        <w:rPr>
          <w:sz w:val="24"/>
          <w:szCs w:val="24"/>
        </w:rPr>
        <w:t>According to Adamson (2014), ‘Heraclitus stresses the unity here</w:t>
      </w:r>
      <w:r w:rsidR="00145B80">
        <w:rPr>
          <w:sz w:val="24"/>
          <w:szCs w:val="24"/>
        </w:rPr>
        <w:t xml:space="preserve"> because he thinks this is the aspect of reality that tends to escape us. We go through life not hearing the </w:t>
      </w:r>
      <w:r w:rsidR="00145B80">
        <w:rPr>
          <w:i/>
          <w:iCs/>
          <w:sz w:val="24"/>
          <w:szCs w:val="24"/>
        </w:rPr>
        <w:t>logos</w:t>
      </w:r>
      <w:r w:rsidR="00145B80">
        <w:rPr>
          <w:sz w:val="24"/>
          <w:szCs w:val="24"/>
        </w:rPr>
        <w:t xml:space="preserve"> because our limited vision only takes in one little </w:t>
      </w:r>
      <w:r w:rsidR="00145B80">
        <w:rPr>
          <w:sz w:val="24"/>
          <w:szCs w:val="24"/>
        </w:rPr>
        <w:lastRenderedPageBreak/>
        <w:t>bit of the world at a time. Heraclitus’ philosophy is designed to teach us to see all of nature – everything there is- as one unified whole, but a whole which includes many different things.’</w:t>
      </w:r>
      <w:r w:rsidR="00B34F95">
        <w:rPr>
          <w:rStyle w:val="FootnoteReference"/>
          <w:sz w:val="24"/>
          <w:szCs w:val="24"/>
        </w:rPr>
        <w:footnoteReference w:id="11"/>
      </w:r>
      <w:r w:rsidR="00AE4607" w:rsidRPr="00AE4607">
        <w:rPr>
          <w:sz w:val="24"/>
          <w:szCs w:val="24"/>
        </w:rPr>
        <w:t xml:space="preserve"> </w:t>
      </w:r>
    </w:p>
    <w:p w14:paraId="4318A21E" w14:textId="77777777" w:rsidR="00FB7539" w:rsidRDefault="00FB7539" w:rsidP="00AE4607">
      <w:pPr>
        <w:spacing w:line="276" w:lineRule="auto"/>
        <w:rPr>
          <w:sz w:val="24"/>
          <w:szCs w:val="24"/>
        </w:rPr>
      </w:pPr>
    </w:p>
    <w:p w14:paraId="76D909A8" w14:textId="77777777" w:rsidR="00FB7539" w:rsidRDefault="00FB7539" w:rsidP="00FB7539">
      <w:pPr>
        <w:spacing w:line="276" w:lineRule="auto"/>
        <w:rPr>
          <w:sz w:val="24"/>
          <w:szCs w:val="24"/>
        </w:rPr>
      </w:pPr>
      <w:r>
        <w:rPr>
          <w:sz w:val="24"/>
          <w:szCs w:val="24"/>
        </w:rPr>
        <w:t xml:space="preserve">The </w:t>
      </w:r>
      <w:r>
        <w:rPr>
          <w:i/>
          <w:iCs/>
          <w:sz w:val="24"/>
          <w:szCs w:val="24"/>
        </w:rPr>
        <w:t>Theaetetus</w:t>
      </w:r>
      <w:r>
        <w:rPr>
          <w:sz w:val="24"/>
          <w:szCs w:val="24"/>
        </w:rPr>
        <w:t>, one of Plato’s dialogues on the concept of knowledge considers, amongst other philosophical issues, the Heraclitean Flux. The main character, as in most of Plato’s dialogues is Socrates who is in conversation with a young boy, Theaetetus and his mathematician, Theodorus. The dialogue seeks to answer the question, ‘What is knowledge (</w:t>
      </w:r>
      <w:r>
        <w:rPr>
          <w:i/>
          <w:iCs/>
          <w:sz w:val="24"/>
          <w:szCs w:val="24"/>
        </w:rPr>
        <w:t>episteme</w:t>
      </w:r>
      <w:r>
        <w:rPr>
          <w:sz w:val="24"/>
          <w:szCs w:val="24"/>
        </w:rPr>
        <w:t>)?’ and is divided into four sections: knowledge is the various arts and sciences; knowledge is perception; knowledge is true judgement; and knowledge is true judgement with an ‘account’ (</w:t>
      </w:r>
      <w:r>
        <w:rPr>
          <w:i/>
          <w:iCs/>
          <w:sz w:val="24"/>
          <w:szCs w:val="24"/>
        </w:rPr>
        <w:t>logos</w:t>
      </w:r>
      <w:r>
        <w:rPr>
          <w:sz w:val="24"/>
          <w:szCs w:val="24"/>
        </w:rPr>
        <w:t>).</w:t>
      </w:r>
      <w:r>
        <w:rPr>
          <w:rStyle w:val="FootnoteReference"/>
          <w:sz w:val="24"/>
          <w:szCs w:val="24"/>
        </w:rPr>
        <w:footnoteReference w:id="12"/>
      </w:r>
    </w:p>
    <w:p w14:paraId="62A27E09" w14:textId="3A815B05" w:rsidR="00C863EC" w:rsidRDefault="00FB7539" w:rsidP="00322912">
      <w:pPr>
        <w:spacing w:line="276" w:lineRule="auto"/>
        <w:rPr>
          <w:sz w:val="24"/>
          <w:szCs w:val="24"/>
        </w:rPr>
      </w:pPr>
      <w:r>
        <w:rPr>
          <w:sz w:val="24"/>
          <w:szCs w:val="24"/>
        </w:rPr>
        <w:t xml:space="preserve">The </w:t>
      </w:r>
      <w:r>
        <w:rPr>
          <w:i/>
          <w:iCs/>
          <w:sz w:val="24"/>
          <w:szCs w:val="24"/>
        </w:rPr>
        <w:t xml:space="preserve">Theaetetus </w:t>
      </w:r>
      <w:r>
        <w:rPr>
          <w:sz w:val="24"/>
          <w:szCs w:val="24"/>
        </w:rPr>
        <w:t xml:space="preserve">sets up an opposition between Parmenides’s unity theory and the flux theory of Heraclitus. Cratylus is known to have been a follower of Heraclitus and is well-known for having held the belief that it is impossible to name anything, because it is always changing, flowing away before your very eyes. It is believed that both Cratylus and perhaps as a result, Plato misinterpreted Heraclitus. Heraclitus wanted people to have insight into how the world changes, but Plato rejected this. Plato wanted things that you can know to be stable and for them not to display intrinsic opposition to each other. So, for Plato this rules out many of the things you may come across in everyday life as objects of knowledge. Plato’s answer to the flux and constant change evident in Heraclitus’ theory is resolved for him by the introduction of two worlds: the ‘real’ world of the Forms that are perfect and unchanging and the world around us which is an imperfect copy of the world of </w:t>
      </w:r>
      <w:r w:rsidR="00781B0C">
        <w:rPr>
          <w:sz w:val="24"/>
          <w:szCs w:val="24"/>
        </w:rPr>
        <w:t>F</w:t>
      </w:r>
      <w:r>
        <w:rPr>
          <w:sz w:val="24"/>
          <w:szCs w:val="24"/>
        </w:rPr>
        <w:t xml:space="preserve">orms. </w:t>
      </w:r>
      <w:r w:rsidR="00322912">
        <w:rPr>
          <w:sz w:val="24"/>
          <w:szCs w:val="24"/>
        </w:rPr>
        <w:t>The imperfect world is illusory and therefore things have the appearance of change.</w:t>
      </w:r>
    </w:p>
    <w:p w14:paraId="24E8B159" w14:textId="77777777" w:rsidR="00322912" w:rsidRPr="00145B80" w:rsidRDefault="00322912" w:rsidP="00322912">
      <w:pPr>
        <w:spacing w:line="276" w:lineRule="auto"/>
        <w:rPr>
          <w:sz w:val="24"/>
          <w:szCs w:val="24"/>
        </w:rPr>
      </w:pPr>
    </w:p>
    <w:p w14:paraId="419465AA" w14:textId="5DD4A66F" w:rsidR="00AB6137" w:rsidRDefault="00413ABB" w:rsidP="00322912">
      <w:pPr>
        <w:spacing w:line="276" w:lineRule="auto"/>
        <w:rPr>
          <w:sz w:val="24"/>
          <w:szCs w:val="24"/>
        </w:rPr>
      </w:pPr>
      <w:r>
        <w:rPr>
          <w:sz w:val="24"/>
          <w:szCs w:val="24"/>
        </w:rPr>
        <w:t xml:space="preserve">This position was further taken up by </w:t>
      </w:r>
      <w:r w:rsidR="00C93159">
        <w:rPr>
          <w:sz w:val="24"/>
          <w:szCs w:val="24"/>
        </w:rPr>
        <w:t>the 19</w:t>
      </w:r>
      <w:r w:rsidR="00C93159" w:rsidRPr="00C93159">
        <w:rPr>
          <w:sz w:val="24"/>
          <w:szCs w:val="24"/>
          <w:vertAlign w:val="superscript"/>
        </w:rPr>
        <w:t>th</w:t>
      </w:r>
      <w:r w:rsidR="00C93159">
        <w:rPr>
          <w:sz w:val="24"/>
          <w:szCs w:val="24"/>
        </w:rPr>
        <w:t xml:space="preserve"> century German philosopher, G.W.F. </w:t>
      </w:r>
      <w:r>
        <w:rPr>
          <w:sz w:val="24"/>
          <w:szCs w:val="24"/>
        </w:rPr>
        <w:t>Hegel whose ‘dialectically dynamic model of nature and history made it a fundamental aspect of the nature of reality</w:t>
      </w:r>
      <w:r w:rsidR="00C93159">
        <w:rPr>
          <w:sz w:val="24"/>
          <w:szCs w:val="24"/>
        </w:rPr>
        <w:t>’</w:t>
      </w:r>
      <w:r w:rsidR="00C93159">
        <w:rPr>
          <w:rStyle w:val="FootnoteReference"/>
          <w:sz w:val="24"/>
          <w:szCs w:val="24"/>
        </w:rPr>
        <w:footnoteReference w:id="13"/>
      </w:r>
      <w:r w:rsidR="00C93159">
        <w:rPr>
          <w:sz w:val="24"/>
          <w:szCs w:val="24"/>
        </w:rPr>
        <w:t xml:space="preserve"> and relies on a contradictory process between opposing sides. Hegel reintroduced the idea that dialectical movement was the essence of things. He believed that Heraclitus’s conception of opposing forces coming together was the first time someone understood </w:t>
      </w:r>
      <w:r w:rsidR="00322912">
        <w:rPr>
          <w:sz w:val="24"/>
          <w:szCs w:val="24"/>
        </w:rPr>
        <w:t xml:space="preserve">(what was to become) </w:t>
      </w:r>
      <w:r w:rsidR="00C93159">
        <w:rPr>
          <w:sz w:val="24"/>
          <w:szCs w:val="24"/>
        </w:rPr>
        <w:t>the Hegelian Dialectic</w:t>
      </w:r>
      <w:r w:rsidR="00322912">
        <w:rPr>
          <w:rStyle w:val="FootnoteReference"/>
          <w:sz w:val="24"/>
          <w:szCs w:val="24"/>
        </w:rPr>
        <w:footnoteReference w:id="14"/>
      </w:r>
      <w:r w:rsidR="00C93159">
        <w:rPr>
          <w:sz w:val="24"/>
          <w:szCs w:val="24"/>
        </w:rPr>
        <w:t xml:space="preserve"> – a thesis, giving rise to a reaction; an antithesis, which contradicts or negates the thesis; and the tension between the two by means of a synthesis.</w:t>
      </w:r>
      <w:r w:rsidR="00322912">
        <w:rPr>
          <w:sz w:val="24"/>
          <w:szCs w:val="24"/>
        </w:rPr>
        <w:t xml:space="preserve"> Hegel’s view is that contradictions are inherent in and internal to things and this ultimately derives from Heraclitus and his belief in the Unity of Opposites.</w:t>
      </w:r>
    </w:p>
    <w:p w14:paraId="728E4B7D" w14:textId="77777777" w:rsidR="00322912" w:rsidRPr="00AB6137" w:rsidRDefault="00322912" w:rsidP="00322912">
      <w:pPr>
        <w:spacing w:line="276" w:lineRule="auto"/>
        <w:rPr>
          <w:sz w:val="24"/>
          <w:szCs w:val="24"/>
        </w:rPr>
      </w:pPr>
    </w:p>
    <w:p w14:paraId="34624C8D" w14:textId="51F45EE6" w:rsidR="004B20E9" w:rsidRDefault="004B20E9" w:rsidP="00322912">
      <w:pPr>
        <w:spacing w:line="276" w:lineRule="auto"/>
        <w:rPr>
          <w:sz w:val="24"/>
          <w:szCs w:val="24"/>
        </w:rPr>
      </w:pPr>
      <w:r>
        <w:rPr>
          <w:sz w:val="24"/>
          <w:szCs w:val="24"/>
        </w:rPr>
        <w:t>One of the most well-known fragments attributed to Heraclitus is his river fragment:</w:t>
      </w:r>
    </w:p>
    <w:p w14:paraId="26E98050" w14:textId="0F8DACC8" w:rsidR="004B20E9" w:rsidRDefault="004B20E9" w:rsidP="00322912">
      <w:pPr>
        <w:spacing w:line="276" w:lineRule="auto"/>
        <w:rPr>
          <w:sz w:val="24"/>
          <w:szCs w:val="24"/>
        </w:rPr>
      </w:pPr>
      <w:r>
        <w:rPr>
          <w:sz w:val="24"/>
          <w:szCs w:val="24"/>
        </w:rPr>
        <w:lastRenderedPageBreak/>
        <w:t>‘As they step into the same rivers, different and still different waters flow upon them’ (fragment 12).</w:t>
      </w:r>
      <w:r w:rsidR="00781B0C">
        <w:rPr>
          <w:rStyle w:val="FootnoteReference"/>
          <w:sz w:val="24"/>
          <w:szCs w:val="24"/>
        </w:rPr>
        <w:footnoteReference w:id="15"/>
      </w:r>
      <w:r>
        <w:rPr>
          <w:sz w:val="24"/>
          <w:szCs w:val="24"/>
        </w:rPr>
        <w:t xml:space="preserve"> This has often been interpreted more commonly as ‘you cannot step into the same river twice.’</w:t>
      </w:r>
    </w:p>
    <w:p w14:paraId="221D4E7D" w14:textId="46C41361" w:rsidR="004B20E9" w:rsidRDefault="004B20E9" w:rsidP="00322912">
      <w:pPr>
        <w:spacing w:line="276" w:lineRule="auto"/>
        <w:rPr>
          <w:sz w:val="24"/>
          <w:szCs w:val="24"/>
        </w:rPr>
      </w:pPr>
      <w:r>
        <w:rPr>
          <w:sz w:val="24"/>
          <w:szCs w:val="24"/>
        </w:rPr>
        <w:t xml:space="preserve">What is important here is the contrast and connection between ‘same rivers’ and ‘different </w:t>
      </w:r>
      <w:r w:rsidR="00D8580F">
        <w:rPr>
          <w:sz w:val="24"/>
          <w:szCs w:val="24"/>
        </w:rPr>
        <w:t>waters</w:t>
      </w:r>
      <w:r>
        <w:rPr>
          <w:sz w:val="24"/>
          <w:szCs w:val="24"/>
        </w:rPr>
        <w:t>.</w:t>
      </w:r>
      <w:r w:rsidR="00D8580F">
        <w:rPr>
          <w:sz w:val="24"/>
          <w:szCs w:val="24"/>
        </w:rPr>
        <w:t>’</w:t>
      </w:r>
      <w:r w:rsidR="00D8580F" w:rsidRPr="00D8580F">
        <w:rPr>
          <w:sz w:val="24"/>
          <w:szCs w:val="24"/>
        </w:rPr>
        <w:t xml:space="preserve"> </w:t>
      </w:r>
      <w:r w:rsidR="00D8580F">
        <w:rPr>
          <w:sz w:val="24"/>
          <w:szCs w:val="24"/>
        </w:rPr>
        <w:t>Heraclitus saw reality as composed of contraries and it seems as though he is purposefully drawing our attention to the fact that rivers and waters are not identical and can therefore contain different properties and that this is not a contradiction but part of his belief in the Unity of Opposites.</w:t>
      </w:r>
    </w:p>
    <w:p w14:paraId="6B2841C2" w14:textId="0BC12814" w:rsidR="006B0CFC" w:rsidRDefault="006B0CFC" w:rsidP="00322912">
      <w:pPr>
        <w:spacing w:line="276" w:lineRule="auto"/>
        <w:rPr>
          <w:sz w:val="24"/>
          <w:szCs w:val="24"/>
        </w:rPr>
      </w:pPr>
      <w:r>
        <w:rPr>
          <w:sz w:val="24"/>
          <w:szCs w:val="24"/>
        </w:rPr>
        <w:t>I live in a city that has a river, the River Severn running through it. The River Severn is the longest river in the UK at 220 miles long, flows through Shropshire, Worcestershire and Gloucestershire; starts in Wales and discharges into the Bristol Channel.</w:t>
      </w:r>
      <w:r w:rsidR="00A53F4D">
        <w:rPr>
          <w:sz w:val="24"/>
          <w:szCs w:val="24"/>
        </w:rPr>
        <w:t xml:space="preserve"> </w:t>
      </w:r>
      <w:r w:rsidR="00844339">
        <w:rPr>
          <w:sz w:val="24"/>
          <w:szCs w:val="24"/>
        </w:rPr>
        <w:t xml:space="preserve">In essence the River Severn is a series of waters flowing down from the mountains to the sea and the very properties of every river in the world are to be made up of moving waters that are continuously renewed. A river would cease to have the properties of all rivers if no water flowed into it and it became a dry riverbed. We can see clearly then that what constitutes the stability of the river (and contributes to the properties of what we think of as a river) are due to the constantly changing waters that flow through it. This is further illustrated by the philosopher David Hume in his work the </w:t>
      </w:r>
      <w:r w:rsidR="00844339">
        <w:rPr>
          <w:i/>
          <w:iCs/>
          <w:sz w:val="24"/>
          <w:szCs w:val="24"/>
        </w:rPr>
        <w:t>Treatise</w:t>
      </w:r>
      <w:r w:rsidR="00781B0C">
        <w:rPr>
          <w:i/>
          <w:iCs/>
          <w:sz w:val="24"/>
          <w:szCs w:val="24"/>
        </w:rPr>
        <w:t xml:space="preserve"> </w:t>
      </w:r>
      <w:r w:rsidR="002874EA">
        <w:rPr>
          <w:i/>
          <w:iCs/>
          <w:sz w:val="24"/>
          <w:szCs w:val="24"/>
        </w:rPr>
        <w:t>of</w:t>
      </w:r>
      <w:r w:rsidR="00781B0C">
        <w:rPr>
          <w:i/>
          <w:iCs/>
          <w:sz w:val="24"/>
          <w:szCs w:val="24"/>
        </w:rPr>
        <w:t xml:space="preserve"> Human Nature</w:t>
      </w:r>
      <w:r w:rsidR="00844339">
        <w:rPr>
          <w:sz w:val="24"/>
          <w:szCs w:val="24"/>
        </w:rPr>
        <w:t>:</w:t>
      </w:r>
    </w:p>
    <w:p w14:paraId="308E0194" w14:textId="0B4E25B4" w:rsidR="00844339" w:rsidRDefault="00844339" w:rsidP="00322912">
      <w:pPr>
        <w:spacing w:line="276" w:lineRule="auto"/>
        <w:rPr>
          <w:sz w:val="24"/>
          <w:szCs w:val="24"/>
        </w:rPr>
      </w:pPr>
      <w:r>
        <w:rPr>
          <w:sz w:val="24"/>
          <w:szCs w:val="24"/>
        </w:rPr>
        <w:t>‘</w:t>
      </w:r>
      <w:r w:rsidR="000B39B6">
        <w:rPr>
          <w:sz w:val="24"/>
          <w:szCs w:val="24"/>
        </w:rPr>
        <w:t>Thus, as a nature of a river consists in the motion and change of parts; tho’ in less than four and twenty hours these be totally alter’d; this hinders not the river from continuing the same during several ages.’</w:t>
      </w:r>
      <w:r w:rsidR="00781B0C">
        <w:rPr>
          <w:rStyle w:val="FootnoteReference"/>
          <w:sz w:val="24"/>
          <w:szCs w:val="24"/>
        </w:rPr>
        <w:footnoteReference w:id="16"/>
      </w:r>
    </w:p>
    <w:p w14:paraId="14CA4D51" w14:textId="7DDADBEF" w:rsidR="00345B42" w:rsidRDefault="00345B42" w:rsidP="00322912">
      <w:pPr>
        <w:spacing w:line="276" w:lineRule="auto"/>
        <w:rPr>
          <w:sz w:val="24"/>
          <w:szCs w:val="24"/>
        </w:rPr>
      </w:pPr>
      <w:r>
        <w:rPr>
          <w:sz w:val="24"/>
          <w:szCs w:val="24"/>
        </w:rPr>
        <w:t>It seems, therefore, that Heraclitus is not saying that because the water that flows in the river is always changing</w:t>
      </w:r>
      <w:r w:rsidR="00C576BE">
        <w:rPr>
          <w:sz w:val="24"/>
          <w:szCs w:val="24"/>
        </w:rPr>
        <w:t>, that the river changes and by extension everything is changing. What he is saying is that because the waters are always changing, the river remains constant. It is difficult though to comprehend how stability can be built on a foundation of change</w:t>
      </w:r>
      <w:r w:rsidR="00C04D93">
        <w:rPr>
          <w:sz w:val="24"/>
          <w:szCs w:val="24"/>
        </w:rPr>
        <w:t xml:space="preserve"> and it raises interesting questions about identity.</w:t>
      </w:r>
    </w:p>
    <w:p w14:paraId="50346A84" w14:textId="0C2B4E73" w:rsidR="00C04D93" w:rsidRDefault="00C04D93" w:rsidP="00322912">
      <w:pPr>
        <w:spacing w:line="276" w:lineRule="auto"/>
        <w:rPr>
          <w:sz w:val="24"/>
          <w:szCs w:val="24"/>
        </w:rPr>
      </w:pPr>
      <w:r>
        <w:rPr>
          <w:sz w:val="24"/>
          <w:szCs w:val="24"/>
        </w:rPr>
        <w:t>Identities are created through flux – a river would not be a river if it didn’t flow. But at what point does x stop being x – at what point does flux change or destroy identity…</w:t>
      </w:r>
    </w:p>
    <w:p w14:paraId="746D5AAE" w14:textId="77777777" w:rsidR="002874EA" w:rsidRDefault="002874EA" w:rsidP="00322912">
      <w:pPr>
        <w:spacing w:line="276" w:lineRule="auto"/>
        <w:rPr>
          <w:sz w:val="24"/>
          <w:szCs w:val="24"/>
        </w:rPr>
      </w:pPr>
    </w:p>
    <w:p w14:paraId="3864E23E" w14:textId="20ADC8B8" w:rsidR="00C04D93" w:rsidRDefault="00C04D93" w:rsidP="00322912">
      <w:pPr>
        <w:spacing w:line="276" w:lineRule="auto"/>
        <w:rPr>
          <w:sz w:val="24"/>
          <w:szCs w:val="24"/>
        </w:rPr>
      </w:pPr>
      <w:r>
        <w:rPr>
          <w:sz w:val="24"/>
          <w:szCs w:val="24"/>
        </w:rPr>
        <w:t>Flux has to be seen in the light of the Unity of Opposites. People go from being asleep to being awake and we can suggest therefore that as a general principle that things survive by being in tension.</w:t>
      </w:r>
    </w:p>
    <w:p w14:paraId="4DF958C2" w14:textId="223CBB4D" w:rsidR="00376C59" w:rsidRDefault="00376C59" w:rsidP="00322912">
      <w:pPr>
        <w:spacing w:line="276" w:lineRule="auto"/>
        <w:rPr>
          <w:sz w:val="24"/>
          <w:szCs w:val="24"/>
        </w:rPr>
      </w:pPr>
      <w:r>
        <w:rPr>
          <w:sz w:val="24"/>
          <w:szCs w:val="24"/>
        </w:rPr>
        <w:t xml:space="preserve">‘As the same thing in us is living and dead and the waking and the sleeping and the young and old. For the latter having changed around, are the former, and the former, having changed around are back again to being the latter’ (fragment 88). </w:t>
      </w:r>
      <w:r w:rsidR="002874EA">
        <w:rPr>
          <w:rStyle w:val="FootnoteReference"/>
          <w:sz w:val="24"/>
          <w:szCs w:val="24"/>
        </w:rPr>
        <w:footnoteReference w:id="17"/>
      </w:r>
    </w:p>
    <w:p w14:paraId="109AF640" w14:textId="6C2D2D4B" w:rsidR="00376C59" w:rsidRDefault="00376C59" w:rsidP="00322912">
      <w:pPr>
        <w:spacing w:line="276" w:lineRule="auto"/>
        <w:rPr>
          <w:sz w:val="24"/>
          <w:szCs w:val="24"/>
        </w:rPr>
      </w:pPr>
      <w:r>
        <w:rPr>
          <w:sz w:val="24"/>
          <w:szCs w:val="24"/>
        </w:rPr>
        <w:t>So, contrary qualities are found in us but ‘as the same thing’ but not at the same time or in the same way. There is a system of connectedness whereby we possess incompatible properties not at the same time, but at different times.</w:t>
      </w:r>
    </w:p>
    <w:p w14:paraId="6A81ED84" w14:textId="77777777" w:rsidR="00C04D93" w:rsidRDefault="00C04D93" w:rsidP="005977EB">
      <w:pPr>
        <w:spacing w:line="360" w:lineRule="auto"/>
        <w:rPr>
          <w:sz w:val="24"/>
          <w:szCs w:val="24"/>
        </w:rPr>
      </w:pPr>
    </w:p>
    <w:p w14:paraId="4C396A62" w14:textId="40E6AD5E" w:rsidR="007920AF" w:rsidRDefault="007920AF" w:rsidP="00E824AC">
      <w:pPr>
        <w:spacing w:line="276" w:lineRule="auto"/>
        <w:rPr>
          <w:sz w:val="24"/>
          <w:szCs w:val="24"/>
        </w:rPr>
      </w:pPr>
      <w:r>
        <w:rPr>
          <w:sz w:val="24"/>
          <w:szCs w:val="24"/>
        </w:rPr>
        <w:t xml:space="preserve">We </w:t>
      </w:r>
      <w:r w:rsidR="00E824AC">
        <w:rPr>
          <w:sz w:val="24"/>
          <w:szCs w:val="24"/>
        </w:rPr>
        <w:t xml:space="preserve">all </w:t>
      </w:r>
      <w:r>
        <w:rPr>
          <w:sz w:val="24"/>
          <w:szCs w:val="24"/>
        </w:rPr>
        <w:t>adopt various attitudes towards the world. For example, we might form the opinion that there is</w:t>
      </w:r>
      <w:r w:rsidR="00E824AC">
        <w:rPr>
          <w:sz w:val="24"/>
          <w:szCs w:val="24"/>
        </w:rPr>
        <w:t xml:space="preserve"> chocolate or crisps in the cupboard</w:t>
      </w:r>
      <w:r w:rsidR="00544486">
        <w:rPr>
          <w:sz w:val="24"/>
          <w:szCs w:val="24"/>
        </w:rPr>
        <w:t>,</w:t>
      </w:r>
      <w:r>
        <w:rPr>
          <w:sz w:val="24"/>
          <w:szCs w:val="24"/>
        </w:rPr>
        <w:t xml:space="preserve"> or we might form a desire to have a </w:t>
      </w:r>
      <w:r w:rsidR="00E824AC">
        <w:rPr>
          <w:sz w:val="24"/>
          <w:szCs w:val="24"/>
        </w:rPr>
        <w:t>cheese</w:t>
      </w:r>
      <w:r w:rsidR="001C0936">
        <w:rPr>
          <w:sz w:val="24"/>
          <w:szCs w:val="24"/>
        </w:rPr>
        <w:t xml:space="preserve"> sandwich</w:t>
      </w:r>
      <w:r>
        <w:rPr>
          <w:sz w:val="24"/>
          <w:szCs w:val="24"/>
        </w:rPr>
        <w:t>. We commit ourselves both to how the world is and also to how we would like it to be. In holding the opinion that there is</w:t>
      </w:r>
      <w:r w:rsidR="001C0936">
        <w:rPr>
          <w:sz w:val="24"/>
          <w:szCs w:val="24"/>
        </w:rPr>
        <w:t xml:space="preserve"> </w:t>
      </w:r>
      <w:r w:rsidR="00E824AC">
        <w:rPr>
          <w:sz w:val="24"/>
          <w:szCs w:val="24"/>
        </w:rPr>
        <w:t>cheese</w:t>
      </w:r>
      <w:r w:rsidR="001C0936">
        <w:rPr>
          <w:sz w:val="24"/>
          <w:szCs w:val="24"/>
        </w:rPr>
        <w:t xml:space="preserve"> </w:t>
      </w:r>
      <w:r>
        <w:rPr>
          <w:sz w:val="24"/>
          <w:szCs w:val="24"/>
        </w:rPr>
        <w:t xml:space="preserve">in the fridge, we </w:t>
      </w:r>
      <w:r w:rsidR="00544486">
        <w:rPr>
          <w:sz w:val="24"/>
          <w:szCs w:val="24"/>
        </w:rPr>
        <w:t>commit</w:t>
      </w:r>
      <w:r>
        <w:rPr>
          <w:sz w:val="24"/>
          <w:szCs w:val="24"/>
        </w:rPr>
        <w:t xml:space="preserve"> ourselves to believing that the world is a particular way: that there is</w:t>
      </w:r>
      <w:r w:rsidR="00E824AC">
        <w:rPr>
          <w:sz w:val="24"/>
          <w:szCs w:val="24"/>
        </w:rPr>
        <w:t xml:space="preserve"> cheese</w:t>
      </w:r>
      <w:r>
        <w:rPr>
          <w:sz w:val="24"/>
          <w:szCs w:val="24"/>
        </w:rPr>
        <w:t xml:space="preserve"> in the fridge. To desire to have a </w:t>
      </w:r>
      <w:r w:rsidR="00E824AC">
        <w:rPr>
          <w:sz w:val="24"/>
          <w:szCs w:val="24"/>
        </w:rPr>
        <w:t>cheese</w:t>
      </w:r>
      <w:r w:rsidR="001C0936">
        <w:rPr>
          <w:sz w:val="24"/>
          <w:szCs w:val="24"/>
        </w:rPr>
        <w:t xml:space="preserve"> sandwich</w:t>
      </w:r>
      <w:r>
        <w:rPr>
          <w:sz w:val="24"/>
          <w:szCs w:val="24"/>
        </w:rPr>
        <w:t xml:space="preserve">, we </w:t>
      </w:r>
      <w:r w:rsidR="00544486">
        <w:rPr>
          <w:sz w:val="24"/>
          <w:szCs w:val="24"/>
        </w:rPr>
        <w:t>commit</w:t>
      </w:r>
      <w:r>
        <w:rPr>
          <w:sz w:val="24"/>
          <w:szCs w:val="24"/>
        </w:rPr>
        <w:t xml:space="preserve"> ourselves to how we would like the world to be: we have a </w:t>
      </w:r>
      <w:r w:rsidR="00E824AC">
        <w:rPr>
          <w:sz w:val="24"/>
          <w:szCs w:val="24"/>
        </w:rPr>
        <w:t>cheese</w:t>
      </w:r>
      <w:r w:rsidR="001C0936">
        <w:rPr>
          <w:sz w:val="24"/>
          <w:szCs w:val="24"/>
        </w:rPr>
        <w:t xml:space="preserve"> sandwich</w:t>
      </w:r>
      <w:r>
        <w:rPr>
          <w:sz w:val="24"/>
          <w:szCs w:val="24"/>
        </w:rPr>
        <w:t>.</w:t>
      </w:r>
    </w:p>
    <w:p w14:paraId="1F1D465C" w14:textId="527DFD86" w:rsidR="007920AF" w:rsidRDefault="007920AF" w:rsidP="00E824AC">
      <w:pPr>
        <w:spacing w:line="276" w:lineRule="auto"/>
        <w:rPr>
          <w:sz w:val="24"/>
          <w:szCs w:val="24"/>
        </w:rPr>
      </w:pPr>
      <w:r>
        <w:rPr>
          <w:sz w:val="24"/>
          <w:szCs w:val="24"/>
        </w:rPr>
        <w:t xml:space="preserve">However, it is possible to believe that there is </w:t>
      </w:r>
      <w:r w:rsidR="00E824AC">
        <w:rPr>
          <w:sz w:val="24"/>
          <w:szCs w:val="24"/>
        </w:rPr>
        <w:t>cheese</w:t>
      </w:r>
      <w:r w:rsidR="001C0936">
        <w:rPr>
          <w:sz w:val="24"/>
          <w:szCs w:val="24"/>
        </w:rPr>
        <w:t xml:space="preserve"> </w:t>
      </w:r>
      <w:r>
        <w:rPr>
          <w:sz w:val="24"/>
          <w:szCs w:val="24"/>
        </w:rPr>
        <w:t>in the fridge</w:t>
      </w:r>
      <w:r w:rsidR="00E824AC">
        <w:rPr>
          <w:sz w:val="24"/>
          <w:szCs w:val="24"/>
        </w:rPr>
        <w:t xml:space="preserve"> (or chocolate in the cupboard)</w:t>
      </w:r>
      <w:r>
        <w:rPr>
          <w:sz w:val="24"/>
          <w:szCs w:val="24"/>
        </w:rPr>
        <w:t xml:space="preserve"> even if there is no </w:t>
      </w:r>
      <w:r w:rsidR="00E824AC">
        <w:rPr>
          <w:sz w:val="24"/>
          <w:szCs w:val="24"/>
        </w:rPr>
        <w:t>cheese</w:t>
      </w:r>
      <w:r>
        <w:rPr>
          <w:sz w:val="24"/>
          <w:szCs w:val="24"/>
        </w:rPr>
        <w:t xml:space="preserve"> in the </w:t>
      </w:r>
      <w:r w:rsidR="00544486">
        <w:rPr>
          <w:sz w:val="24"/>
          <w:szCs w:val="24"/>
        </w:rPr>
        <w:t>fridge,</w:t>
      </w:r>
      <w:r>
        <w:rPr>
          <w:sz w:val="24"/>
          <w:szCs w:val="24"/>
        </w:rPr>
        <w:t xml:space="preserve"> but it is not possible to know that there is</w:t>
      </w:r>
      <w:r w:rsidR="001C0936">
        <w:rPr>
          <w:sz w:val="24"/>
          <w:szCs w:val="24"/>
        </w:rPr>
        <w:t xml:space="preserve"> </w:t>
      </w:r>
      <w:r w:rsidR="00E824AC">
        <w:rPr>
          <w:sz w:val="24"/>
          <w:szCs w:val="24"/>
        </w:rPr>
        <w:t>cheese</w:t>
      </w:r>
      <w:r>
        <w:rPr>
          <w:sz w:val="24"/>
          <w:szCs w:val="24"/>
        </w:rPr>
        <w:t xml:space="preserve"> in the fridge unless there really is </w:t>
      </w:r>
      <w:r w:rsidR="00E824AC">
        <w:rPr>
          <w:sz w:val="24"/>
          <w:szCs w:val="24"/>
        </w:rPr>
        <w:t>cheese</w:t>
      </w:r>
      <w:r>
        <w:rPr>
          <w:sz w:val="24"/>
          <w:szCs w:val="24"/>
        </w:rPr>
        <w:t xml:space="preserve"> in the fridge.</w:t>
      </w:r>
    </w:p>
    <w:p w14:paraId="639CFF16" w14:textId="73D64CF5" w:rsidR="007920AF" w:rsidRDefault="007920AF" w:rsidP="00E824AC">
      <w:pPr>
        <w:spacing w:line="276" w:lineRule="auto"/>
        <w:rPr>
          <w:sz w:val="24"/>
          <w:szCs w:val="24"/>
        </w:rPr>
      </w:pPr>
      <w:r>
        <w:rPr>
          <w:sz w:val="24"/>
          <w:szCs w:val="24"/>
        </w:rPr>
        <w:t xml:space="preserve">It is necessary, </w:t>
      </w:r>
      <w:r w:rsidR="00544486">
        <w:rPr>
          <w:sz w:val="24"/>
          <w:szCs w:val="24"/>
        </w:rPr>
        <w:t>therefore,</w:t>
      </w:r>
      <w:r>
        <w:rPr>
          <w:sz w:val="24"/>
          <w:szCs w:val="24"/>
        </w:rPr>
        <w:t xml:space="preserve"> to recognise that knowledge</w:t>
      </w:r>
      <w:r w:rsidR="00544486">
        <w:rPr>
          <w:sz w:val="24"/>
          <w:szCs w:val="24"/>
        </w:rPr>
        <w:t xml:space="preserve"> is more important tha</w:t>
      </w:r>
      <w:r w:rsidR="001B387A">
        <w:rPr>
          <w:sz w:val="24"/>
          <w:szCs w:val="24"/>
        </w:rPr>
        <w:t>n</w:t>
      </w:r>
      <w:r w:rsidR="00544486">
        <w:rPr>
          <w:sz w:val="24"/>
          <w:szCs w:val="24"/>
        </w:rPr>
        <w:t xml:space="preserve"> belief so that the view we take of the world matches up with how the world is.</w:t>
      </w:r>
    </w:p>
    <w:p w14:paraId="3049877B" w14:textId="7E264FF6" w:rsidR="001C0936" w:rsidRDefault="001C0936" w:rsidP="00E824AC">
      <w:pPr>
        <w:spacing w:line="276" w:lineRule="auto"/>
        <w:rPr>
          <w:sz w:val="24"/>
          <w:szCs w:val="24"/>
        </w:rPr>
      </w:pPr>
      <w:r>
        <w:rPr>
          <w:sz w:val="24"/>
          <w:szCs w:val="24"/>
        </w:rPr>
        <w:t xml:space="preserve">However, if you believe that there is </w:t>
      </w:r>
      <w:r w:rsidR="00551267">
        <w:rPr>
          <w:sz w:val="24"/>
          <w:szCs w:val="24"/>
        </w:rPr>
        <w:t xml:space="preserve">cheese </w:t>
      </w:r>
      <w:r>
        <w:rPr>
          <w:sz w:val="24"/>
          <w:szCs w:val="24"/>
        </w:rPr>
        <w:t xml:space="preserve">in the fridge and your belief is true, then there is </w:t>
      </w:r>
      <w:r w:rsidR="00551267">
        <w:rPr>
          <w:sz w:val="24"/>
          <w:szCs w:val="24"/>
        </w:rPr>
        <w:t>cheese</w:t>
      </w:r>
      <w:r>
        <w:rPr>
          <w:sz w:val="24"/>
          <w:szCs w:val="24"/>
        </w:rPr>
        <w:t xml:space="preserve"> in the fridge. Knowledge differs from true belief in that when you know, and don’t merely have a belief that is true, your view about the world is appropriately anchored in how the world really is. You might actually know that there is </w:t>
      </w:r>
      <w:r w:rsidR="00551267">
        <w:rPr>
          <w:sz w:val="24"/>
          <w:szCs w:val="24"/>
        </w:rPr>
        <w:t>cheese</w:t>
      </w:r>
      <w:r>
        <w:rPr>
          <w:sz w:val="24"/>
          <w:szCs w:val="24"/>
        </w:rPr>
        <w:t xml:space="preserve"> in the fridge rather than just believe there is because you have seen the </w:t>
      </w:r>
      <w:r w:rsidR="00551267">
        <w:rPr>
          <w:sz w:val="24"/>
          <w:szCs w:val="24"/>
        </w:rPr>
        <w:t>cheese</w:t>
      </w:r>
      <w:r>
        <w:rPr>
          <w:sz w:val="24"/>
          <w:szCs w:val="24"/>
        </w:rPr>
        <w:t xml:space="preserve"> in the fridge. You might have even touched the </w:t>
      </w:r>
      <w:r w:rsidR="00551267">
        <w:rPr>
          <w:sz w:val="24"/>
          <w:szCs w:val="24"/>
        </w:rPr>
        <w:t>cheese</w:t>
      </w:r>
      <w:r>
        <w:rPr>
          <w:sz w:val="24"/>
          <w:szCs w:val="24"/>
        </w:rPr>
        <w:t xml:space="preserve"> or moved it to get at something else. Our experience of seeing the </w:t>
      </w:r>
      <w:r w:rsidR="00551267">
        <w:rPr>
          <w:sz w:val="24"/>
          <w:szCs w:val="24"/>
        </w:rPr>
        <w:t>cheese</w:t>
      </w:r>
      <w:r>
        <w:rPr>
          <w:sz w:val="24"/>
          <w:szCs w:val="24"/>
        </w:rPr>
        <w:t xml:space="preserve"> and/or touching it is what grounds our view. But in order to explore knowledge and what it means to ‘know something’ we have to be able to distinguish knowing from merely believing something.</w:t>
      </w:r>
    </w:p>
    <w:p w14:paraId="127A47E9" w14:textId="20467EA4" w:rsidR="00C57D62" w:rsidRDefault="001B387A" w:rsidP="00E824AC">
      <w:pPr>
        <w:spacing w:line="276" w:lineRule="auto"/>
        <w:rPr>
          <w:sz w:val="24"/>
          <w:szCs w:val="24"/>
        </w:rPr>
      </w:pPr>
      <w:r>
        <w:rPr>
          <w:sz w:val="24"/>
          <w:szCs w:val="24"/>
        </w:rPr>
        <w:t xml:space="preserve">We might come to know things in a variety of ways. It is possible to know that there is </w:t>
      </w:r>
      <w:r w:rsidR="00551267">
        <w:rPr>
          <w:sz w:val="24"/>
          <w:szCs w:val="24"/>
        </w:rPr>
        <w:t>cheese</w:t>
      </w:r>
      <w:r>
        <w:rPr>
          <w:sz w:val="24"/>
          <w:szCs w:val="24"/>
        </w:rPr>
        <w:t xml:space="preserve"> in the fridge by seeing it, by remembering that it is there or by being told that there is </w:t>
      </w:r>
      <w:r w:rsidR="00551267">
        <w:rPr>
          <w:sz w:val="24"/>
          <w:szCs w:val="24"/>
        </w:rPr>
        <w:t>cheese</w:t>
      </w:r>
      <w:r>
        <w:rPr>
          <w:sz w:val="24"/>
          <w:szCs w:val="24"/>
        </w:rPr>
        <w:t xml:space="preserve"> in the fridge by someone else who knows</w:t>
      </w:r>
      <w:r w:rsidR="00551267">
        <w:rPr>
          <w:sz w:val="24"/>
          <w:szCs w:val="24"/>
        </w:rPr>
        <w:t>. We may also make a judgement based on deductive inference (knowing that I always order cheese with my online supermarket delivery, my delivery has been and therefore I can deduce that there is cheese in my fridge) –</w:t>
      </w:r>
      <w:r>
        <w:rPr>
          <w:sz w:val="24"/>
          <w:szCs w:val="24"/>
        </w:rPr>
        <w:t xml:space="preserve"> so by, experience, memory</w:t>
      </w:r>
      <w:r w:rsidR="00551267">
        <w:rPr>
          <w:sz w:val="24"/>
          <w:szCs w:val="24"/>
        </w:rPr>
        <w:t xml:space="preserve">, </w:t>
      </w:r>
      <w:r>
        <w:rPr>
          <w:sz w:val="24"/>
          <w:szCs w:val="24"/>
        </w:rPr>
        <w:t>testimony</w:t>
      </w:r>
      <w:r w:rsidR="00551267">
        <w:rPr>
          <w:sz w:val="24"/>
          <w:szCs w:val="24"/>
        </w:rPr>
        <w:t xml:space="preserve"> and deductive reasoning</w:t>
      </w:r>
      <w:r>
        <w:rPr>
          <w:sz w:val="24"/>
          <w:szCs w:val="24"/>
        </w:rPr>
        <w:t>.</w:t>
      </w:r>
      <w:r w:rsidR="002874EA">
        <w:rPr>
          <w:sz w:val="24"/>
          <w:szCs w:val="24"/>
        </w:rPr>
        <w:t xml:space="preserve"> It is difficult to appreciate from reading Heraclitus, how he believes that we can come to ‘know’ something rather than just have a belief about how the world is.</w:t>
      </w:r>
    </w:p>
    <w:p w14:paraId="4F94AC8B" w14:textId="45A70842" w:rsidR="00C57D62" w:rsidRDefault="00C57D62" w:rsidP="002874EA">
      <w:pPr>
        <w:spacing w:line="276" w:lineRule="auto"/>
        <w:ind w:firstLine="720"/>
        <w:rPr>
          <w:sz w:val="24"/>
          <w:szCs w:val="24"/>
        </w:rPr>
      </w:pPr>
      <w:r>
        <w:rPr>
          <w:sz w:val="24"/>
          <w:szCs w:val="24"/>
        </w:rPr>
        <w:t>Heraclitus tells us that the accumulation of information should not be thought of as knowledge. Heractlitus attacks</w:t>
      </w:r>
      <w:r w:rsidR="00983BA9">
        <w:rPr>
          <w:sz w:val="24"/>
          <w:szCs w:val="24"/>
        </w:rPr>
        <w:t xml:space="preserve"> Hesiod, Pythagoras, Xenophanes and Hecataeus in fragment 40 for learning but not understanding:</w:t>
      </w:r>
    </w:p>
    <w:p w14:paraId="33F4B5B4" w14:textId="4B751E10" w:rsidR="00983BA9" w:rsidRDefault="00983BA9" w:rsidP="00E824AC">
      <w:pPr>
        <w:spacing w:line="276" w:lineRule="auto"/>
        <w:rPr>
          <w:sz w:val="24"/>
          <w:szCs w:val="24"/>
        </w:rPr>
      </w:pPr>
      <w:r>
        <w:rPr>
          <w:sz w:val="24"/>
          <w:szCs w:val="24"/>
        </w:rPr>
        <w:t xml:space="preserve">‘A lot of learning does not teach understanding; it would have so taught Hesiod and Pythagoras, or for that matter Xenophanes and Hecataeus.’ </w:t>
      </w:r>
      <w:r w:rsidR="002874EA">
        <w:rPr>
          <w:rStyle w:val="FootnoteReference"/>
          <w:sz w:val="24"/>
          <w:szCs w:val="24"/>
        </w:rPr>
        <w:footnoteReference w:id="18"/>
      </w:r>
    </w:p>
    <w:p w14:paraId="22C67E8A" w14:textId="3110F443" w:rsidR="00983BA9" w:rsidRDefault="00983BA9" w:rsidP="00E824AC">
      <w:pPr>
        <w:spacing w:line="276" w:lineRule="auto"/>
        <w:rPr>
          <w:sz w:val="24"/>
          <w:szCs w:val="24"/>
        </w:rPr>
      </w:pPr>
      <w:r>
        <w:rPr>
          <w:sz w:val="24"/>
          <w:szCs w:val="24"/>
        </w:rPr>
        <w:t>So</w:t>
      </w:r>
      <w:r w:rsidR="00181048">
        <w:rPr>
          <w:sz w:val="24"/>
          <w:szCs w:val="24"/>
        </w:rPr>
        <w:t>,</w:t>
      </w:r>
      <w:r>
        <w:rPr>
          <w:sz w:val="24"/>
          <w:szCs w:val="24"/>
        </w:rPr>
        <w:t xml:space="preserve"> whilst we may have a true belief </w:t>
      </w:r>
      <w:r w:rsidR="002874EA">
        <w:rPr>
          <w:sz w:val="24"/>
          <w:szCs w:val="24"/>
        </w:rPr>
        <w:t xml:space="preserve">about something, </w:t>
      </w:r>
      <w:r>
        <w:rPr>
          <w:sz w:val="24"/>
          <w:szCs w:val="24"/>
        </w:rPr>
        <w:t>this is not enough to constitute knowledge; additional understanding, insight and reflection is demanded.</w:t>
      </w:r>
    </w:p>
    <w:p w14:paraId="14777309" w14:textId="1A75D938" w:rsidR="00983BA9" w:rsidRPr="00181048" w:rsidRDefault="00983BA9" w:rsidP="00E824AC">
      <w:pPr>
        <w:spacing w:line="276" w:lineRule="auto"/>
        <w:rPr>
          <w:sz w:val="24"/>
          <w:szCs w:val="24"/>
        </w:rPr>
      </w:pPr>
      <w:r>
        <w:rPr>
          <w:sz w:val="24"/>
          <w:szCs w:val="24"/>
        </w:rPr>
        <w:t>This suggests that any beliefs that we hold need to be integrated into an instructive whole</w:t>
      </w:r>
      <w:r w:rsidR="00181048">
        <w:rPr>
          <w:sz w:val="24"/>
          <w:szCs w:val="24"/>
        </w:rPr>
        <w:t xml:space="preserve">, and that by understanding this we come into knowledge about the reality of the world: how </w:t>
      </w:r>
      <w:r w:rsidR="00181048">
        <w:rPr>
          <w:sz w:val="24"/>
          <w:szCs w:val="24"/>
        </w:rPr>
        <w:lastRenderedPageBreak/>
        <w:t xml:space="preserve">it truly is. This knowledge is then identified as the knowledge of the </w:t>
      </w:r>
      <w:r w:rsidR="00181048">
        <w:rPr>
          <w:i/>
          <w:iCs/>
          <w:sz w:val="24"/>
          <w:szCs w:val="24"/>
        </w:rPr>
        <w:t>logos</w:t>
      </w:r>
      <w:r w:rsidR="00181048">
        <w:rPr>
          <w:sz w:val="24"/>
          <w:szCs w:val="24"/>
        </w:rPr>
        <w:t xml:space="preserve"> which illuminates all the connectedness of all things in the world. As Curd states, ‘to see the connection is to understand why the belief is true; to exhibit that connection is to justify and to explain.’</w:t>
      </w:r>
      <w:r w:rsidR="00181048">
        <w:rPr>
          <w:rStyle w:val="FootnoteReference"/>
          <w:sz w:val="24"/>
          <w:szCs w:val="24"/>
        </w:rPr>
        <w:footnoteReference w:id="19"/>
      </w:r>
    </w:p>
    <w:p w14:paraId="42AEED2E" w14:textId="72776B1B" w:rsidR="00181048" w:rsidRDefault="00181048" w:rsidP="00E824AC">
      <w:pPr>
        <w:spacing w:line="276" w:lineRule="auto"/>
        <w:rPr>
          <w:sz w:val="24"/>
          <w:szCs w:val="24"/>
        </w:rPr>
      </w:pPr>
      <w:r>
        <w:rPr>
          <w:sz w:val="24"/>
          <w:szCs w:val="24"/>
        </w:rPr>
        <w:t xml:space="preserve">This is further supported by fragment 57, ‘For very many people Hesiod is teacher. They are certain he knew a great number of things – he who continually failed to recognise day and night! For they are one.’ </w:t>
      </w:r>
      <w:r w:rsidR="002874EA">
        <w:rPr>
          <w:rStyle w:val="FootnoteReference"/>
          <w:sz w:val="24"/>
          <w:szCs w:val="24"/>
        </w:rPr>
        <w:footnoteReference w:id="20"/>
      </w:r>
    </w:p>
    <w:p w14:paraId="09B1C7F6" w14:textId="444E3A8F" w:rsidR="00181048" w:rsidRDefault="00181048" w:rsidP="00E824AC">
      <w:pPr>
        <w:spacing w:line="276" w:lineRule="auto"/>
        <w:rPr>
          <w:i/>
          <w:iCs/>
          <w:sz w:val="24"/>
          <w:szCs w:val="24"/>
        </w:rPr>
      </w:pPr>
      <w:r>
        <w:rPr>
          <w:sz w:val="24"/>
          <w:szCs w:val="24"/>
        </w:rPr>
        <w:t>Heraclitus is questioning the depth of Hesiod’s knowledge in this fragment. True knowledge, as we have seen, involves understanding and recognising the whole. If Hesiod, according to Heraclitus, had true knowledge he would recognise that day and night are opposites which form a unity, a connection within the whole</w:t>
      </w:r>
      <w:r w:rsidR="00A55836">
        <w:rPr>
          <w:sz w:val="24"/>
          <w:szCs w:val="24"/>
        </w:rPr>
        <w:t xml:space="preserve"> and by extension he also fails to understand the </w:t>
      </w:r>
      <w:r w:rsidR="00A55836">
        <w:rPr>
          <w:i/>
          <w:iCs/>
          <w:sz w:val="24"/>
          <w:szCs w:val="24"/>
        </w:rPr>
        <w:t>logos.</w:t>
      </w:r>
    </w:p>
    <w:p w14:paraId="08295A3E" w14:textId="591391FF" w:rsidR="00A55836" w:rsidRDefault="00A55836" w:rsidP="00E824AC">
      <w:pPr>
        <w:spacing w:line="276" w:lineRule="auto"/>
        <w:rPr>
          <w:sz w:val="24"/>
          <w:szCs w:val="24"/>
        </w:rPr>
      </w:pPr>
      <w:r>
        <w:rPr>
          <w:sz w:val="24"/>
          <w:szCs w:val="24"/>
        </w:rPr>
        <w:t xml:space="preserve">We have seen that it is not enough to simply gather information in order to have knowledge, Graham discusses Heraclitus’ use of ‘verbal representations, </w:t>
      </w:r>
      <w:r>
        <w:rPr>
          <w:i/>
          <w:iCs/>
          <w:sz w:val="24"/>
          <w:szCs w:val="24"/>
        </w:rPr>
        <w:t xml:space="preserve">logoi, </w:t>
      </w:r>
      <w:r>
        <w:rPr>
          <w:sz w:val="24"/>
          <w:szCs w:val="24"/>
        </w:rPr>
        <w:t>that stand for complex relationships capable of being grasped.’</w:t>
      </w:r>
      <w:r>
        <w:rPr>
          <w:rStyle w:val="FootnoteReference"/>
          <w:sz w:val="24"/>
          <w:szCs w:val="24"/>
        </w:rPr>
        <w:footnoteReference w:id="21"/>
      </w:r>
      <w:r w:rsidR="00B23DD0">
        <w:rPr>
          <w:sz w:val="24"/>
          <w:szCs w:val="24"/>
        </w:rPr>
        <w:t xml:space="preserve"> He goes on to say that this is an example of ‘representing the world </w:t>
      </w:r>
      <w:r w:rsidR="00B23DD0">
        <w:rPr>
          <w:i/>
          <w:iCs/>
          <w:sz w:val="24"/>
          <w:szCs w:val="24"/>
        </w:rPr>
        <w:t>inductively</w:t>
      </w:r>
      <w:r w:rsidR="00B23DD0">
        <w:rPr>
          <w:sz w:val="24"/>
          <w:szCs w:val="24"/>
        </w:rPr>
        <w:t>’ and goes onto give an example of the duck-rabbit representation.</w:t>
      </w:r>
      <w:r w:rsidR="00B23DD0">
        <w:rPr>
          <w:rStyle w:val="FootnoteReference"/>
          <w:sz w:val="24"/>
          <w:szCs w:val="24"/>
        </w:rPr>
        <w:footnoteReference w:id="22"/>
      </w:r>
    </w:p>
    <w:p w14:paraId="5ED4C365" w14:textId="33F12449" w:rsidR="00B23DD0" w:rsidRDefault="00B23DD0" w:rsidP="00E824AC">
      <w:pPr>
        <w:spacing w:line="276" w:lineRule="auto"/>
        <w:rPr>
          <w:sz w:val="24"/>
          <w:szCs w:val="24"/>
        </w:rPr>
      </w:pPr>
      <w:r>
        <w:rPr>
          <w:sz w:val="24"/>
          <w:szCs w:val="24"/>
        </w:rPr>
        <w:t>Heraclitus provides us with many images recognising that the road up and down is the same, that rivers are the same despite the ever-changing waters and these pictures provide us with a visual which represents a general truth about life.</w:t>
      </w:r>
    </w:p>
    <w:p w14:paraId="50969099" w14:textId="35F876DA" w:rsidR="00B23DD0" w:rsidRPr="00B23DD0" w:rsidRDefault="00B23DD0" w:rsidP="00E824AC">
      <w:pPr>
        <w:spacing w:line="276" w:lineRule="auto"/>
        <w:rPr>
          <w:sz w:val="24"/>
          <w:szCs w:val="24"/>
        </w:rPr>
      </w:pPr>
      <w:r>
        <w:rPr>
          <w:sz w:val="24"/>
          <w:szCs w:val="24"/>
        </w:rPr>
        <w:t>Again, Graham</w:t>
      </w:r>
      <w:r w:rsidR="00302093">
        <w:rPr>
          <w:sz w:val="24"/>
          <w:szCs w:val="24"/>
        </w:rPr>
        <w:t xml:space="preserve"> (2002)</w:t>
      </w:r>
      <w:r>
        <w:rPr>
          <w:sz w:val="24"/>
          <w:szCs w:val="24"/>
        </w:rPr>
        <w:t xml:space="preserve"> writes about how the image of the road can represent to us ‘patterns of daily activity’, human life and death and change (physical, psychological and emotional). </w:t>
      </w:r>
    </w:p>
    <w:p w14:paraId="1BBAC483" w14:textId="2E96F388" w:rsidR="00444E98" w:rsidRDefault="00F53FA4" w:rsidP="00E824AC">
      <w:pPr>
        <w:spacing w:line="276" w:lineRule="auto"/>
        <w:rPr>
          <w:sz w:val="24"/>
          <w:szCs w:val="24"/>
        </w:rPr>
      </w:pPr>
      <w:r>
        <w:rPr>
          <w:sz w:val="24"/>
          <w:szCs w:val="24"/>
        </w:rPr>
        <w:t>H</w:t>
      </w:r>
      <w:r w:rsidR="00A134F6">
        <w:rPr>
          <w:sz w:val="24"/>
          <w:szCs w:val="24"/>
        </w:rPr>
        <w:t>eraclitus believes that not only is knowledge possible but its specific and most significant object – the ‘plan’ that directs the workings of the universe – in fact exhausts the plenitude of wisdom (fragment 41).</w:t>
      </w:r>
    </w:p>
    <w:p w14:paraId="71DD5D27" w14:textId="44841B2C" w:rsidR="00F90A99" w:rsidRDefault="00A134F6" w:rsidP="00E824AC">
      <w:pPr>
        <w:spacing w:line="276" w:lineRule="auto"/>
        <w:rPr>
          <w:sz w:val="24"/>
          <w:szCs w:val="24"/>
        </w:rPr>
      </w:pPr>
      <w:r>
        <w:rPr>
          <w:sz w:val="24"/>
          <w:szCs w:val="24"/>
        </w:rPr>
        <w:t xml:space="preserve">Acquisition of knowledge, however, is problematic and many of Heraclitus’s fragments illuminate these </w:t>
      </w:r>
      <w:r w:rsidR="004E29E9">
        <w:rPr>
          <w:sz w:val="24"/>
          <w:szCs w:val="24"/>
        </w:rPr>
        <w:t xml:space="preserve">difficulties </w:t>
      </w:r>
      <w:r>
        <w:rPr>
          <w:sz w:val="24"/>
          <w:szCs w:val="24"/>
        </w:rPr>
        <w:t xml:space="preserve">for us. He warns us in fragment 104 that an uncritical acceptance of the words of </w:t>
      </w:r>
      <w:r w:rsidR="004E29E9">
        <w:rPr>
          <w:sz w:val="24"/>
          <w:szCs w:val="24"/>
        </w:rPr>
        <w:t xml:space="preserve">‘popular </w:t>
      </w:r>
      <w:proofErr w:type="gramStart"/>
      <w:r w:rsidR="00F53FA4">
        <w:rPr>
          <w:sz w:val="24"/>
          <w:szCs w:val="24"/>
        </w:rPr>
        <w:t>bards’</w:t>
      </w:r>
      <w:proofErr w:type="gramEnd"/>
      <w:r w:rsidR="004E29E9">
        <w:rPr>
          <w:sz w:val="24"/>
          <w:szCs w:val="24"/>
        </w:rPr>
        <w:t xml:space="preserve"> will give us nothing; nor will making ‘random conjectures about the most important matters’ (fragment 4</w:t>
      </w:r>
      <w:r w:rsidR="00F53FA4">
        <w:rPr>
          <w:sz w:val="24"/>
          <w:szCs w:val="24"/>
        </w:rPr>
        <w:t>7).</w:t>
      </w:r>
    </w:p>
    <w:p w14:paraId="38F14E24" w14:textId="1C4F9D29" w:rsidR="00A14F35" w:rsidRDefault="00A14F35" w:rsidP="00E824AC">
      <w:pPr>
        <w:spacing w:line="276" w:lineRule="auto"/>
        <w:rPr>
          <w:sz w:val="24"/>
          <w:szCs w:val="24"/>
        </w:rPr>
      </w:pPr>
    </w:p>
    <w:p w14:paraId="354CFED1" w14:textId="650D7708" w:rsidR="00A14F35" w:rsidRDefault="00A14F35" w:rsidP="00E824AC">
      <w:pPr>
        <w:spacing w:line="276" w:lineRule="auto"/>
        <w:rPr>
          <w:sz w:val="24"/>
          <w:szCs w:val="24"/>
        </w:rPr>
      </w:pPr>
      <w:r>
        <w:rPr>
          <w:sz w:val="24"/>
          <w:szCs w:val="24"/>
        </w:rPr>
        <w:t>Heraclitus tells us though in fragment 2 to, ‘…follow that which is common or universal. Though they account is common, the many live, however, as though they had a private understanding’</w:t>
      </w:r>
      <w:r w:rsidR="004B1D1D">
        <w:rPr>
          <w:sz w:val="24"/>
          <w:szCs w:val="24"/>
        </w:rPr>
        <w:t xml:space="preserve"> and is further elaborated in fragment 114, ‘those who speak with insight must base themselves firmly on that which is common to all, as a city does upon law- and </w:t>
      </w:r>
      <w:r w:rsidR="004B1D1D">
        <w:rPr>
          <w:sz w:val="24"/>
          <w:szCs w:val="24"/>
        </w:rPr>
        <w:lastRenderedPageBreak/>
        <w:t>much more firmly! For all human laws are nourished by one, the divine. For it holds sway to the extent that it wishes, and suffices for all, and is still left over.’</w:t>
      </w:r>
      <w:r w:rsidR="007C41EA">
        <w:rPr>
          <w:rStyle w:val="FootnoteReference"/>
          <w:sz w:val="24"/>
          <w:szCs w:val="24"/>
        </w:rPr>
        <w:footnoteReference w:id="23"/>
      </w:r>
    </w:p>
    <w:p w14:paraId="2E69E829" w14:textId="77777777" w:rsidR="004B1D1D" w:rsidRDefault="004B1D1D" w:rsidP="00E824AC">
      <w:pPr>
        <w:spacing w:line="276" w:lineRule="auto"/>
        <w:rPr>
          <w:sz w:val="24"/>
          <w:szCs w:val="24"/>
        </w:rPr>
      </w:pPr>
    </w:p>
    <w:p w14:paraId="2C182BE6" w14:textId="69158C57" w:rsidR="004B1D1D" w:rsidRDefault="004B1D1D" w:rsidP="00E824AC">
      <w:pPr>
        <w:spacing w:line="276" w:lineRule="auto"/>
        <w:rPr>
          <w:sz w:val="24"/>
          <w:szCs w:val="24"/>
        </w:rPr>
      </w:pPr>
      <w:r>
        <w:rPr>
          <w:sz w:val="24"/>
          <w:szCs w:val="24"/>
        </w:rPr>
        <w:t xml:space="preserve">The </w:t>
      </w:r>
      <w:r>
        <w:rPr>
          <w:i/>
          <w:iCs/>
          <w:sz w:val="24"/>
          <w:szCs w:val="24"/>
        </w:rPr>
        <w:t>logos</w:t>
      </w:r>
      <w:r>
        <w:rPr>
          <w:sz w:val="24"/>
          <w:szCs w:val="24"/>
        </w:rPr>
        <w:t xml:space="preserve"> is common to all and what is common is insight. It seems clear then that an additional aspect of the </w:t>
      </w:r>
      <w:r>
        <w:rPr>
          <w:i/>
          <w:iCs/>
          <w:sz w:val="24"/>
          <w:szCs w:val="24"/>
        </w:rPr>
        <w:t>logos</w:t>
      </w:r>
      <w:r>
        <w:rPr>
          <w:sz w:val="24"/>
          <w:szCs w:val="24"/>
        </w:rPr>
        <w:t xml:space="preserve"> is that includes the act of thinking or reflection. This </w:t>
      </w:r>
      <w:r>
        <w:rPr>
          <w:i/>
          <w:iCs/>
          <w:sz w:val="24"/>
          <w:szCs w:val="24"/>
        </w:rPr>
        <w:t>logos</w:t>
      </w:r>
      <w:r>
        <w:rPr>
          <w:sz w:val="24"/>
          <w:szCs w:val="24"/>
        </w:rPr>
        <w:t xml:space="preserve"> – the law by which the world is ordered, and which can be understood by humans is common to all. Heraclitus proposes that the </w:t>
      </w:r>
      <w:r>
        <w:rPr>
          <w:i/>
          <w:iCs/>
          <w:sz w:val="24"/>
          <w:szCs w:val="24"/>
        </w:rPr>
        <w:t>logos</w:t>
      </w:r>
      <w:r>
        <w:rPr>
          <w:sz w:val="24"/>
          <w:szCs w:val="24"/>
        </w:rPr>
        <w:t xml:space="preserve"> also has a material embodiment which we can get through physical means (sensory organs and through breathing).</w:t>
      </w:r>
    </w:p>
    <w:p w14:paraId="7AB5D0C0" w14:textId="21799E46" w:rsidR="004B1D1D" w:rsidRDefault="004B1D1D" w:rsidP="00E824AC">
      <w:pPr>
        <w:spacing w:line="276" w:lineRule="auto"/>
        <w:rPr>
          <w:sz w:val="24"/>
          <w:szCs w:val="24"/>
        </w:rPr>
      </w:pPr>
      <w:r>
        <w:rPr>
          <w:sz w:val="24"/>
          <w:szCs w:val="24"/>
        </w:rPr>
        <w:t>Fragment 55 states that, ‘whatever things are objects of sight, hearing and experience- these things I hold in higher esteem’ and fragment 101a, ‘eyes are more accurate witnesses than are ears.’</w:t>
      </w:r>
      <w:r w:rsidR="007C41EA">
        <w:rPr>
          <w:rStyle w:val="FootnoteReference"/>
          <w:sz w:val="24"/>
          <w:szCs w:val="24"/>
        </w:rPr>
        <w:footnoteReference w:id="24"/>
      </w:r>
    </w:p>
    <w:p w14:paraId="3D0D524F" w14:textId="77777777" w:rsidR="00F047C5" w:rsidRDefault="004B1D1D" w:rsidP="00E824AC">
      <w:pPr>
        <w:spacing w:line="276" w:lineRule="auto"/>
        <w:rPr>
          <w:sz w:val="24"/>
          <w:szCs w:val="24"/>
        </w:rPr>
      </w:pPr>
      <w:r>
        <w:rPr>
          <w:sz w:val="24"/>
          <w:szCs w:val="24"/>
        </w:rPr>
        <w:t xml:space="preserve">We must not amass </w:t>
      </w:r>
      <w:r w:rsidR="00F047C5">
        <w:rPr>
          <w:sz w:val="24"/>
          <w:szCs w:val="24"/>
        </w:rPr>
        <w:t xml:space="preserve">evidence without the </w:t>
      </w:r>
      <w:r w:rsidR="00F047C5">
        <w:rPr>
          <w:i/>
          <w:iCs/>
          <w:sz w:val="24"/>
          <w:szCs w:val="24"/>
        </w:rPr>
        <w:t>nous</w:t>
      </w:r>
      <w:r w:rsidR="00F047C5">
        <w:rPr>
          <w:sz w:val="24"/>
          <w:szCs w:val="24"/>
        </w:rPr>
        <w:t xml:space="preserve"> to draw the right conclusions from them. We could argue then that the senses are the primary modes of communication with the </w:t>
      </w:r>
      <w:r w:rsidR="00F047C5">
        <w:rPr>
          <w:i/>
          <w:iCs/>
          <w:sz w:val="24"/>
          <w:szCs w:val="24"/>
        </w:rPr>
        <w:t>logos</w:t>
      </w:r>
      <w:r w:rsidR="00F047C5">
        <w:rPr>
          <w:sz w:val="24"/>
          <w:szCs w:val="24"/>
        </w:rPr>
        <w:t xml:space="preserve"> outside. </w:t>
      </w:r>
    </w:p>
    <w:p w14:paraId="04CEAA3F" w14:textId="118922AD" w:rsidR="004B1D1D" w:rsidRDefault="00F047C5" w:rsidP="00E824AC">
      <w:pPr>
        <w:spacing w:line="276" w:lineRule="auto"/>
        <w:rPr>
          <w:sz w:val="24"/>
          <w:szCs w:val="24"/>
        </w:rPr>
      </w:pPr>
      <w:r>
        <w:rPr>
          <w:sz w:val="24"/>
          <w:szCs w:val="24"/>
        </w:rPr>
        <w:t xml:space="preserve">Guthrie (1962) says, ‘In sleep we each retire into a private world. No one shares our dreams as our waking experiences are shared. And dreams are unreal. Thus, for Heraclitus three ideas are essentially connected: a) living as if one had a private wisdom of one’s own b) falsehood c) sleep and dreams. To retire into your own world is to starve the rational element by shutting it off from the universal and true </w:t>
      </w:r>
      <w:r>
        <w:rPr>
          <w:i/>
          <w:iCs/>
          <w:sz w:val="24"/>
          <w:szCs w:val="24"/>
        </w:rPr>
        <w:t>logos</w:t>
      </w:r>
      <w:r>
        <w:rPr>
          <w:sz w:val="24"/>
          <w:szCs w:val="24"/>
        </w:rPr>
        <w:t xml:space="preserve"> on which it should feed. The many who do this are, compared to a man with an insight into the common </w:t>
      </w:r>
      <w:r>
        <w:rPr>
          <w:i/>
          <w:iCs/>
          <w:sz w:val="24"/>
          <w:szCs w:val="24"/>
        </w:rPr>
        <w:t>logos</w:t>
      </w:r>
      <w:r>
        <w:rPr>
          <w:sz w:val="24"/>
          <w:szCs w:val="24"/>
        </w:rPr>
        <w:t>, like sleepers compared to a man awake.’</w:t>
      </w:r>
    </w:p>
    <w:p w14:paraId="55040A6F" w14:textId="17111806" w:rsidR="00F047C5" w:rsidRDefault="00F047C5" w:rsidP="00E824AC">
      <w:pPr>
        <w:spacing w:line="276" w:lineRule="auto"/>
        <w:rPr>
          <w:sz w:val="24"/>
          <w:szCs w:val="24"/>
        </w:rPr>
      </w:pPr>
    </w:p>
    <w:p w14:paraId="05D34D8A" w14:textId="511D8D40" w:rsidR="00F047C5" w:rsidRDefault="0088658E" w:rsidP="00E824AC">
      <w:pPr>
        <w:spacing w:line="276" w:lineRule="auto"/>
        <w:rPr>
          <w:sz w:val="24"/>
          <w:szCs w:val="24"/>
        </w:rPr>
      </w:pPr>
      <w:r>
        <w:rPr>
          <w:sz w:val="24"/>
          <w:szCs w:val="24"/>
        </w:rPr>
        <w:t>I</w:t>
      </w:r>
      <w:r w:rsidR="00F047C5">
        <w:rPr>
          <w:sz w:val="24"/>
          <w:szCs w:val="24"/>
        </w:rPr>
        <w:t xml:space="preserve">t may be </w:t>
      </w:r>
      <w:r>
        <w:rPr>
          <w:sz w:val="24"/>
          <w:szCs w:val="24"/>
        </w:rPr>
        <w:t xml:space="preserve">tempting </w:t>
      </w:r>
      <w:r w:rsidR="00F047C5">
        <w:rPr>
          <w:sz w:val="24"/>
          <w:szCs w:val="24"/>
        </w:rPr>
        <w:t>to suppose that Heraclitus was an empiricist. He believes in the world as an ordered whole, both spatially and temporally</w:t>
      </w:r>
      <w:r>
        <w:rPr>
          <w:sz w:val="24"/>
          <w:szCs w:val="24"/>
        </w:rPr>
        <w:t xml:space="preserve"> but it is our understanding and reflection on our experiences which assist us to comprehend the </w:t>
      </w:r>
      <w:r>
        <w:rPr>
          <w:i/>
          <w:iCs/>
          <w:sz w:val="24"/>
          <w:szCs w:val="24"/>
        </w:rPr>
        <w:t>logos</w:t>
      </w:r>
      <w:r>
        <w:rPr>
          <w:sz w:val="24"/>
          <w:szCs w:val="24"/>
        </w:rPr>
        <w:t>.</w:t>
      </w:r>
      <w:r w:rsidR="000B05FC">
        <w:rPr>
          <w:sz w:val="24"/>
          <w:szCs w:val="24"/>
        </w:rPr>
        <w:t xml:space="preserve"> Despite the seeming endorsement of sensory perceptions in the fragments of 55 and 101a above, knowledge of the </w:t>
      </w:r>
      <w:r w:rsidR="000B05FC">
        <w:rPr>
          <w:i/>
          <w:iCs/>
          <w:sz w:val="24"/>
          <w:szCs w:val="24"/>
        </w:rPr>
        <w:t>logos</w:t>
      </w:r>
      <w:r w:rsidR="000B05FC">
        <w:rPr>
          <w:sz w:val="24"/>
          <w:szCs w:val="24"/>
        </w:rPr>
        <w:t xml:space="preserve"> should not be founded on our senses. There may be some element of truth of the </w:t>
      </w:r>
      <w:r w:rsidR="000B05FC">
        <w:rPr>
          <w:i/>
          <w:iCs/>
          <w:sz w:val="24"/>
          <w:szCs w:val="24"/>
        </w:rPr>
        <w:t>logos</w:t>
      </w:r>
      <w:r w:rsidR="000B05FC">
        <w:rPr>
          <w:sz w:val="24"/>
          <w:szCs w:val="24"/>
        </w:rPr>
        <w:t xml:space="preserve"> to be found through our sensory experiences, but our experiences only grasp bits of the truth and not wholes. So, it is necessary to have an understanding of the manifestation of the </w:t>
      </w:r>
      <w:r w:rsidR="000B05FC">
        <w:rPr>
          <w:i/>
          <w:iCs/>
          <w:sz w:val="24"/>
          <w:szCs w:val="24"/>
        </w:rPr>
        <w:t>logos</w:t>
      </w:r>
      <w:r w:rsidR="000B05FC">
        <w:rPr>
          <w:sz w:val="24"/>
          <w:szCs w:val="24"/>
        </w:rPr>
        <w:t xml:space="preserve"> in the world whilst also understanding the </w:t>
      </w:r>
      <w:r w:rsidR="000B05FC">
        <w:rPr>
          <w:i/>
          <w:iCs/>
          <w:sz w:val="24"/>
          <w:szCs w:val="24"/>
        </w:rPr>
        <w:t>logos</w:t>
      </w:r>
      <w:r w:rsidR="000B05FC">
        <w:rPr>
          <w:sz w:val="24"/>
          <w:szCs w:val="24"/>
        </w:rPr>
        <w:t>. Heraclitus’ world is one of ‘becoming’ that is evident to those who are not swayed by ‘being’ and permanence.</w:t>
      </w:r>
    </w:p>
    <w:p w14:paraId="75C0B2C7" w14:textId="77777777" w:rsidR="00FC4B02" w:rsidRPr="000B05FC" w:rsidRDefault="00FC4B02" w:rsidP="00E824AC">
      <w:pPr>
        <w:spacing w:line="276" w:lineRule="auto"/>
        <w:rPr>
          <w:sz w:val="24"/>
          <w:szCs w:val="24"/>
        </w:rPr>
      </w:pPr>
    </w:p>
    <w:p w14:paraId="713610D1" w14:textId="200352A9" w:rsidR="00F90A99" w:rsidRDefault="00D837A4" w:rsidP="00E824AC">
      <w:pPr>
        <w:spacing w:line="276" w:lineRule="auto"/>
        <w:rPr>
          <w:sz w:val="24"/>
          <w:szCs w:val="24"/>
        </w:rPr>
      </w:pPr>
      <w:r>
        <w:rPr>
          <w:sz w:val="24"/>
          <w:szCs w:val="24"/>
        </w:rPr>
        <w:t>The nineteenth-century philosopher Fredrich Nietzsche</w:t>
      </w:r>
      <w:r w:rsidR="00B47B65">
        <w:rPr>
          <w:sz w:val="24"/>
          <w:szCs w:val="24"/>
        </w:rPr>
        <w:t xml:space="preserve"> </w:t>
      </w:r>
      <w:r w:rsidR="007C41EA">
        <w:rPr>
          <w:sz w:val="24"/>
          <w:szCs w:val="24"/>
        </w:rPr>
        <w:t>wrote positively</w:t>
      </w:r>
      <w:r w:rsidR="00B47B65">
        <w:rPr>
          <w:sz w:val="24"/>
          <w:szCs w:val="24"/>
        </w:rPr>
        <w:t xml:space="preserve"> about Heraclitus and stated:</w:t>
      </w:r>
    </w:p>
    <w:p w14:paraId="2BD43380" w14:textId="70054271" w:rsidR="003E325B" w:rsidRDefault="003E325B" w:rsidP="00E824AC">
      <w:pPr>
        <w:spacing w:line="276" w:lineRule="auto"/>
        <w:rPr>
          <w:sz w:val="24"/>
          <w:szCs w:val="24"/>
        </w:rPr>
      </w:pPr>
      <w:r>
        <w:rPr>
          <w:sz w:val="24"/>
          <w:szCs w:val="24"/>
        </w:rPr>
        <w:t xml:space="preserve">‘With highest respect, I except the name of </w:t>
      </w:r>
      <w:r w:rsidRPr="003E325B">
        <w:rPr>
          <w:i/>
          <w:iCs/>
          <w:sz w:val="24"/>
          <w:szCs w:val="24"/>
        </w:rPr>
        <w:t>Heraclitus</w:t>
      </w:r>
      <w:r>
        <w:rPr>
          <w:i/>
          <w:iCs/>
          <w:sz w:val="24"/>
          <w:szCs w:val="24"/>
        </w:rPr>
        <w:t>.</w:t>
      </w:r>
      <w:r>
        <w:rPr>
          <w:sz w:val="24"/>
          <w:szCs w:val="24"/>
        </w:rPr>
        <w:t xml:space="preserve"> When the rest of the philosophic folk rejected the testimony of the senses because they showed multiplicity and change, he rejected their testimony because they showed things as if they had permanence and unity. Heraclitus too did the senses an injustice. They neither lie in the way the Eleatics believed, nor as he believed – they do not lie at all. What we </w:t>
      </w:r>
      <w:r>
        <w:rPr>
          <w:i/>
          <w:iCs/>
          <w:sz w:val="24"/>
          <w:szCs w:val="24"/>
        </w:rPr>
        <w:t xml:space="preserve">make </w:t>
      </w:r>
      <w:r w:rsidRPr="003E325B">
        <w:rPr>
          <w:sz w:val="24"/>
          <w:szCs w:val="24"/>
        </w:rPr>
        <w:t>of their testimony</w:t>
      </w:r>
      <w:r>
        <w:rPr>
          <w:sz w:val="24"/>
          <w:szCs w:val="24"/>
        </w:rPr>
        <w:t xml:space="preserve">, that alone </w:t>
      </w:r>
      <w:r>
        <w:rPr>
          <w:sz w:val="24"/>
          <w:szCs w:val="24"/>
        </w:rPr>
        <w:lastRenderedPageBreak/>
        <w:t>introduces lies; for example, the lie of unity, the lie of thinghood, of substance, of permanence. “Reason” is the cause of our falsification of the testimony of the senses. Insofar as the senses show becoming, passing away, and change, they do not lie. But Heraclitus will remain eternally right with his assertion that being is an empty fiction. The “apparent” world is only one: the “true” world is merely added by a lie.’</w:t>
      </w:r>
      <w:r>
        <w:rPr>
          <w:rStyle w:val="FootnoteReference"/>
          <w:sz w:val="24"/>
          <w:szCs w:val="24"/>
        </w:rPr>
        <w:footnoteReference w:id="25"/>
      </w:r>
    </w:p>
    <w:p w14:paraId="14D2E150" w14:textId="77777777" w:rsidR="003E325B" w:rsidRPr="003E325B" w:rsidRDefault="003E325B" w:rsidP="00E824AC">
      <w:pPr>
        <w:spacing w:line="276" w:lineRule="auto"/>
        <w:rPr>
          <w:sz w:val="24"/>
          <w:szCs w:val="24"/>
        </w:rPr>
      </w:pPr>
    </w:p>
    <w:p w14:paraId="1316072E" w14:textId="44225BEF" w:rsidR="00B47B65" w:rsidRDefault="007C41EA" w:rsidP="00E824AC">
      <w:pPr>
        <w:spacing w:line="276" w:lineRule="auto"/>
        <w:rPr>
          <w:sz w:val="24"/>
          <w:szCs w:val="24"/>
        </w:rPr>
      </w:pPr>
      <w:r>
        <w:rPr>
          <w:sz w:val="24"/>
          <w:szCs w:val="24"/>
        </w:rPr>
        <w:t xml:space="preserve">Nietzsche further writes: </w:t>
      </w:r>
      <w:r w:rsidR="00A14F35">
        <w:rPr>
          <w:sz w:val="24"/>
          <w:szCs w:val="24"/>
        </w:rPr>
        <w:t>‘</w:t>
      </w:r>
      <w:r w:rsidR="00B47B65">
        <w:rPr>
          <w:sz w:val="24"/>
          <w:szCs w:val="24"/>
        </w:rPr>
        <w:t>Heraclitus proclaimed: “I see nothing other than becoming. Be not deceived. It is the fault of your own myopia, not of the nature of things, if you believe you see land somewhere in the ocean of coming-to-be and passing away. You use names for things as though they rigidly, persist</w:t>
      </w:r>
      <w:r w:rsidR="00583AC5">
        <w:rPr>
          <w:sz w:val="24"/>
          <w:szCs w:val="24"/>
        </w:rPr>
        <w:t>ently endured: yet even the stream into which you step a second time is not the one</w:t>
      </w:r>
      <w:r w:rsidR="00516057">
        <w:rPr>
          <w:sz w:val="24"/>
          <w:szCs w:val="24"/>
        </w:rPr>
        <w:t xml:space="preserve"> you stepped into before.”</w:t>
      </w:r>
      <w:r w:rsidR="00A14F35">
        <w:rPr>
          <w:sz w:val="24"/>
          <w:szCs w:val="24"/>
        </w:rPr>
        <w:t>’</w:t>
      </w:r>
      <w:r w:rsidR="00516057">
        <w:rPr>
          <w:rStyle w:val="FootnoteReference"/>
          <w:sz w:val="24"/>
          <w:szCs w:val="24"/>
        </w:rPr>
        <w:footnoteReference w:id="26"/>
      </w:r>
    </w:p>
    <w:p w14:paraId="2DFB1678" w14:textId="752DB3AB" w:rsidR="00516057" w:rsidRDefault="00516057" w:rsidP="00E824AC">
      <w:pPr>
        <w:spacing w:line="276" w:lineRule="auto"/>
        <w:rPr>
          <w:sz w:val="24"/>
          <w:szCs w:val="24"/>
        </w:rPr>
      </w:pPr>
      <w:r>
        <w:rPr>
          <w:sz w:val="24"/>
          <w:szCs w:val="24"/>
        </w:rPr>
        <w:t>Roochnik (2004), explores the notion of Nietzsche’s use of the word “myopia” which he calls the ‘weakness of sight which is reflected in ordinary language’ (p.33). Roochnik goes on to discuss how language and especially our use of nouns mislead us for they suggest ‘the existence of stable entities in the world.’</w:t>
      </w:r>
      <w:r w:rsidR="007C41EA">
        <w:rPr>
          <w:rStyle w:val="FootnoteReference"/>
          <w:sz w:val="24"/>
          <w:szCs w:val="24"/>
        </w:rPr>
        <w:footnoteReference w:id="27"/>
      </w:r>
    </w:p>
    <w:p w14:paraId="75BFEB9C" w14:textId="1197CB9C" w:rsidR="00516057" w:rsidRDefault="00516057" w:rsidP="00E824AC">
      <w:pPr>
        <w:spacing w:line="276" w:lineRule="auto"/>
        <w:rPr>
          <w:sz w:val="24"/>
          <w:szCs w:val="24"/>
        </w:rPr>
      </w:pPr>
      <w:r>
        <w:rPr>
          <w:sz w:val="24"/>
          <w:szCs w:val="24"/>
        </w:rPr>
        <w:t>Like all living creatures an animal is always changing and will eventually, sooner or later die but calling what we know to be a ‘horse’ not only refers to an individual horse but to all horses and the noun ‘horse’ suggests that the species ‘horse’ will continue to endure.</w:t>
      </w:r>
    </w:p>
    <w:p w14:paraId="4495DF89" w14:textId="3DAD35FC" w:rsidR="00516057" w:rsidRDefault="00516057" w:rsidP="00E824AC">
      <w:pPr>
        <w:spacing w:line="276" w:lineRule="auto"/>
        <w:rPr>
          <w:sz w:val="24"/>
          <w:szCs w:val="24"/>
        </w:rPr>
      </w:pPr>
      <w:r>
        <w:rPr>
          <w:sz w:val="24"/>
          <w:szCs w:val="24"/>
        </w:rPr>
        <w:t>So</w:t>
      </w:r>
      <w:r w:rsidR="00266A80">
        <w:rPr>
          <w:sz w:val="24"/>
          <w:szCs w:val="24"/>
        </w:rPr>
        <w:t>,</w:t>
      </w:r>
      <w:r>
        <w:rPr>
          <w:sz w:val="24"/>
          <w:szCs w:val="24"/>
        </w:rPr>
        <w:t xml:space="preserve"> as all horses come-into-being and then die</w:t>
      </w:r>
      <w:r w:rsidR="00266A80">
        <w:rPr>
          <w:sz w:val="24"/>
          <w:szCs w:val="24"/>
        </w:rPr>
        <w:t xml:space="preserve"> we are tempted into being myopic in believing the continued existence of horses. But nothing endures, not this horse, that horse or the species ‘horse’.</w:t>
      </w:r>
    </w:p>
    <w:p w14:paraId="38FCDA7E" w14:textId="791A8211" w:rsidR="003362DE" w:rsidRDefault="003362DE" w:rsidP="00E824AC">
      <w:pPr>
        <w:spacing w:line="276" w:lineRule="auto"/>
        <w:rPr>
          <w:sz w:val="24"/>
          <w:szCs w:val="24"/>
        </w:rPr>
      </w:pPr>
      <w:r>
        <w:rPr>
          <w:sz w:val="24"/>
          <w:szCs w:val="24"/>
        </w:rPr>
        <w:t xml:space="preserve">The implications of believing that change is happening all the time and that nothing endures is significant. It can lead us to think that nothing has any value at all and ultimately has consequences for the possibility of </w:t>
      </w:r>
      <w:r>
        <w:rPr>
          <w:i/>
          <w:iCs/>
          <w:sz w:val="24"/>
          <w:szCs w:val="24"/>
        </w:rPr>
        <w:t>logos</w:t>
      </w:r>
      <w:r>
        <w:rPr>
          <w:sz w:val="24"/>
          <w:szCs w:val="24"/>
        </w:rPr>
        <w:t xml:space="preserve"> itself and brings into question if there can ever be a rational account of what we know or believe to know.</w:t>
      </w:r>
      <w:r w:rsidR="001D23D7">
        <w:rPr>
          <w:sz w:val="24"/>
          <w:szCs w:val="24"/>
        </w:rPr>
        <w:t xml:space="preserve"> If everything is changing and nothing is stable, how is knowledge of anything possible?</w:t>
      </w:r>
    </w:p>
    <w:p w14:paraId="58E30D29" w14:textId="77777777" w:rsidR="00D830BF" w:rsidRDefault="003E325B" w:rsidP="00E824AC">
      <w:pPr>
        <w:spacing w:line="276" w:lineRule="auto"/>
        <w:rPr>
          <w:sz w:val="24"/>
          <w:szCs w:val="24"/>
        </w:rPr>
      </w:pPr>
      <w:r>
        <w:rPr>
          <w:sz w:val="24"/>
          <w:szCs w:val="24"/>
        </w:rPr>
        <w:t>Heraclitus shows us many examples in his writings of how there is unity within change and how the tension between opposites</w:t>
      </w:r>
      <w:r w:rsidR="007C41EA">
        <w:rPr>
          <w:sz w:val="24"/>
          <w:szCs w:val="24"/>
        </w:rPr>
        <w:t xml:space="preserve"> work together to create stability but he offers no practical advice on how to recognise the world as it really is or indeed how we would actually know if and when we did.</w:t>
      </w:r>
    </w:p>
    <w:p w14:paraId="08FCB560" w14:textId="089442E3" w:rsidR="003E325B" w:rsidRDefault="00D830BF" w:rsidP="00E824AC">
      <w:pPr>
        <w:spacing w:line="276" w:lineRule="auto"/>
        <w:rPr>
          <w:sz w:val="24"/>
          <w:szCs w:val="24"/>
        </w:rPr>
      </w:pPr>
      <w:r>
        <w:rPr>
          <w:sz w:val="24"/>
          <w:szCs w:val="24"/>
        </w:rPr>
        <w:t xml:space="preserve">Heraclitus tells us that the world is knowable because it is a structured whole and structures are inherently </w:t>
      </w:r>
      <w:r w:rsidR="00BC1990">
        <w:rPr>
          <w:sz w:val="24"/>
          <w:szCs w:val="24"/>
        </w:rPr>
        <w:t>knowable,</w:t>
      </w:r>
      <w:r>
        <w:rPr>
          <w:sz w:val="24"/>
          <w:szCs w:val="24"/>
        </w:rPr>
        <w:t xml:space="preserve"> and he tells us that our souls share in </w:t>
      </w:r>
      <w:r>
        <w:rPr>
          <w:i/>
          <w:iCs/>
          <w:sz w:val="24"/>
          <w:szCs w:val="24"/>
        </w:rPr>
        <w:t>logos</w:t>
      </w:r>
      <w:r w:rsidR="00BC1990">
        <w:rPr>
          <w:i/>
          <w:iCs/>
          <w:sz w:val="24"/>
          <w:szCs w:val="24"/>
        </w:rPr>
        <w:t>.</w:t>
      </w:r>
      <w:r>
        <w:rPr>
          <w:rStyle w:val="FootnoteReference"/>
          <w:i/>
          <w:iCs/>
          <w:sz w:val="24"/>
          <w:szCs w:val="24"/>
        </w:rPr>
        <w:footnoteReference w:id="28"/>
      </w:r>
      <w:r w:rsidR="007C41EA">
        <w:rPr>
          <w:sz w:val="24"/>
          <w:szCs w:val="24"/>
        </w:rPr>
        <w:t xml:space="preserve"> </w:t>
      </w:r>
      <w:r w:rsidR="00BC1990">
        <w:rPr>
          <w:sz w:val="24"/>
          <w:szCs w:val="24"/>
        </w:rPr>
        <w:t>Graham (2008) writes that ,’the soul can recognise structure because it is itself a structured whole’ and he goes on to say that there is ‘isomorphism between the knower and the known inasmuch as they share a structure. Heraclitus’s juxtaposition of the river (object of knowledge) and the wader (knower) suggests a common structure.’ (p.184)</w:t>
      </w:r>
    </w:p>
    <w:p w14:paraId="6853A2C6" w14:textId="72AE8A26" w:rsidR="003362DE" w:rsidRDefault="003362DE" w:rsidP="00E824AC">
      <w:pPr>
        <w:spacing w:line="276" w:lineRule="auto"/>
        <w:rPr>
          <w:sz w:val="24"/>
          <w:szCs w:val="24"/>
        </w:rPr>
      </w:pPr>
    </w:p>
    <w:p w14:paraId="2CF6B73C" w14:textId="7DFEA6B8" w:rsidR="000B093D" w:rsidRDefault="000B093D" w:rsidP="00E824AC">
      <w:pPr>
        <w:spacing w:line="276" w:lineRule="auto"/>
        <w:rPr>
          <w:sz w:val="24"/>
          <w:szCs w:val="24"/>
        </w:rPr>
      </w:pPr>
      <w:r>
        <w:rPr>
          <w:sz w:val="24"/>
          <w:szCs w:val="24"/>
        </w:rPr>
        <w:lastRenderedPageBreak/>
        <w:t xml:space="preserve">We are exhorted therefore by Heraclitus to ‘awaken’ by understanding; by thinking for ourselves and employing our reason to see the world as it truly is and in this, perhaps take comfort in recognising and accepting that everything changes. </w:t>
      </w:r>
      <w:r w:rsidR="00217C43">
        <w:rPr>
          <w:sz w:val="24"/>
          <w:szCs w:val="24"/>
        </w:rPr>
        <w:t>Through change a</w:t>
      </w:r>
      <w:r w:rsidR="002F7C4E">
        <w:rPr>
          <w:sz w:val="24"/>
          <w:szCs w:val="24"/>
        </w:rPr>
        <w:t>nd tension comes harmony and a balancing of the world and perhaps this is the only true knowledge that we can have.</w:t>
      </w:r>
    </w:p>
    <w:p w14:paraId="7A1A49D0" w14:textId="77777777" w:rsidR="00700E8D" w:rsidRDefault="00700E8D" w:rsidP="00E824AC">
      <w:pPr>
        <w:spacing w:line="276" w:lineRule="auto"/>
        <w:rPr>
          <w:sz w:val="24"/>
          <w:szCs w:val="24"/>
        </w:rPr>
      </w:pPr>
    </w:p>
    <w:p w14:paraId="16743C7E" w14:textId="77777777" w:rsidR="00700E8D" w:rsidRDefault="00700E8D" w:rsidP="00895E84">
      <w:pPr>
        <w:rPr>
          <w:sz w:val="24"/>
          <w:szCs w:val="24"/>
        </w:rPr>
      </w:pPr>
    </w:p>
    <w:p w14:paraId="04416839" w14:textId="504A9FF4" w:rsidR="00700E8D" w:rsidRDefault="00700E8D" w:rsidP="00895E84">
      <w:pPr>
        <w:rPr>
          <w:sz w:val="24"/>
          <w:szCs w:val="24"/>
          <w:u w:val="single"/>
        </w:rPr>
      </w:pPr>
      <w:r w:rsidRPr="00700E8D">
        <w:rPr>
          <w:sz w:val="24"/>
          <w:szCs w:val="24"/>
          <w:u w:val="single"/>
        </w:rPr>
        <w:t>Bibliography &amp; References:</w:t>
      </w:r>
    </w:p>
    <w:p w14:paraId="59E744B5" w14:textId="7E8BDAFC" w:rsidR="00700E8D" w:rsidRDefault="00700E8D" w:rsidP="00895E84">
      <w:pPr>
        <w:rPr>
          <w:sz w:val="24"/>
          <w:szCs w:val="24"/>
          <w:u w:val="single"/>
        </w:rPr>
      </w:pPr>
    </w:p>
    <w:p w14:paraId="58AF48AB" w14:textId="77777777" w:rsidR="007E7CF0" w:rsidRDefault="007E7CF0" w:rsidP="00CA3E2E">
      <w:pPr>
        <w:shd w:val="clear" w:color="auto" w:fill="FFFFFF"/>
        <w:jc w:val="both"/>
        <w:textAlignment w:val="baseline"/>
        <w:rPr>
          <w:rFonts w:eastAsia="Times New Roman" w:cstheme="minorHAnsi"/>
          <w:color w:val="000000"/>
          <w:sz w:val="24"/>
          <w:szCs w:val="24"/>
        </w:rPr>
      </w:pPr>
    </w:p>
    <w:p w14:paraId="64141874" w14:textId="079D2289" w:rsidR="007E7CF0" w:rsidRPr="007E7CF0" w:rsidRDefault="007E7CF0" w:rsidP="00CA3E2E">
      <w:pPr>
        <w:shd w:val="clear" w:color="auto" w:fill="FFFFFF"/>
        <w:jc w:val="both"/>
        <w:textAlignment w:val="baseline"/>
        <w:rPr>
          <w:rFonts w:eastAsia="Times New Roman" w:cstheme="minorHAnsi"/>
          <w:color w:val="000000"/>
          <w:sz w:val="24"/>
          <w:szCs w:val="24"/>
        </w:rPr>
      </w:pPr>
      <w:r>
        <w:rPr>
          <w:rFonts w:eastAsia="Times New Roman" w:cstheme="minorHAnsi"/>
          <w:color w:val="000000"/>
          <w:sz w:val="24"/>
          <w:szCs w:val="24"/>
        </w:rPr>
        <w:t>Adamson, P. (2014), Classical Philosophy:</w:t>
      </w:r>
      <w:r>
        <w:rPr>
          <w:rFonts w:eastAsia="Times New Roman" w:cstheme="minorHAnsi"/>
          <w:i/>
          <w:iCs/>
          <w:color w:val="000000"/>
          <w:sz w:val="24"/>
          <w:szCs w:val="24"/>
        </w:rPr>
        <w:t xml:space="preserve"> A History of Philosophy without any gaps. </w:t>
      </w:r>
      <w:r>
        <w:rPr>
          <w:rFonts w:eastAsia="Times New Roman" w:cstheme="minorHAnsi"/>
          <w:color w:val="000000"/>
          <w:sz w:val="24"/>
          <w:szCs w:val="24"/>
        </w:rPr>
        <w:t>Oxford: Oxford University Press</w:t>
      </w:r>
    </w:p>
    <w:p w14:paraId="45713EB5" w14:textId="77777777" w:rsidR="007E7CF0" w:rsidRDefault="007E7CF0" w:rsidP="00CA3E2E">
      <w:pPr>
        <w:shd w:val="clear" w:color="auto" w:fill="FFFFFF"/>
        <w:jc w:val="both"/>
        <w:textAlignment w:val="baseline"/>
        <w:rPr>
          <w:rFonts w:eastAsia="Times New Roman" w:cstheme="minorHAnsi"/>
          <w:color w:val="000000"/>
          <w:sz w:val="24"/>
          <w:szCs w:val="24"/>
        </w:rPr>
      </w:pPr>
    </w:p>
    <w:p w14:paraId="6357AD87" w14:textId="71FB0164" w:rsidR="00CA3E2E" w:rsidRDefault="00CA3E2E" w:rsidP="00CA3E2E">
      <w:pPr>
        <w:shd w:val="clear" w:color="auto" w:fill="FFFFFF"/>
        <w:jc w:val="both"/>
        <w:textAlignment w:val="baseline"/>
        <w:rPr>
          <w:rFonts w:eastAsia="Times New Roman" w:cstheme="minorHAnsi"/>
          <w:color w:val="000000"/>
          <w:sz w:val="24"/>
          <w:szCs w:val="24"/>
        </w:rPr>
      </w:pPr>
      <w:r w:rsidRPr="00CA3E2E">
        <w:rPr>
          <w:rFonts w:eastAsia="Times New Roman" w:cstheme="minorHAnsi"/>
          <w:color w:val="000000"/>
          <w:sz w:val="24"/>
          <w:szCs w:val="24"/>
        </w:rPr>
        <w:t>Bostock, D. </w:t>
      </w:r>
      <w:r w:rsidRPr="00CA3E2E">
        <w:rPr>
          <w:rFonts w:eastAsia="Times New Roman" w:cstheme="minorHAnsi"/>
          <w:i/>
          <w:iCs/>
          <w:color w:val="000000"/>
          <w:sz w:val="24"/>
          <w:szCs w:val="24"/>
          <w:bdr w:val="none" w:sz="0" w:space="0" w:color="auto" w:frame="1"/>
        </w:rPr>
        <w:t>Plato’s Theaetetus</w:t>
      </w:r>
      <w:r w:rsidRPr="00CA3E2E">
        <w:rPr>
          <w:rFonts w:eastAsia="Times New Roman" w:cstheme="minorHAnsi"/>
          <w:color w:val="000000"/>
          <w:sz w:val="24"/>
          <w:szCs w:val="24"/>
        </w:rPr>
        <w:t>. Oxford, 1988.</w:t>
      </w:r>
    </w:p>
    <w:p w14:paraId="2DDA3BD8" w14:textId="77777777" w:rsidR="00CA3E2E" w:rsidRPr="00CA3E2E" w:rsidRDefault="00CA3E2E" w:rsidP="00CA3E2E">
      <w:pPr>
        <w:shd w:val="clear" w:color="auto" w:fill="FFFFFF"/>
        <w:jc w:val="both"/>
        <w:textAlignment w:val="baseline"/>
        <w:rPr>
          <w:rFonts w:eastAsia="Times New Roman" w:cstheme="minorHAnsi"/>
          <w:color w:val="000000"/>
          <w:sz w:val="24"/>
          <w:szCs w:val="24"/>
        </w:rPr>
      </w:pPr>
    </w:p>
    <w:p w14:paraId="6256DB14" w14:textId="391F79F0" w:rsidR="00CA3E2E" w:rsidRDefault="00CA3E2E" w:rsidP="00CA3E2E">
      <w:pPr>
        <w:shd w:val="clear" w:color="auto" w:fill="FFFFFF"/>
        <w:jc w:val="both"/>
        <w:textAlignment w:val="baseline"/>
        <w:rPr>
          <w:rFonts w:eastAsia="Times New Roman" w:cstheme="minorHAnsi"/>
          <w:color w:val="000000"/>
          <w:sz w:val="24"/>
          <w:szCs w:val="24"/>
        </w:rPr>
      </w:pPr>
      <w:r w:rsidRPr="00CA3E2E">
        <w:rPr>
          <w:rFonts w:eastAsia="Times New Roman" w:cstheme="minorHAnsi"/>
          <w:color w:val="000000"/>
          <w:sz w:val="24"/>
          <w:szCs w:val="24"/>
        </w:rPr>
        <w:t>Cornford, F. M. </w:t>
      </w:r>
      <w:r w:rsidRPr="00CA3E2E">
        <w:rPr>
          <w:rFonts w:eastAsia="Times New Roman" w:cstheme="minorHAnsi"/>
          <w:i/>
          <w:iCs/>
          <w:color w:val="000000"/>
          <w:sz w:val="24"/>
          <w:szCs w:val="24"/>
          <w:bdr w:val="none" w:sz="0" w:space="0" w:color="auto" w:frame="1"/>
        </w:rPr>
        <w:t>Plato’s Theory of Knowledge. The Theaetetus and the Sophist of Plato</w:t>
      </w:r>
      <w:r w:rsidRPr="00CA3E2E">
        <w:rPr>
          <w:rFonts w:eastAsia="Times New Roman" w:cstheme="minorHAnsi"/>
          <w:color w:val="000000"/>
          <w:sz w:val="24"/>
          <w:szCs w:val="24"/>
        </w:rPr>
        <w:t>. Trans. F. M. Cornford. London, 1935.</w:t>
      </w:r>
    </w:p>
    <w:p w14:paraId="0795C6B4" w14:textId="77777777" w:rsidR="00CA3E2E" w:rsidRPr="00CA3E2E" w:rsidRDefault="00CA3E2E" w:rsidP="00CA3E2E">
      <w:pPr>
        <w:shd w:val="clear" w:color="auto" w:fill="FFFFFF"/>
        <w:jc w:val="both"/>
        <w:textAlignment w:val="baseline"/>
        <w:rPr>
          <w:rFonts w:eastAsia="Times New Roman" w:cstheme="minorHAnsi"/>
          <w:color w:val="000000"/>
          <w:sz w:val="24"/>
          <w:szCs w:val="24"/>
        </w:rPr>
      </w:pPr>
    </w:p>
    <w:p w14:paraId="4793CAFC" w14:textId="3C73ACBE" w:rsidR="00A6326C" w:rsidRPr="00A6326C" w:rsidRDefault="00481EAF" w:rsidP="00895E84">
      <w:pPr>
        <w:rPr>
          <w:sz w:val="24"/>
          <w:szCs w:val="24"/>
        </w:rPr>
      </w:pPr>
      <w:r w:rsidRPr="00481EAF">
        <w:rPr>
          <w:sz w:val="24"/>
          <w:szCs w:val="24"/>
        </w:rPr>
        <w:t xml:space="preserve">Curd, P. (1991). KNOWLEDGE AND UNITY IN HERACLITUS. </w:t>
      </w:r>
      <w:r w:rsidRPr="00481EAF">
        <w:rPr>
          <w:i/>
          <w:iCs/>
          <w:sz w:val="24"/>
          <w:szCs w:val="24"/>
        </w:rPr>
        <w:t>The Monist</w:t>
      </w:r>
      <w:r w:rsidRPr="00481EAF">
        <w:rPr>
          <w:sz w:val="24"/>
          <w:szCs w:val="24"/>
        </w:rPr>
        <w:t xml:space="preserve"> 74(4), 531-549. Retrieved August 30, 2020, from </w:t>
      </w:r>
      <w:hyperlink r:id="rId10" w:history="1">
        <w:r w:rsidRPr="00481EAF">
          <w:rPr>
            <w:rStyle w:val="Hyperlink"/>
            <w:sz w:val="24"/>
            <w:szCs w:val="24"/>
          </w:rPr>
          <w:t>http://www.jstor.org/stable/27903261</w:t>
        </w:r>
      </w:hyperlink>
      <w:r w:rsidRPr="00481EAF">
        <w:rPr>
          <w:sz w:val="24"/>
          <w:szCs w:val="24"/>
        </w:rPr>
        <w:t xml:space="preserve"> </w:t>
      </w:r>
    </w:p>
    <w:p w14:paraId="770AB070" w14:textId="77777777" w:rsidR="00CA3E2E" w:rsidRDefault="00376C59" w:rsidP="00CA3E2E">
      <w:pPr>
        <w:spacing w:before="100" w:beforeAutospacing="1" w:after="120" w:line="300" w:lineRule="atLeast"/>
        <w:rPr>
          <w:rFonts w:eastAsia="Times New Roman" w:cstheme="minorHAnsi"/>
          <w:color w:val="1A1A1A"/>
          <w:sz w:val="24"/>
          <w:szCs w:val="24"/>
        </w:rPr>
      </w:pPr>
      <w:r w:rsidRPr="00E71443">
        <w:rPr>
          <w:rFonts w:eastAsia="Times New Roman" w:cstheme="minorHAnsi"/>
          <w:color w:val="1A1A1A"/>
          <w:sz w:val="24"/>
          <w:szCs w:val="24"/>
        </w:rPr>
        <w:t>Graham, D. W</w:t>
      </w:r>
      <w:r w:rsidR="00E71443">
        <w:rPr>
          <w:rFonts w:eastAsia="Times New Roman" w:cstheme="minorHAnsi"/>
          <w:color w:val="1A1A1A"/>
          <w:sz w:val="24"/>
          <w:szCs w:val="24"/>
        </w:rPr>
        <w:t>. (</w:t>
      </w:r>
      <w:r w:rsidRPr="00E71443">
        <w:rPr>
          <w:rFonts w:eastAsia="Times New Roman" w:cstheme="minorHAnsi"/>
          <w:color w:val="1A1A1A"/>
          <w:sz w:val="24"/>
          <w:szCs w:val="24"/>
        </w:rPr>
        <w:t>2002</w:t>
      </w:r>
      <w:r w:rsidR="00E71443">
        <w:rPr>
          <w:rFonts w:eastAsia="Times New Roman" w:cstheme="minorHAnsi"/>
          <w:color w:val="1A1A1A"/>
          <w:sz w:val="24"/>
          <w:szCs w:val="24"/>
        </w:rPr>
        <w:t>).,</w:t>
      </w:r>
      <w:r w:rsidRPr="00E71443">
        <w:rPr>
          <w:rFonts w:eastAsia="Times New Roman" w:cstheme="minorHAnsi"/>
          <w:color w:val="1A1A1A"/>
          <w:sz w:val="24"/>
          <w:szCs w:val="24"/>
        </w:rPr>
        <w:t xml:space="preserve"> “Heraclitus and Parmenides,” in </w:t>
      </w:r>
      <w:r w:rsidRPr="00E71443">
        <w:rPr>
          <w:rFonts w:eastAsia="Times New Roman" w:cstheme="minorHAnsi"/>
          <w:i/>
          <w:iCs/>
          <w:color w:val="1A1A1A"/>
          <w:sz w:val="24"/>
          <w:szCs w:val="24"/>
        </w:rPr>
        <w:t>Presocratic Philosophy: Essays in Honour of Alexander Mourelatos</w:t>
      </w:r>
      <w:r w:rsidRPr="00E71443">
        <w:rPr>
          <w:rFonts w:eastAsia="Times New Roman" w:cstheme="minorHAnsi"/>
          <w:color w:val="1A1A1A"/>
          <w:sz w:val="24"/>
          <w:szCs w:val="24"/>
        </w:rPr>
        <w:t>, V. Caston and D. W. Graham (eds.), 27–44, Aldershot: Ashgate.</w:t>
      </w:r>
    </w:p>
    <w:p w14:paraId="1FB3243A" w14:textId="6EB69F02" w:rsidR="00376C59" w:rsidRPr="00CA3E2E" w:rsidRDefault="00CA3E2E" w:rsidP="00CA3E2E">
      <w:pPr>
        <w:spacing w:before="100" w:beforeAutospacing="1" w:after="120" w:line="300" w:lineRule="atLeast"/>
        <w:rPr>
          <w:rFonts w:eastAsia="Times New Roman" w:cstheme="minorHAnsi"/>
          <w:color w:val="1A1A1A"/>
          <w:sz w:val="24"/>
          <w:szCs w:val="24"/>
        </w:rPr>
      </w:pPr>
      <w:r w:rsidRPr="00CA3E2E">
        <w:rPr>
          <w:rFonts w:eastAsia="Times New Roman" w:cstheme="minorHAnsi"/>
          <w:color w:val="1A1A1A"/>
          <w:sz w:val="24"/>
          <w:szCs w:val="24"/>
        </w:rPr>
        <w:t>Graham, D.W. (</w:t>
      </w:r>
      <w:r w:rsidR="00376C59" w:rsidRPr="00CA3E2E">
        <w:rPr>
          <w:rFonts w:eastAsia="Times New Roman" w:cstheme="minorHAnsi"/>
          <w:color w:val="1A1A1A"/>
          <w:sz w:val="24"/>
          <w:szCs w:val="24"/>
        </w:rPr>
        <w:t>2003a</w:t>
      </w:r>
      <w:r w:rsidRPr="00CA3E2E">
        <w:rPr>
          <w:rFonts w:eastAsia="Times New Roman" w:cstheme="minorHAnsi"/>
          <w:color w:val="1A1A1A"/>
          <w:sz w:val="24"/>
          <w:szCs w:val="24"/>
        </w:rPr>
        <w:t>)</w:t>
      </w:r>
      <w:r w:rsidR="00376C59" w:rsidRPr="00CA3E2E">
        <w:rPr>
          <w:rFonts w:eastAsia="Times New Roman" w:cstheme="minorHAnsi"/>
          <w:color w:val="1A1A1A"/>
          <w:sz w:val="24"/>
          <w:szCs w:val="24"/>
        </w:rPr>
        <w:t>, “A New Look at Anaximenes,” </w:t>
      </w:r>
      <w:r w:rsidR="00376C59" w:rsidRPr="00CA3E2E">
        <w:rPr>
          <w:rFonts w:eastAsia="Times New Roman" w:cstheme="minorHAnsi"/>
          <w:i/>
          <w:iCs/>
          <w:color w:val="1A1A1A"/>
          <w:sz w:val="24"/>
          <w:szCs w:val="24"/>
        </w:rPr>
        <w:t>History of Philosophy Quarterly</w:t>
      </w:r>
      <w:r w:rsidR="00376C59" w:rsidRPr="00CA3E2E">
        <w:rPr>
          <w:rFonts w:eastAsia="Times New Roman" w:cstheme="minorHAnsi"/>
          <w:color w:val="1A1A1A"/>
          <w:sz w:val="24"/>
          <w:szCs w:val="24"/>
        </w:rPr>
        <w:t>, 20: 1–20.</w:t>
      </w:r>
    </w:p>
    <w:p w14:paraId="36817DF1" w14:textId="1E3DD8CA" w:rsidR="00376C59" w:rsidRPr="00CA3E2E" w:rsidRDefault="00CA3E2E" w:rsidP="00CA3E2E">
      <w:pPr>
        <w:spacing w:before="100" w:beforeAutospacing="1" w:after="120" w:line="300" w:lineRule="atLeast"/>
        <w:rPr>
          <w:rFonts w:eastAsia="Times New Roman" w:cstheme="minorHAnsi"/>
          <w:color w:val="1A1A1A"/>
          <w:sz w:val="24"/>
          <w:szCs w:val="24"/>
        </w:rPr>
      </w:pPr>
      <w:r w:rsidRPr="00CA3E2E">
        <w:rPr>
          <w:rFonts w:eastAsia="Times New Roman" w:cstheme="minorHAnsi"/>
          <w:color w:val="1A1A1A"/>
          <w:sz w:val="24"/>
          <w:szCs w:val="24"/>
        </w:rPr>
        <w:t>Graham, D.W. (</w:t>
      </w:r>
      <w:r w:rsidR="00376C59" w:rsidRPr="00CA3E2E">
        <w:rPr>
          <w:rFonts w:eastAsia="Times New Roman" w:cstheme="minorHAnsi"/>
          <w:color w:val="1A1A1A"/>
          <w:sz w:val="24"/>
          <w:szCs w:val="24"/>
        </w:rPr>
        <w:t>2003b</w:t>
      </w:r>
      <w:r w:rsidRPr="00CA3E2E">
        <w:rPr>
          <w:rFonts w:eastAsia="Times New Roman" w:cstheme="minorHAnsi"/>
          <w:color w:val="1A1A1A"/>
          <w:sz w:val="24"/>
          <w:szCs w:val="24"/>
        </w:rPr>
        <w:t>)</w:t>
      </w:r>
      <w:r w:rsidR="00376C59" w:rsidRPr="00CA3E2E">
        <w:rPr>
          <w:rFonts w:eastAsia="Times New Roman" w:cstheme="minorHAnsi"/>
          <w:color w:val="1A1A1A"/>
          <w:sz w:val="24"/>
          <w:szCs w:val="24"/>
        </w:rPr>
        <w:t>, “A Testimony of Anaximenes in Plato,” </w:t>
      </w:r>
      <w:r w:rsidR="00376C59" w:rsidRPr="00CA3E2E">
        <w:rPr>
          <w:rFonts w:eastAsia="Times New Roman" w:cstheme="minorHAnsi"/>
          <w:i/>
          <w:iCs/>
          <w:color w:val="1A1A1A"/>
          <w:sz w:val="24"/>
          <w:szCs w:val="24"/>
        </w:rPr>
        <w:t>Classical Quarterly</w:t>
      </w:r>
      <w:r w:rsidR="00376C59" w:rsidRPr="00CA3E2E">
        <w:rPr>
          <w:rFonts w:eastAsia="Times New Roman" w:cstheme="minorHAnsi"/>
          <w:color w:val="1A1A1A"/>
          <w:sz w:val="24"/>
          <w:szCs w:val="24"/>
        </w:rPr>
        <w:t>, 53: 327–37.</w:t>
      </w:r>
    </w:p>
    <w:p w14:paraId="67BD56EC" w14:textId="20268B23" w:rsidR="00376C59" w:rsidRPr="00CA3E2E" w:rsidRDefault="00CA3E2E" w:rsidP="00CA3E2E">
      <w:pPr>
        <w:spacing w:before="100" w:beforeAutospacing="1" w:after="120" w:line="300" w:lineRule="atLeast"/>
        <w:rPr>
          <w:rFonts w:eastAsia="Times New Roman" w:cstheme="minorHAnsi"/>
          <w:color w:val="1A1A1A"/>
          <w:sz w:val="24"/>
          <w:szCs w:val="24"/>
        </w:rPr>
      </w:pPr>
      <w:r w:rsidRPr="00CA3E2E">
        <w:rPr>
          <w:rFonts w:eastAsia="Times New Roman" w:cstheme="minorHAnsi"/>
          <w:color w:val="1A1A1A"/>
          <w:sz w:val="24"/>
          <w:szCs w:val="24"/>
        </w:rPr>
        <w:t>Graham, D.W. (</w:t>
      </w:r>
      <w:r w:rsidR="00376C59" w:rsidRPr="00CA3E2E">
        <w:rPr>
          <w:rFonts w:eastAsia="Times New Roman" w:cstheme="minorHAnsi"/>
          <w:color w:val="1A1A1A"/>
          <w:sz w:val="24"/>
          <w:szCs w:val="24"/>
        </w:rPr>
        <w:t>2008</w:t>
      </w:r>
      <w:r w:rsidRPr="00CA3E2E">
        <w:rPr>
          <w:rFonts w:eastAsia="Times New Roman" w:cstheme="minorHAnsi"/>
          <w:color w:val="1A1A1A"/>
          <w:sz w:val="24"/>
          <w:szCs w:val="24"/>
        </w:rPr>
        <w:t>)</w:t>
      </w:r>
      <w:r w:rsidR="00376C59" w:rsidRPr="00CA3E2E">
        <w:rPr>
          <w:rFonts w:eastAsia="Times New Roman" w:cstheme="minorHAnsi"/>
          <w:color w:val="1A1A1A"/>
          <w:sz w:val="24"/>
          <w:szCs w:val="24"/>
        </w:rPr>
        <w:t xml:space="preserve"> “Heraclitus: Flux, Order, and Knowledge,” in </w:t>
      </w:r>
      <w:r w:rsidR="00376C59" w:rsidRPr="00CA3E2E">
        <w:rPr>
          <w:rFonts w:eastAsia="Times New Roman" w:cstheme="minorHAnsi"/>
          <w:i/>
          <w:iCs/>
          <w:color w:val="1A1A1A"/>
          <w:sz w:val="24"/>
          <w:szCs w:val="24"/>
        </w:rPr>
        <w:t>The Oxford Handbook of Presocratic Philosophy</w:t>
      </w:r>
      <w:r w:rsidR="00376C59" w:rsidRPr="00CA3E2E">
        <w:rPr>
          <w:rFonts w:eastAsia="Times New Roman" w:cstheme="minorHAnsi"/>
          <w:color w:val="1A1A1A"/>
          <w:sz w:val="24"/>
          <w:szCs w:val="24"/>
        </w:rPr>
        <w:t>, P. Curd and D. W. Graham (eds.), 169–188, New York: Oxford University Press.</w:t>
      </w:r>
    </w:p>
    <w:p w14:paraId="65BC84EF" w14:textId="77777777" w:rsidR="00376C59" w:rsidRPr="00376C59" w:rsidRDefault="00376C59" w:rsidP="00376C59">
      <w:pPr>
        <w:rPr>
          <w:rFonts w:ascii="Times New Roman" w:eastAsia="Times New Roman" w:hAnsi="Times New Roman" w:cs="Times New Roman"/>
          <w:sz w:val="24"/>
          <w:szCs w:val="24"/>
        </w:rPr>
      </w:pPr>
    </w:p>
    <w:p w14:paraId="6E86C2E9" w14:textId="3F7ECCCD" w:rsidR="00376C59" w:rsidRPr="00376C59" w:rsidRDefault="00376C59" w:rsidP="00376C59">
      <w:pPr>
        <w:rPr>
          <w:rFonts w:eastAsia="Times New Roman" w:cstheme="minorHAnsi"/>
          <w:sz w:val="24"/>
          <w:szCs w:val="24"/>
        </w:rPr>
      </w:pPr>
      <w:r w:rsidRPr="00376C59">
        <w:rPr>
          <w:rFonts w:eastAsia="Times New Roman" w:cstheme="minorHAnsi"/>
          <w:color w:val="1A1A1A"/>
          <w:sz w:val="24"/>
          <w:szCs w:val="24"/>
        </w:rPr>
        <w:t>Graham, D</w:t>
      </w:r>
      <w:r w:rsidR="00E71443" w:rsidRPr="00E71443">
        <w:rPr>
          <w:rFonts w:eastAsia="Times New Roman" w:cstheme="minorHAnsi"/>
          <w:color w:val="1A1A1A"/>
          <w:sz w:val="24"/>
          <w:szCs w:val="24"/>
        </w:rPr>
        <w:t>.</w:t>
      </w:r>
      <w:r w:rsidRPr="00376C59">
        <w:rPr>
          <w:rFonts w:eastAsia="Times New Roman" w:cstheme="minorHAnsi"/>
          <w:color w:val="1A1A1A"/>
          <w:sz w:val="24"/>
          <w:szCs w:val="24"/>
        </w:rPr>
        <w:t>W.</w:t>
      </w:r>
      <w:r w:rsidR="00E71443" w:rsidRPr="00E71443">
        <w:rPr>
          <w:rFonts w:eastAsia="Times New Roman" w:cstheme="minorHAnsi"/>
          <w:color w:val="1A1A1A"/>
          <w:sz w:val="24"/>
          <w:szCs w:val="24"/>
        </w:rPr>
        <w:t xml:space="preserve"> (2019).,</w:t>
      </w:r>
      <w:r w:rsidRPr="00376C59">
        <w:rPr>
          <w:rFonts w:eastAsia="Times New Roman" w:cstheme="minorHAnsi"/>
          <w:color w:val="1A1A1A"/>
          <w:sz w:val="24"/>
          <w:szCs w:val="24"/>
        </w:rPr>
        <w:t xml:space="preserve"> "Heraclitus", </w:t>
      </w:r>
      <w:r w:rsidRPr="00376C59">
        <w:rPr>
          <w:rFonts w:eastAsia="Times New Roman" w:cstheme="minorHAnsi"/>
          <w:i/>
          <w:iCs/>
          <w:color w:val="1A1A1A"/>
          <w:sz w:val="24"/>
          <w:szCs w:val="24"/>
        </w:rPr>
        <w:t>The Stanford Encyclopedia of Philosophy </w:t>
      </w:r>
      <w:r w:rsidRPr="00376C59">
        <w:rPr>
          <w:rFonts w:eastAsia="Times New Roman" w:cstheme="minorHAnsi"/>
          <w:color w:val="1A1A1A"/>
          <w:sz w:val="24"/>
          <w:szCs w:val="24"/>
        </w:rPr>
        <w:t xml:space="preserve">(Fall 2019 Edition), Edward N. Zalta (ed.), </w:t>
      </w:r>
      <w:hyperlink r:id="rId11" w:history="1">
        <w:r w:rsidR="00E71443" w:rsidRPr="00376C59">
          <w:rPr>
            <w:rStyle w:val="Hyperlink"/>
            <w:rFonts w:eastAsia="Times New Roman" w:cstheme="minorHAnsi"/>
            <w:sz w:val="24"/>
            <w:szCs w:val="24"/>
          </w:rPr>
          <w:t>https://plato.stanford.edu/archives/fall2019/entries/heraclitus</w:t>
        </w:r>
        <w:r w:rsidR="00E71443" w:rsidRPr="0094403A">
          <w:rPr>
            <w:rStyle w:val="Hyperlink"/>
            <w:rFonts w:eastAsia="Times New Roman" w:cstheme="minorHAnsi"/>
            <w:sz w:val="24"/>
            <w:szCs w:val="24"/>
          </w:rPr>
          <w:t>/</w:t>
        </w:r>
      </w:hyperlink>
      <w:r w:rsidR="00E71443">
        <w:rPr>
          <w:rFonts w:eastAsia="Times New Roman" w:cstheme="minorHAnsi"/>
          <w:color w:val="1A1A1A"/>
          <w:sz w:val="24"/>
          <w:szCs w:val="24"/>
        </w:rPr>
        <w:t xml:space="preserve"> </w:t>
      </w:r>
    </w:p>
    <w:p w14:paraId="3E5BEF75" w14:textId="095B6424" w:rsidR="007E7CF0" w:rsidRPr="007E7CF0" w:rsidRDefault="007E7CF0" w:rsidP="00376C59">
      <w:pPr>
        <w:shd w:val="clear" w:color="auto" w:fill="FFFFFF"/>
        <w:spacing w:before="100" w:beforeAutospacing="1" w:after="100" w:afterAutospacing="1"/>
        <w:rPr>
          <w:rFonts w:eastAsia="Times New Roman" w:cstheme="minorHAnsi"/>
          <w:sz w:val="24"/>
          <w:szCs w:val="24"/>
        </w:rPr>
      </w:pPr>
      <w:r>
        <w:rPr>
          <w:rFonts w:eastAsia="Times New Roman" w:cstheme="minorHAnsi"/>
          <w:sz w:val="24"/>
          <w:szCs w:val="24"/>
        </w:rPr>
        <w:t xml:space="preserve">Guthrie, W.K.C. (1962-81): </w:t>
      </w:r>
      <w:r>
        <w:rPr>
          <w:rFonts w:eastAsia="Times New Roman" w:cstheme="minorHAnsi"/>
          <w:i/>
          <w:iCs/>
          <w:sz w:val="24"/>
          <w:szCs w:val="24"/>
        </w:rPr>
        <w:t xml:space="preserve">A History of Greek Philosophy. </w:t>
      </w:r>
      <w:r>
        <w:rPr>
          <w:rFonts w:eastAsia="Times New Roman" w:cstheme="minorHAnsi"/>
          <w:sz w:val="24"/>
          <w:szCs w:val="24"/>
        </w:rPr>
        <w:t>Cambridge: Cambridge University Press.</w:t>
      </w:r>
    </w:p>
    <w:p w14:paraId="2833CBC8" w14:textId="36F81F59" w:rsidR="00376C59" w:rsidRDefault="00376C59" w:rsidP="00376C59">
      <w:pPr>
        <w:shd w:val="clear" w:color="auto" w:fill="FFFFFF"/>
        <w:spacing w:before="100" w:beforeAutospacing="1" w:after="100" w:afterAutospacing="1"/>
        <w:rPr>
          <w:rFonts w:eastAsia="Times New Roman" w:cstheme="minorHAnsi"/>
          <w:sz w:val="24"/>
          <w:szCs w:val="24"/>
        </w:rPr>
      </w:pPr>
      <w:r w:rsidRPr="00376C59">
        <w:rPr>
          <w:rFonts w:eastAsia="Times New Roman" w:cstheme="minorHAnsi"/>
          <w:sz w:val="24"/>
          <w:szCs w:val="24"/>
        </w:rPr>
        <w:t>Hegel,</w:t>
      </w:r>
      <w:r w:rsidR="00E71443" w:rsidRPr="00E71443">
        <w:rPr>
          <w:rFonts w:eastAsia="Times New Roman" w:cstheme="minorHAnsi"/>
          <w:sz w:val="24"/>
          <w:szCs w:val="24"/>
        </w:rPr>
        <w:t xml:space="preserve"> G.W.F. (1995)</w:t>
      </w:r>
      <w:r w:rsidR="00E71443">
        <w:rPr>
          <w:rFonts w:eastAsia="Times New Roman" w:cstheme="minorHAnsi"/>
          <w:sz w:val="24"/>
          <w:szCs w:val="24"/>
        </w:rPr>
        <w:t>.</w:t>
      </w:r>
      <w:r w:rsidR="00E71443" w:rsidRPr="00E71443">
        <w:rPr>
          <w:rFonts w:eastAsia="Times New Roman" w:cstheme="minorHAnsi"/>
          <w:sz w:val="24"/>
          <w:szCs w:val="24"/>
        </w:rPr>
        <w:t>,</w:t>
      </w:r>
      <w:r w:rsidRPr="00376C59">
        <w:rPr>
          <w:rFonts w:eastAsia="Times New Roman" w:cstheme="minorHAnsi"/>
          <w:sz w:val="24"/>
          <w:szCs w:val="24"/>
        </w:rPr>
        <w:t xml:space="preserve"> </w:t>
      </w:r>
      <w:r w:rsidRPr="00376C59">
        <w:rPr>
          <w:rFonts w:eastAsia="Times New Roman" w:cstheme="minorHAnsi"/>
          <w:i/>
          <w:iCs/>
          <w:sz w:val="24"/>
          <w:szCs w:val="24"/>
        </w:rPr>
        <w:t>Lectures on the History of Philosophy: Greek Philosophy to Plato, Vol. I</w:t>
      </w:r>
      <w:r w:rsidRPr="00376C59">
        <w:rPr>
          <w:rFonts w:eastAsia="Times New Roman" w:cstheme="minorHAnsi"/>
          <w:sz w:val="24"/>
          <w:szCs w:val="24"/>
        </w:rPr>
        <w:t>, trans. E.S. Haldane. Lincoln and London: University of Nebraska Press</w:t>
      </w:r>
      <w:r w:rsidR="00E71443" w:rsidRPr="00E71443">
        <w:rPr>
          <w:rFonts w:eastAsia="Times New Roman" w:cstheme="minorHAnsi"/>
          <w:sz w:val="24"/>
          <w:szCs w:val="24"/>
        </w:rPr>
        <w:t>.</w:t>
      </w:r>
      <w:r w:rsidRPr="00376C59">
        <w:rPr>
          <w:rFonts w:eastAsia="Times New Roman" w:cstheme="minorHAnsi"/>
          <w:sz w:val="24"/>
          <w:szCs w:val="24"/>
        </w:rPr>
        <w:t xml:space="preserve"> </w:t>
      </w:r>
    </w:p>
    <w:p w14:paraId="67D773C5" w14:textId="3B32435C" w:rsidR="007E7CF0" w:rsidRPr="007E7CF0" w:rsidRDefault="007E7CF0" w:rsidP="00376C59">
      <w:pPr>
        <w:shd w:val="clear" w:color="auto" w:fill="FFFFFF"/>
        <w:spacing w:before="100" w:beforeAutospacing="1" w:after="100" w:afterAutospacing="1"/>
        <w:rPr>
          <w:rFonts w:eastAsia="Times New Roman" w:cstheme="minorHAnsi"/>
          <w:sz w:val="24"/>
          <w:szCs w:val="24"/>
        </w:rPr>
      </w:pPr>
      <w:r>
        <w:rPr>
          <w:rFonts w:eastAsia="Times New Roman" w:cstheme="minorHAnsi"/>
          <w:sz w:val="24"/>
          <w:szCs w:val="24"/>
        </w:rPr>
        <w:t xml:space="preserve">Hume, D. (1975) </w:t>
      </w:r>
      <w:r>
        <w:rPr>
          <w:rFonts w:eastAsia="Times New Roman" w:cstheme="minorHAnsi"/>
          <w:i/>
          <w:iCs/>
          <w:sz w:val="24"/>
          <w:szCs w:val="24"/>
        </w:rPr>
        <w:t>A Treatise of Human Nature</w:t>
      </w:r>
      <w:r>
        <w:rPr>
          <w:rFonts w:eastAsia="Times New Roman" w:cstheme="minorHAnsi"/>
          <w:sz w:val="24"/>
          <w:szCs w:val="24"/>
        </w:rPr>
        <w:t>, ed. L.A. Selby-</w:t>
      </w:r>
      <w:proofErr w:type="spellStart"/>
      <w:r>
        <w:rPr>
          <w:rFonts w:eastAsia="Times New Roman" w:cstheme="minorHAnsi"/>
          <w:sz w:val="24"/>
          <w:szCs w:val="24"/>
        </w:rPr>
        <w:t>Bigge</w:t>
      </w:r>
      <w:proofErr w:type="spellEnd"/>
      <w:r>
        <w:rPr>
          <w:rFonts w:eastAsia="Times New Roman" w:cstheme="minorHAnsi"/>
          <w:sz w:val="24"/>
          <w:szCs w:val="24"/>
        </w:rPr>
        <w:t>. Oxford: Clarendon Press</w:t>
      </w:r>
    </w:p>
    <w:p w14:paraId="5B26665F" w14:textId="77777777" w:rsidR="00CA3E2E" w:rsidRDefault="00CA3E2E" w:rsidP="00CA3E2E">
      <w:pPr>
        <w:rPr>
          <w:rFonts w:eastAsia="Times New Roman" w:cstheme="minorHAnsi"/>
          <w:color w:val="30608E"/>
          <w:sz w:val="24"/>
          <w:szCs w:val="24"/>
        </w:rPr>
      </w:pPr>
      <w:r w:rsidRPr="00CA3E2E">
        <w:rPr>
          <w:rFonts w:eastAsia="Times New Roman" w:cstheme="minorHAnsi"/>
          <w:sz w:val="24"/>
          <w:szCs w:val="24"/>
        </w:rPr>
        <w:lastRenderedPageBreak/>
        <w:t xml:space="preserve">Hunt, David P., "Form and Flux in the Theaetetus and Timaeus" (2003). The Society for Ancient Greek Philosophy Newsletter. 359. </w:t>
      </w:r>
      <w:r w:rsidRPr="00CA3E2E">
        <w:rPr>
          <w:rFonts w:eastAsia="Times New Roman" w:cstheme="minorHAnsi"/>
          <w:color w:val="30608E"/>
          <w:sz w:val="24"/>
          <w:szCs w:val="24"/>
        </w:rPr>
        <w:t xml:space="preserve">https://orb.binghamton.edu/sagp/359 </w:t>
      </w:r>
    </w:p>
    <w:p w14:paraId="7E9517C2" w14:textId="77777777" w:rsidR="00CA3E2E" w:rsidRDefault="00CA3E2E" w:rsidP="00CA3E2E">
      <w:pPr>
        <w:rPr>
          <w:rFonts w:eastAsia="Times New Roman" w:cstheme="minorHAnsi"/>
          <w:color w:val="30608E"/>
          <w:sz w:val="24"/>
          <w:szCs w:val="24"/>
        </w:rPr>
      </w:pPr>
    </w:p>
    <w:p w14:paraId="74DD2EC4" w14:textId="6458061E" w:rsidR="00CA3E2E" w:rsidRDefault="00CA3E2E" w:rsidP="00CA3E2E">
      <w:pPr>
        <w:rPr>
          <w:rFonts w:cstheme="minorHAnsi"/>
          <w:sz w:val="24"/>
          <w:szCs w:val="24"/>
        </w:rPr>
      </w:pPr>
      <w:r w:rsidRPr="00CA3E2E">
        <w:rPr>
          <w:rFonts w:cstheme="minorHAnsi"/>
          <w:sz w:val="24"/>
          <w:szCs w:val="24"/>
        </w:rPr>
        <w:t xml:space="preserve">Kahn, C. (1987), </w:t>
      </w:r>
      <w:r w:rsidRPr="00CA3E2E">
        <w:rPr>
          <w:rFonts w:cstheme="minorHAnsi"/>
          <w:i/>
          <w:iCs/>
          <w:sz w:val="24"/>
          <w:szCs w:val="24"/>
        </w:rPr>
        <w:t>The Art and Thought of Heraclitus</w:t>
      </w:r>
      <w:r w:rsidRPr="00CA3E2E">
        <w:rPr>
          <w:rFonts w:cstheme="minorHAnsi"/>
          <w:sz w:val="24"/>
          <w:szCs w:val="24"/>
        </w:rPr>
        <w:t xml:space="preserve"> (Cambridge: Cambridge University Press, 1987).</w:t>
      </w:r>
    </w:p>
    <w:p w14:paraId="1FEFA2EA" w14:textId="77777777" w:rsidR="00CA3E2E" w:rsidRPr="00CA3E2E" w:rsidRDefault="00CA3E2E" w:rsidP="00CA3E2E">
      <w:pPr>
        <w:rPr>
          <w:rFonts w:cstheme="minorHAnsi"/>
          <w:sz w:val="24"/>
          <w:szCs w:val="24"/>
        </w:rPr>
      </w:pPr>
    </w:p>
    <w:p w14:paraId="09F941D2" w14:textId="124EED00" w:rsidR="00CA3E2E" w:rsidRDefault="00CA3E2E" w:rsidP="00CA3E2E">
      <w:pPr>
        <w:rPr>
          <w:rFonts w:cstheme="minorHAnsi"/>
          <w:sz w:val="24"/>
          <w:szCs w:val="24"/>
        </w:rPr>
      </w:pPr>
      <w:r w:rsidRPr="00CA3E2E">
        <w:rPr>
          <w:rFonts w:cstheme="minorHAnsi"/>
          <w:sz w:val="24"/>
          <w:szCs w:val="24"/>
        </w:rPr>
        <w:t xml:space="preserve">Kirk, G.S., Raven, J.E &amp; Schofield. M (eds.), </w:t>
      </w:r>
      <w:r w:rsidRPr="00CA3E2E">
        <w:rPr>
          <w:rFonts w:cstheme="minorHAnsi"/>
          <w:i/>
          <w:sz w:val="24"/>
          <w:szCs w:val="24"/>
        </w:rPr>
        <w:t>The Presocratic Philosophers</w:t>
      </w:r>
      <w:r w:rsidRPr="00CA3E2E">
        <w:rPr>
          <w:rFonts w:cstheme="minorHAnsi"/>
          <w:sz w:val="24"/>
          <w:szCs w:val="24"/>
        </w:rPr>
        <w:t>, second edn. (Cambridge: Cambridge University Press, 1983).</w:t>
      </w:r>
    </w:p>
    <w:p w14:paraId="78E6E4E6" w14:textId="4CE84BD5" w:rsidR="007E7CF0" w:rsidRDefault="007E7CF0" w:rsidP="00CA3E2E">
      <w:pPr>
        <w:rPr>
          <w:rFonts w:cstheme="minorHAnsi"/>
          <w:sz w:val="24"/>
          <w:szCs w:val="24"/>
        </w:rPr>
      </w:pPr>
    </w:p>
    <w:p w14:paraId="06B20306" w14:textId="194B1255" w:rsidR="007E7CF0" w:rsidRPr="007E7CF0" w:rsidRDefault="007E7CF0" w:rsidP="00CA3E2E">
      <w:pPr>
        <w:rPr>
          <w:rFonts w:cstheme="minorHAnsi"/>
          <w:sz w:val="24"/>
          <w:szCs w:val="24"/>
        </w:rPr>
      </w:pPr>
      <w:r>
        <w:rPr>
          <w:rFonts w:cstheme="minorHAnsi"/>
          <w:sz w:val="24"/>
          <w:szCs w:val="24"/>
        </w:rPr>
        <w:t xml:space="preserve">Nietzsche, F. (1962) </w:t>
      </w:r>
      <w:r>
        <w:rPr>
          <w:rFonts w:cstheme="minorHAnsi"/>
          <w:i/>
          <w:iCs/>
          <w:sz w:val="24"/>
          <w:szCs w:val="24"/>
        </w:rPr>
        <w:t>Philosophy in the Tragic Age of the Greeks,</w:t>
      </w:r>
      <w:r>
        <w:rPr>
          <w:rFonts w:cstheme="minorHAnsi"/>
          <w:sz w:val="24"/>
          <w:szCs w:val="24"/>
        </w:rPr>
        <w:t xml:space="preserve"> tr. M.</w:t>
      </w:r>
      <w:r w:rsidR="000B093D">
        <w:rPr>
          <w:rFonts w:cstheme="minorHAnsi"/>
          <w:sz w:val="24"/>
          <w:szCs w:val="24"/>
        </w:rPr>
        <w:t xml:space="preserve"> </w:t>
      </w:r>
      <w:r>
        <w:rPr>
          <w:rFonts w:cstheme="minorHAnsi"/>
          <w:sz w:val="24"/>
          <w:szCs w:val="24"/>
        </w:rPr>
        <w:t>Cowan. Chicago: Gateway.</w:t>
      </w:r>
    </w:p>
    <w:p w14:paraId="58FB5188" w14:textId="77777777" w:rsidR="00CA3E2E" w:rsidRPr="00CA3E2E" w:rsidRDefault="00CA3E2E" w:rsidP="00CA3E2E">
      <w:pPr>
        <w:rPr>
          <w:rFonts w:cstheme="minorHAnsi"/>
          <w:sz w:val="24"/>
          <w:szCs w:val="24"/>
        </w:rPr>
      </w:pPr>
    </w:p>
    <w:p w14:paraId="72CD4021" w14:textId="77777777" w:rsidR="00CA3E2E" w:rsidRDefault="00CA3E2E" w:rsidP="00CA3E2E">
      <w:pPr>
        <w:rPr>
          <w:sz w:val="24"/>
          <w:szCs w:val="24"/>
        </w:rPr>
      </w:pPr>
      <w:r>
        <w:rPr>
          <w:sz w:val="24"/>
          <w:szCs w:val="24"/>
        </w:rPr>
        <w:t xml:space="preserve">Plato (1974) </w:t>
      </w:r>
      <w:r>
        <w:rPr>
          <w:i/>
          <w:sz w:val="24"/>
          <w:szCs w:val="24"/>
        </w:rPr>
        <w:t xml:space="preserve">The Republic, </w:t>
      </w:r>
      <w:r>
        <w:rPr>
          <w:sz w:val="24"/>
          <w:szCs w:val="24"/>
        </w:rPr>
        <w:t>translated by Cornford, F., Oxford: Oxford University Press</w:t>
      </w:r>
    </w:p>
    <w:p w14:paraId="57DFEE75" w14:textId="63DA8D9B" w:rsidR="00BC1990" w:rsidRDefault="00BC1990" w:rsidP="00376C59">
      <w:pPr>
        <w:shd w:val="clear" w:color="auto" w:fill="FFFFFF"/>
        <w:spacing w:before="100" w:beforeAutospacing="1" w:after="100" w:afterAutospacing="1"/>
        <w:rPr>
          <w:rFonts w:eastAsia="Times New Roman" w:cstheme="minorHAnsi"/>
          <w:sz w:val="24"/>
          <w:szCs w:val="24"/>
        </w:rPr>
      </w:pPr>
      <w:r>
        <w:rPr>
          <w:rFonts w:eastAsia="Times New Roman" w:cstheme="minorHAnsi"/>
          <w:sz w:val="24"/>
          <w:szCs w:val="24"/>
        </w:rPr>
        <w:t>Robinson</w:t>
      </w:r>
      <w:r w:rsidR="00CA3E2E">
        <w:rPr>
          <w:rFonts w:eastAsia="Times New Roman" w:cstheme="minorHAnsi"/>
          <w:sz w:val="24"/>
          <w:szCs w:val="24"/>
        </w:rPr>
        <w:t xml:space="preserve">, T.M. (1987). Heraclitus: </w:t>
      </w:r>
      <w:r w:rsidR="00CA3E2E">
        <w:rPr>
          <w:rFonts w:eastAsia="Times New Roman" w:cstheme="minorHAnsi"/>
          <w:i/>
          <w:iCs/>
          <w:sz w:val="24"/>
          <w:szCs w:val="24"/>
        </w:rPr>
        <w:t xml:space="preserve">Fragments – A Text and Translation with a Commentary. </w:t>
      </w:r>
      <w:r w:rsidR="00CA3E2E">
        <w:rPr>
          <w:rFonts w:eastAsia="Times New Roman" w:cstheme="minorHAnsi"/>
          <w:sz w:val="24"/>
          <w:szCs w:val="24"/>
        </w:rPr>
        <w:t>University of Toronto Press. London.</w:t>
      </w:r>
    </w:p>
    <w:p w14:paraId="52777229" w14:textId="67579EEB" w:rsidR="007E7CF0" w:rsidRPr="007E7CF0" w:rsidRDefault="007E7CF0" w:rsidP="00376C59">
      <w:pPr>
        <w:shd w:val="clear" w:color="auto" w:fill="FFFFFF"/>
        <w:spacing w:before="100" w:beforeAutospacing="1" w:after="100" w:afterAutospacing="1"/>
        <w:rPr>
          <w:rFonts w:eastAsia="Times New Roman" w:cstheme="minorHAnsi"/>
          <w:sz w:val="24"/>
          <w:szCs w:val="24"/>
        </w:rPr>
      </w:pPr>
      <w:r>
        <w:rPr>
          <w:rFonts w:eastAsia="Times New Roman" w:cstheme="minorHAnsi"/>
          <w:sz w:val="24"/>
          <w:szCs w:val="24"/>
        </w:rPr>
        <w:t xml:space="preserve">Roochnik, D. (2004), Retrieving the Ancients: </w:t>
      </w:r>
      <w:r>
        <w:rPr>
          <w:rFonts w:eastAsia="Times New Roman" w:cstheme="minorHAnsi"/>
          <w:i/>
          <w:iCs/>
          <w:sz w:val="24"/>
          <w:szCs w:val="24"/>
        </w:rPr>
        <w:t>An Introduction to Greek Philosophy.</w:t>
      </w:r>
      <w:r>
        <w:rPr>
          <w:rFonts w:eastAsia="Times New Roman" w:cstheme="minorHAnsi"/>
          <w:sz w:val="24"/>
          <w:szCs w:val="24"/>
        </w:rPr>
        <w:t xml:space="preserve"> Oxford: Blackwell Publishing</w:t>
      </w:r>
    </w:p>
    <w:p w14:paraId="28C31418" w14:textId="700B0AE9" w:rsidR="00140769" w:rsidRPr="00E71443" w:rsidRDefault="00E71443" w:rsidP="00895E84">
      <w:pPr>
        <w:rPr>
          <w:sz w:val="24"/>
          <w:szCs w:val="24"/>
        </w:rPr>
      </w:pPr>
      <w:r>
        <w:rPr>
          <w:sz w:val="24"/>
          <w:szCs w:val="24"/>
        </w:rPr>
        <w:t xml:space="preserve">Waugh, J. B. (1991), Heraclitus: The Postmodern Presocratic? </w:t>
      </w:r>
      <w:r>
        <w:rPr>
          <w:i/>
          <w:iCs/>
          <w:sz w:val="24"/>
          <w:szCs w:val="24"/>
        </w:rPr>
        <w:t>The Monist</w:t>
      </w:r>
      <w:r>
        <w:rPr>
          <w:sz w:val="24"/>
          <w:szCs w:val="24"/>
        </w:rPr>
        <w:t xml:space="preserve">, Volume 74, Issue 4. p. 605 – 623, </w:t>
      </w:r>
      <w:hyperlink r:id="rId12" w:history="1">
        <w:r w:rsidRPr="0094403A">
          <w:rPr>
            <w:rStyle w:val="Hyperlink"/>
            <w:sz w:val="24"/>
            <w:szCs w:val="24"/>
          </w:rPr>
          <w:t>https://doi.org/10.5840/monist199174436</w:t>
        </w:r>
      </w:hyperlink>
      <w:r>
        <w:rPr>
          <w:sz w:val="24"/>
          <w:szCs w:val="24"/>
        </w:rPr>
        <w:t xml:space="preserve"> </w:t>
      </w:r>
    </w:p>
    <w:sectPr w:rsidR="00140769" w:rsidRPr="00E714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74D23A" w14:textId="77777777" w:rsidR="000377B8" w:rsidRDefault="000377B8" w:rsidP="0010572E">
      <w:r>
        <w:separator/>
      </w:r>
    </w:p>
  </w:endnote>
  <w:endnote w:type="continuationSeparator" w:id="0">
    <w:p w14:paraId="0CE61B7A" w14:textId="77777777" w:rsidR="000377B8" w:rsidRDefault="000377B8" w:rsidP="001057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7097D5" w14:textId="77777777" w:rsidR="000377B8" w:rsidRDefault="000377B8" w:rsidP="0010572E">
      <w:r>
        <w:separator/>
      </w:r>
    </w:p>
  </w:footnote>
  <w:footnote w:type="continuationSeparator" w:id="0">
    <w:p w14:paraId="6FE2DCBD" w14:textId="77777777" w:rsidR="000377B8" w:rsidRDefault="000377B8" w:rsidP="0010572E">
      <w:r>
        <w:continuationSeparator/>
      </w:r>
    </w:p>
  </w:footnote>
  <w:footnote w:id="1">
    <w:p w14:paraId="2D7B6F16" w14:textId="0B1F66F0" w:rsidR="00E71443" w:rsidRPr="002F7C4E" w:rsidRDefault="00E71443">
      <w:pPr>
        <w:pStyle w:val="FootnoteText"/>
        <w:rPr>
          <w:sz w:val="18"/>
          <w:szCs w:val="18"/>
        </w:rPr>
      </w:pPr>
      <w:r w:rsidRPr="002F7C4E">
        <w:rPr>
          <w:rStyle w:val="FootnoteReference"/>
          <w:sz w:val="18"/>
          <w:szCs w:val="18"/>
        </w:rPr>
        <w:footnoteRef/>
      </w:r>
      <w:r w:rsidRPr="002F7C4E">
        <w:rPr>
          <w:sz w:val="18"/>
          <w:szCs w:val="18"/>
        </w:rPr>
        <w:t xml:space="preserve"> Robinson </w:t>
      </w:r>
      <w:r w:rsidR="002F7C4E">
        <w:rPr>
          <w:sz w:val="18"/>
          <w:szCs w:val="18"/>
        </w:rPr>
        <w:t xml:space="preserve">(1987) </w:t>
      </w:r>
      <w:r w:rsidRPr="002F7C4E">
        <w:rPr>
          <w:sz w:val="18"/>
          <w:szCs w:val="18"/>
        </w:rPr>
        <w:t>p.1</w:t>
      </w:r>
    </w:p>
  </w:footnote>
  <w:footnote w:id="2">
    <w:p w14:paraId="1780E24E" w14:textId="4CCEAD44" w:rsidR="00E71443" w:rsidRPr="002F7C4E" w:rsidRDefault="00E71443">
      <w:pPr>
        <w:pStyle w:val="FootnoteText"/>
        <w:rPr>
          <w:sz w:val="18"/>
          <w:szCs w:val="18"/>
        </w:rPr>
      </w:pPr>
      <w:r w:rsidRPr="002F7C4E">
        <w:rPr>
          <w:rStyle w:val="FootnoteReference"/>
          <w:sz w:val="18"/>
          <w:szCs w:val="18"/>
        </w:rPr>
        <w:footnoteRef/>
      </w:r>
      <w:r w:rsidRPr="002F7C4E">
        <w:rPr>
          <w:sz w:val="18"/>
          <w:szCs w:val="18"/>
        </w:rPr>
        <w:t xml:space="preserve"> </w:t>
      </w:r>
      <w:r w:rsidR="002F7C4E">
        <w:rPr>
          <w:sz w:val="18"/>
          <w:szCs w:val="18"/>
        </w:rPr>
        <w:t xml:space="preserve">The Oxford </w:t>
      </w:r>
      <w:r w:rsidRPr="002F7C4E">
        <w:rPr>
          <w:sz w:val="18"/>
          <w:szCs w:val="18"/>
        </w:rPr>
        <w:t xml:space="preserve">Handbook of </w:t>
      </w:r>
      <w:r w:rsidR="002F7C4E">
        <w:rPr>
          <w:sz w:val="18"/>
          <w:szCs w:val="18"/>
        </w:rPr>
        <w:t>P</w:t>
      </w:r>
      <w:r w:rsidRPr="002F7C4E">
        <w:rPr>
          <w:sz w:val="18"/>
          <w:szCs w:val="18"/>
        </w:rPr>
        <w:t xml:space="preserve">resocratic </w:t>
      </w:r>
      <w:r w:rsidR="002F7C4E">
        <w:rPr>
          <w:sz w:val="18"/>
          <w:szCs w:val="18"/>
        </w:rPr>
        <w:t>P</w:t>
      </w:r>
      <w:r w:rsidRPr="002F7C4E">
        <w:rPr>
          <w:sz w:val="18"/>
          <w:szCs w:val="18"/>
        </w:rPr>
        <w:t>hilosophy</w:t>
      </w:r>
    </w:p>
  </w:footnote>
  <w:footnote w:id="3">
    <w:p w14:paraId="452BAD23" w14:textId="5C276F29" w:rsidR="00E71443" w:rsidRDefault="00E71443">
      <w:pPr>
        <w:pStyle w:val="FootnoteText"/>
      </w:pPr>
      <w:r w:rsidRPr="002F7C4E">
        <w:rPr>
          <w:rStyle w:val="FootnoteReference"/>
          <w:sz w:val="18"/>
          <w:szCs w:val="18"/>
        </w:rPr>
        <w:footnoteRef/>
      </w:r>
      <w:r w:rsidRPr="002F7C4E">
        <w:rPr>
          <w:sz w:val="18"/>
          <w:szCs w:val="18"/>
        </w:rPr>
        <w:t xml:space="preserve"> This is the view expressed by Kahn, “his real subject is not the physical world but the human condition, the condition of mortality” Khan, the Art and Thought of Heraclitus, 23:</w:t>
      </w:r>
    </w:p>
  </w:footnote>
  <w:footnote w:id="4">
    <w:p w14:paraId="74EED95C" w14:textId="6F0BBD14" w:rsidR="00481EAF" w:rsidRPr="00302093" w:rsidRDefault="00481EAF">
      <w:pPr>
        <w:pStyle w:val="FootnoteText"/>
        <w:rPr>
          <w:sz w:val="18"/>
          <w:szCs w:val="18"/>
        </w:rPr>
      </w:pPr>
      <w:r w:rsidRPr="00302093">
        <w:rPr>
          <w:rStyle w:val="FootnoteReference"/>
          <w:sz w:val="18"/>
          <w:szCs w:val="18"/>
        </w:rPr>
        <w:footnoteRef/>
      </w:r>
      <w:r w:rsidRPr="00302093">
        <w:rPr>
          <w:sz w:val="18"/>
          <w:szCs w:val="18"/>
        </w:rPr>
        <w:t xml:space="preserve"> Fr.1, trans. Robinson</w:t>
      </w:r>
      <w:r w:rsidR="00302093" w:rsidRPr="00302093">
        <w:rPr>
          <w:sz w:val="18"/>
          <w:szCs w:val="18"/>
        </w:rPr>
        <w:t xml:space="preserve">. </w:t>
      </w:r>
      <w:r w:rsidR="00302093" w:rsidRPr="00302093">
        <w:rPr>
          <w:sz w:val="18"/>
          <w:szCs w:val="18"/>
        </w:rPr>
        <w:t>Throughout this essay the word “fragments” will be used to describe the various sayings of Heraclitus. The fragment number is indicated by their standard Diels number and the translation is taken from T.M. Robinson.</w:t>
      </w:r>
    </w:p>
  </w:footnote>
  <w:footnote w:id="5">
    <w:p w14:paraId="0C77A4B2" w14:textId="5A7B2E95" w:rsidR="00E71443" w:rsidRPr="00481EAF" w:rsidRDefault="00E71443">
      <w:pPr>
        <w:pStyle w:val="FootnoteText"/>
        <w:rPr>
          <w:sz w:val="18"/>
          <w:szCs w:val="18"/>
        </w:rPr>
      </w:pPr>
      <w:r w:rsidRPr="00481EAF">
        <w:rPr>
          <w:rStyle w:val="FootnoteReference"/>
          <w:sz w:val="18"/>
          <w:szCs w:val="18"/>
        </w:rPr>
        <w:footnoteRef/>
      </w:r>
      <w:r w:rsidRPr="00481EAF">
        <w:rPr>
          <w:sz w:val="18"/>
          <w:szCs w:val="18"/>
        </w:rPr>
        <w:t xml:space="preserve"> Curd, P. (1991). KNOWLEDGE AND UNITY IN HERACLITUS. </w:t>
      </w:r>
      <w:r w:rsidRPr="00481EAF">
        <w:rPr>
          <w:i/>
          <w:iCs/>
          <w:sz w:val="18"/>
          <w:szCs w:val="18"/>
        </w:rPr>
        <w:t>The Monist</w:t>
      </w:r>
      <w:r w:rsidRPr="00481EAF">
        <w:rPr>
          <w:sz w:val="18"/>
          <w:szCs w:val="18"/>
        </w:rPr>
        <w:t xml:space="preserve"> 74(4), 531-549. Retrieved August 30, 2020, from http://www.jstor.org/stable/27903261</w:t>
      </w:r>
    </w:p>
  </w:footnote>
  <w:footnote w:id="6">
    <w:p w14:paraId="61D2F300" w14:textId="193FFE35" w:rsidR="00481EAF" w:rsidRPr="00481EAF" w:rsidRDefault="00481EAF">
      <w:pPr>
        <w:pStyle w:val="FootnoteText"/>
        <w:rPr>
          <w:sz w:val="18"/>
          <w:szCs w:val="18"/>
        </w:rPr>
      </w:pPr>
      <w:r w:rsidRPr="00481EAF">
        <w:rPr>
          <w:rStyle w:val="FootnoteReference"/>
          <w:sz w:val="18"/>
          <w:szCs w:val="18"/>
        </w:rPr>
        <w:footnoteRef/>
      </w:r>
      <w:r w:rsidRPr="00481EAF">
        <w:rPr>
          <w:sz w:val="18"/>
          <w:szCs w:val="18"/>
        </w:rPr>
        <w:t xml:space="preserve"> Fr.34, trans. Robinson</w:t>
      </w:r>
    </w:p>
  </w:footnote>
  <w:footnote w:id="7">
    <w:p w14:paraId="17E1414C" w14:textId="3B2BD801" w:rsidR="00481EAF" w:rsidRPr="00481EAF" w:rsidRDefault="00481EAF">
      <w:pPr>
        <w:pStyle w:val="FootnoteText"/>
        <w:rPr>
          <w:sz w:val="18"/>
          <w:szCs w:val="18"/>
        </w:rPr>
      </w:pPr>
      <w:r w:rsidRPr="00481EAF">
        <w:rPr>
          <w:rStyle w:val="FootnoteReference"/>
          <w:sz w:val="18"/>
          <w:szCs w:val="18"/>
        </w:rPr>
        <w:footnoteRef/>
      </w:r>
      <w:r w:rsidRPr="00481EAF">
        <w:rPr>
          <w:sz w:val="18"/>
          <w:szCs w:val="18"/>
        </w:rPr>
        <w:t xml:space="preserve"> Fr.30, trans. Robinson</w:t>
      </w:r>
    </w:p>
  </w:footnote>
  <w:footnote w:id="8">
    <w:p w14:paraId="52C615C9" w14:textId="55A9765F" w:rsidR="00E71443" w:rsidRDefault="00E71443" w:rsidP="00AE4607">
      <w:pPr>
        <w:pStyle w:val="FootnoteText"/>
      </w:pPr>
      <w:r w:rsidRPr="00481EAF">
        <w:rPr>
          <w:rStyle w:val="FootnoteReference"/>
          <w:sz w:val="18"/>
          <w:szCs w:val="18"/>
        </w:rPr>
        <w:footnoteRef/>
      </w:r>
      <w:r w:rsidRPr="00481EAF">
        <w:rPr>
          <w:sz w:val="18"/>
          <w:szCs w:val="18"/>
        </w:rPr>
        <w:t xml:space="preserve"> The </w:t>
      </w:r>
      <w:r w:rsidR="00481EAF">
        <w:rPr>
          <w:sz w:val="18"/>
          <w:szCs w:val="18"/>
        </w:rPr>
        <w:t>philosophical point of view that matter is in some sense alive. The idea dates back to the Milesian school of Presocratic thought but the term itself was given by the English philosopher Ralph Cudworth in 1678.</w:t>
      </w:r>
    </w:p>
  </w:footnote>
  <w:footnote w:id="9">
    <w:p w14:paraId="36A6999D" w14:textId="592A00A2" w:rsidR="00481EAF" w:rsidRPr="00781B0C" w:rsidRDefault="00481EAF">
      <w:pPr>
        <w:pStyle w:val="FootnoteText"/>
        <w:rPr>
          <w:sz w:val="18"/>
          <w:szCs w:val="18"/>
        </w:rPr>
      </w:pPr>
      <w:r w:rsidRPr="00781B0C">
        <w:rPr>
          <w:rStyle w:val="FootnoteReference"/>
          <w:sz w:val="18"/>
          <w:szCs w:val="18"/>
        </w:rPr>
        <w:footnoteRef/>
      </w:r>
      <w:r w:rsidRPr="00781B0C">
        <w:rPr>
          <w:sz w:val="18"/>
          <w:szCs w:val="18"/>
        </w:rPr>
        <w:t xml:space="preserve"> Fr 31a, Fr31b, trans. Robinson</w:t>
      </w:r>
    </w:p>
  </w:footnote>
  <w:footnote w:id="10">
    <w:p w14:paraId="0E859A28" w14:textId="3076333A" w:rsidR="00BF0106" w:rsidRPr="00BF0106" w:rsidRDefault="00BF0106">
      <w:pPr>
        <w:pStyle w:val="FootnoteText"/>
        <w:rPr>
          <w:sz w:val="18"/>
          <w:szCs w:val="18"/>
        </w:rPr>
      </w:pPr>
      <w:r w:rsidRPr="00BF0106">
        <w:rPr>
          <w:rStyle w:val="FootnoteReference"/>
          <w:sz w:val="18"/>
          <w:szCs w:val="18"/>
        </w:rPr>
        <w:footnoteRef/>
      </w:r>
      <w:r w:rsidRPr="00BF0106">
        <w:rPr>
          <w:sz w:val="18"/>
          <w:szCs w:val="18"/>
        </w:rPr>
        <w:t xml:space="preserve"> The division of reality into two distinct categories.</w:t>
      </w:r>
    </w:p>
  </w:footnote>
  <w:footnote w:id="11">
    <w:p w14:paraId="73546CEC" w14:textId="74F9A58B" w:rsidR="00E71443" w:rsidRPr="00781B0C" w:rsidRDefault="00E71443">
      <w:pPr>
        <w:pStyle w:val="FootnoteText"/>
        <w:rPr>
          <w:sz w:val="18"/>
          <w:szCs w:val="18"/>
        </w:rPr>
      </w:pPr>
      <w:r w:rsidRPr="00781B0C">
        <w:rPr>
          <w:rStyle w:val="FootnoteReference"/>
          <w:sz w:val="18"/>
          <w:szCs w:val="18"/>
        </w:rPr>
        <w:footnoteRef/>
      </w:r>
      <w:r w:rsidRPr="00781B0C">
        <w:rPr>
          <w:sz w:val="18"/>
          <w:szCs w:val="18"/>
        </w:rPr>
        <w:t xml:space="preserve"> </w:t>
      </w:r>
      <w:r w:rsidR="00781B0C" w:rsidRPr="00781B0C">
        <w:rPr>
          <w:sz w:val="18"/>
          <w:szCs w:val="18"/>
        </w:rPr>
        <w:t>Adamson (2014), p</w:t>
      </w:r>
      <w:r w:rsidRPr="00781B0C">
        <w:rPr>
          <w:sz w:val="18"/>
          <w:szCs w:val="18"/>
        </w:rPr>
        <w:t xml:space="preserve">.32                </w:t>
      </w:r>
    </w:p>
  </w:footnote>
  <w:footnote w:id="12">
    <w:p w14:paraId="64000CF1" w14:textId="77777777" w:rsidR="00E71443" w:rsidRDefault="00E71443" w:rsidP="00FB7539">
      <w:pPr>
        <w:pStyle w:val="FootnoteText"/>
      </w:pPr>
      <w:r w:rsidRPr="00781B0C">
        <w:rPr>
          <w:rStyle w:val="FootnoteReference"/>
          <w:sz w:val="18"/>
          <w:szCs w:val="18"/>
        </w:rPr>
        <w:footnoteRef/>
      </w:r>
      <w:r w:rsidRPr="00781B0C">
        <w:rPr>
          <w:sz w:val="18"/>
          <w:szCs w:val="18"/>
        </w:rPr>
        <w:t xml:space="preserve"> </w:t>
      </w:r>
      <w:hyperlink r:id="rId1" w:history="1">
        <w:r w:rsidRPr="00781B0C">
          <w:rPr>
            <w:rStyle w:val="Hyperlink"/>
            <w:sz w:val="18"/>
            <w:szCs w:val="18"/>
          </w:rPr>
          <w:t>www.iep.utm.edu</w:t>
        </w:r>
      </w:hyperlink>
      <w:r>
        <w:t xml:space="preserve"> </w:t>
      </w:r>
    </w:p>
  </w:footnote>
  <w:footnote w:id="13">
    <w:p w14:paraId="45303F3E" w14:textId="283836B0" w:rsidR="00E71443" w:rsidRPr="00781B0C" w:rsidRDefault="00E71443">
      <w:pPr>
        <w:pStyle w:val="FootnoteText"/>
        <w:rPr>
          <w:sz w:val="18"/>
          <w:szCs w:val="18"/>
        </w:rPr>
      </w:pPr>
      <w:r w:rsidRPr="00781B0C">
        <w:rPr>
          <w:rStyle w:val="FootnoteReference"/>
          <w:sz w:val="18"/>
          <w:szCs w:val="18"/>
        </w:rPr>
        <w:footnoteRef/>
      </w:r>
      <w:r w:rsidRPr="00781B0C">
        <w:rPr>
          <w:sz w:val="18"/>
          <w:szCs w:val="18"/>
        </w:rPr>
        <w:t xml:space="preserve"> https://www.newworldencyclopedia.org/entry/Dialectic</w:t>
      </w:r>
    </w:p>
  </w:footnote>
  <w:footnote w:id="14">
    <w:p w14:paraId="6B4ACA9B" w14:textId="1C4597B6" w:rsidR="00E71443" w:rsidRPr="00781B0C" w:rsidRDefault="00E71443">
      <w:pPr>
        <w:pStyle w:val="FootnoteText"/>
        <w:rPr>
          <w:sz w:val="18"/>
          <w:szCs w:val="18"/>
        </w:rPr>
      </w:pPr>
      <w:r w:rsidRPr="00781B0C">
        <w:rPr>
          <w:rStyle w:val="FootnoteReference"/>
          <w:sz w:val="18"/>
          <w:szCs w:val="18"/>
        </w:rPr>
        <w:footnoteRef/>
      </w:r>
      <w:r w:rsidRPr="00781B0C">
        <w:rPr>
          <w:sz w:val="18"/>
          <w:szCs w:val="18"/>
        </w:rPr>
        <w:t xml:space="preserve"> As stated by Heinrich Moritz </w:t>
      </w:r>
      <w:proofErr w:type="spellStart"/>
      <w:r w:rsidRPr="00781B0C">
        <w:rPr>
          <w:sz w:val="18"/>
          <w:szCs w:val="18"/>
        </w:rPr>
        <w:t>Chalybaus</w:t>
      </w:r>
      <w:proofErr w:type="spellEnd"/>
    </w:p>
  </w:footnote>
  <w:footnote w:id="15">
    <w:p w14:paraId="492A1F97" w14:textId="1113F802" w:rsidR="00781B0C" w:rsidRDefault="00781B0C">
      <w:pPr>
        <w:pStyle w:val="FootnoteText"/>
      </w:pPr>
      <w:r w:rsidRPr="00781B0C">
        <w:rPr>
          <w:rStyle w:val="FootnoteReference"/>
          <w:sz w:val="18"/>
          <w:szCs w:val="18"/>
        </w:rPr>
        <w:footnoteRef/>
      </w:r>
      <w:r w:rsidRPr="00781B0C">
        <w:rPr>
          <w:sz w:val="18"/>
          <w:szCs w:val="18"/>
        </w:rPr>
        <w:t xml:space="preserve"> Fr.12, trans. Robinson</w:t>
      </w:r>
    </w:p>
  </w:footnote>
  <w:footnote w:id="16">
    <w:p w14:paraId="500922F6" w14:textId="633743B8" w:rsidR="00781B0C" w:rsidRPr="002874EA" w:rsidRDefault="00781B0C">
      <w:pPr>
        <w:pStyle w:val="FootnoteText"/>
        <w:rPr>
          <w:sz w:val="18"/>
          <w:szCs w:val="18"/>
        </w:rPr>
      </w:pPr>
      <w:r w:rsidRPr="002874EA">
        <w:rPr>
          <w:rStyle w:val="FootnoteReference"/>
          <w:sz w:val="18"/>
          <w:szCs w:val="18"/>
        </w:rPr>
        <w:footnoteRef/>
      </w:r>
      <w:r w:rsidRPr="002874EA">
        <w:rPr>
          <w:sz w:val="18"/>
          <w:szCs w:val="18"/>
        </w:rPr>
        <w:t xml:space="preserve"> Hume, D., </w:t>
      </w:r>
      <w:r w:rsidRPr="002874EA">
        <w:rPr>
          <w:i/>
          <w:iCs/>
          <w:sz w:val="18"/>
          <w:szCs w:val="18"/>
        </w:rPr>
        <w:t>Treatise o</w:t>
      </w:r>
      <w:r w:rsidR="002874EA" w:rsidRPr="002874EA">
        <w:rPr>
          <w:i/>
          <w:iCs/>
          <w:sz w:val="18"/>
          <w:szCs w:val="18"/>
        </w:rPr>
        <w:t>f</w:t>
      </w:r>
      <w:r w:rsidRPr="002874EA">
        <w:rPr>
          <w:i/>
          <w:iCs/>
          <w:sz w:val="18"/>
          <w:szCs w:val="18"/>
        </w:rPr>
        <w:t xml:space="preserve"> Human Nature</w:t>
      </w:r>
      <w:r w:rsidR="002874EA" w:rsidRPr="002874EA">
        <w:rPr>
          <w:i/>
          <w:iCs/>
          <w:sz w:val="18"/>
          <w:szCs w:val="18"/>
        </w:rPr>
        <w:t xml:space="preserve"> </w:t>
      </w:r>
      <w:r w:rsidR="002874EA" w:rsidRPr="002874EA">
        <w:rPr>
          <w:sz w:val="18"/>
          <w:szCs w:val="18"/>
        </w:rPr>
        <w:t>(1888)</w:t>
      </w:r>
    </w:p>
  </w:footnote>
  <w:footnote w:id="17">
    <w:p w14:paraId="0EEA36A4" w14:textId="6652C798" w:rsidR="002874EA" w:rsidRDefault="002874EA">
      <w:pPr>
        <w:pStyle w:val="FootnoteText"/>
      </w:pPr>
      <w:r w:rsidRPr="002874EA">
        <w:rPr>
          <w:rStyle w:val="FootnoteReference"/>
          <w:sz w:val="18"/>
          <w:szCs w:val="18"/>
        </w:rPr>
        <w:footnoteRef/>
      </w:r>
      <w:r w:rsidRPr="002874EA">
        <w:rPr>
          <w:sz w:val="18"/>
          <w:szCs w:val="18"/>
        </w:rPr>
        <w:t xml:space="preserve"> Fr.88, trans. Robinson</w:t>
      </w:r>
    </w:p>
  </w:footnote>
  <w:footnote w:id="18">
    <w:p w14:paraId="670F2666" w14:textId="43B5434F" w:rsidR="002874EA" w:rsidRPr="002874EA" w:rsidRDefault="002874EA">
      <w:pPr>
        <w:pStyle w:val="FootnoteText"/>
        <w:rPr>
          <w:sz w:val="18"/>
          <w:szCs w:val="18"/>
        </w:rPr>
      </w:pPr>
      <w:r w:rsidRPr="002874EA">
        <w:rPr>
          <w:rStyle w:val="FootnoteReference"/>
          <w:sz w:val="18"/>
          <w:szCs w:val="18"/>
        </w:rPr>
        <w:footnoteRef/>
      </w:r>
      <w:r w:rsidRPr="002874EA">
        <w:rPr>
          <w:sz w:val="18"/>
          <w:szCs w:val="18"/>
        </w:rPr>
        <w:t xml:space="preserve"> Fr.40, trans. Robinson</w:t>
      </w:r>
    </w:p>
  </w:footnote>
  <w:footnote w:id="19">
    <w:p w14:paraId="361AFA28" w14:textId="1F90131C" w:rsidR="00E71443" w:rsidRPr="002874EA" w:rsidRDefault="00E71443">
      <w:pPr>
        <w:pStyle w:val="FootnoteText"/>
        <w:rPr>
          <w:sz w:val="18"/>
          <w:szCs w:val="18"/>
        </w:rPr>
      </w:pPr>
      <w:r w:rsidRPr="002874EA">
        <w:rPr>
          <w:rStyle w:val="FootnoteReference"/>
          <w:sz w:val="18"/>
          <w:szCs w:val="18"/>
        </w:rPr>
        <w:footnoteRef/>
      </w:r>
      <w:r w:rsidRPr="002874EA">
        <w:rPr>
          <w:sz w:val="18"/>
          <w:szCs w:val="18"/>
        </w:rPr>
        <w:t xml:space="preserve"> Curd</w:t>
      </w:r>
      <w:r w:rsidR="002874EA">
        <w:rPr>
          <w:sz w:val="18"/>
          <w:szCs w:val="18"/>
        </w:rPr>
        <w:t>, P. (1991)</w:t>
      </w:r>
    </w:p>
  </w:footnote>
  <w:footnote w:id="20">
    <w:p w14:paraId="6A54D08F" w14:textId="797E8A86" w:rsidR="002874EA" w:rsidRPr="002874EA" w:rsidRDefault="002874EA">
      <w:pPr>
        <w:pStyle w:val="FootnoteText"/>
        <w:rPr>
          <w:sz w:val="18"/>
          <w:szCs w:val="18"/>
        </w:rPr>
      </w:pPr>
      <w:r w:rsidRPr="002874EA">
        <w:rPr>
          <w:rStyle w:val="FootnoteReference"/>
          <w:sz w:val="18"/>
          <w:szCs w:val="18"/>
        </w:rPr>
        <w:footnoteRef/>
      </w:r>
      <w:r w:rsidRPr="002874EA">
        <w:rPr>
          <w:sz w:val="18"/>
          <w:szCs w:val="18"/>
        </w:rPr>
        <w:t xml:space="preserve"> Fr.57, trans. Robinson</w:t>
      </w:r>
    </w:p>
  </w:footnote>
  <w:footnote w:id="21">
    <w:p w14:paraId="29A638B0" w14:textId="1321054C" w:rsidR="00E71443" w:rsidRDefault="00E71443">
      <w:pPr>
        <w:pStyle w:val="FootnoteText"/>
      </w:pPr>
      <w:r w:rsidRPr="002874EA">
        <w:rPr>
          <w:rStyle w:val="FootnoteReference"/>
          <w:sz w:val="18"/>
          <w:szCs w:val="18"/>
        </w:rPr>
        <w:footnoteRef/>
      </w:r>
      <w:r w:rsidRPr="002874EA">
        <w:rPr>
          <w:sz w:val="18"/>
          <w:szCs w:val="18"/>
        </w:rPr>
        <w:t xml:space="preserve"> Graham</w:t>
      </w:r>
      <w:r w:rsidR="002874EA">
        <w:rPr>
          <w:sz w:val="18"/>
          <w:szCs w:val="18"/>
        </w:rPr>
        <w:t xml:space="preserve">, D.W (2002), </w:t>
      </w:r>
      <w:r w:rsidRPr="002874EA">
        <w:rPr>
          <w:sz w:val="18"/>
          <w:szCs w:val="18"/>
        </w:rPr>
        <w:t>p.182</w:t>
      </w:r>
    </w:p>
  </w:footnote>
  <w:footnote w:id="22">
    <w:p w14:paraId="6ED3CFF3" w14:textId="537BFB29" w:rsidR="00E71443" w:rsidRPr="00551267" w:rsidRDefault="00E71443">
      <w:pPr>
        <w:pStyle w:val="FootnoteText"/>
        <w:rPr>
          <w:sz w:val="20"/>
          <w:szCs w:val="20"/>
        </w:rPr>
      </w:pPr>
      <w:r>
        <w:rPr>
          <w:rStyle w:val="FootnoteReference"/>
        </w:rPr>
        <w:footnoteRef/>
      </w:r>
      <w:r>
        <w:t xml:space="preserve"> </w:t>
      </w:r>
      <w:r w:rsidRPr="00A14F35">
        <w:rPr>
          <w:sz w:val="20"/>
          <w:szCs w:val="20"/>
        </w:rPr>
        <w:t xml:space="preserve">Ludwig Wittgenstein used a duck-rabbit image in his </w:t>
      </w:r>
      <w:r w:rsidRPr="00A14F35">
        <w:rPr>
          <w:i/>
          <w:iCs/>
          <w:sz w:val="20"/>
          <w:szCs w:val="20"/>
        </w:rPr>
        <w:t>Philosophical Investigations</w:t>
      </w:r>
      <w:r w:rsidRPr="00A14F35">
        <w:rPr>
          <w:sz w:val="20"/>
          <w:szCs w:val="20"/>
        </w:rPr>
        <w:t xml:space="preserve"> (1953) to illustrate </w:t>
      </w:r>
      <w:r w:rsidRPr="00A14F35">
        <w:rPr>
          <w:i/>
          <w:iCs/>
          <w:sz w:val="20"/>
          <w:szCs w:val="20"/>
        </w:rPr>
        <w:t>aspect perception.</w:t>
      </w:r>
      <w:r w:rsidRPr="00A14F35">
        <w:rPr>
          <w:sz w:val="20"/>
          <w:szCs w:val="20"/>
        </w:rPr>
        <w:t xml:space="preserve"> The image can be seen in two ways as either a duck or as a rabbit. It draws our attention to the fact that we see different aspects all the time, though we may not always recognise that we are doing so. This has implications for whether we can ever really see something as it truly is.</w:t>
      </w:r>
    </w:p>
  </w:footnote>
  <w:footnote w:id="23">
    <w:p w14:paraId="509C53F5" w14:textId="5CE03C64" w:rsidR="007C41EA" w:rsidRPr="007C41EA" w:rsidRDefault="007C41EA">
      <w:pPr>
        <w:pStyle w:val="FootnoteText"/>
        <w:rPr>
          <w:sz w:val="18"/>
          <w:szCs w:val="18"/>
        </w:rPr>
      </w:pPr>
      <w:r w:rsidRPr="007C41EA">
        <w:rPr>
          <w:rStyle w:val="FootnoteReference"/>
          <w:sz w:val="18"/>
          <w:szCs w:val="18"/>
        </w:rPr>
        <w:footnoteRef/>
      </w:r>
      <w:r w:rsidRPr="007C41EA">
        <w:rPr>
          <w:sz w:val="18"/>
          <w:szCs w:val="18"/>
        </w:rPr>
        <w:t xml:space="preserve"> Fr.2, fr.114, trans. Robinson</w:t>
      </w:r>
    </w:p>
  </w:footnote>
  <w:footnote w:id="24">
    <w:p w14:paraId="51B9A404" w14:textId="5D38B803" w:rsidR="007C41EA" w:rsidRDefault="007C41EA">
      <w:pPr>
        <w:pStyle w:val="FootnoteText"/>
      </w:pPr>
      <w:r>
        <w:rPr>
          <w:rStyle w:val="FootnoteReference"/>
        </w:rPr>
        <w:footnoteRef/>
      </w:r>
      <w:r>
        <w:t xml:space="preserve"> </w:t>
      </w:r>
      <w:r w:rsidRPr="007C41EA">
        <w:rPr>
          <w:sz w:val="18"/>
          <w:szCs w:val="18"/>
        </w:rPr>
        <w:t>Trans. Robinson</w:t>
      </w:r>
    </w:p>
  </w:footnote>
  <w:footnote w:id="25">
    <w:p w14:paraId="2D8A3BD7" w14:textId="3A86E3E7" w:rsidR="00E71443" w:rsidRPr="007C41EA" w:rsidRDefault="00E71443">
      <w:pPr>
        <w:pStyle w:val="FootnoteText"/>
        <w:rPr>
          <w:sz w:val="18"/>
          <w:szCs w:val="18"/>
        </w:rPr>
      </w:pPr>
      <w:r w:rsidRPr="007C41EA">
        <w:rPr>
          <w:rStyle w:val="FootnoteReference"/>
          <w:sz w:val="18"/>
          <w:szCs w:val="18"/>
        </w:rPr>
        <w:footnoteRef/>
      </w:r>
      <w:r w:rsidRPr="007C41EA">
        <w:rPr>
          <w:sz w:val="18"/>
          <w:szCs w:val="18"/>
        </w:rPr>
        <w:t xml:space="preserve"> Nietz</w:t>
      </w:r>
      <w:r w:rsidR="007C41EA" w:rsidRPr="007C41EA">
        <w:rPr>
          <w:sz w:val="18"/>
          <w:szCs w:val="18"/>
        </w:rPr>
        <w:t>s</w:t>
      </w:r>
      <w:r w:rsidRPr="007C41EA">
        <w:rPr>
          <w:sz w:val="18"/>
          <w:szCs w:val="18"/>
        </w:rPr>
        <w:t>che in Twilight of the Idols: Or, How One Philosophises with a Hammer.</w:t>
      </w:r>
    </w:p>
  </w:footnote>
  <w:footnote w:id="26">
    <w:p w14:paraId="7C672920" w14:textId="6D213F31" w:rsidR="00E71443" w:rsidRDefault="00E71443">
      <w:pPr>
        <w:pStyle w:val="FootnoteText"/>
      </w:pPr>
      <w:r w:rsidRPr="007C41EA">
        <w:rPr>
          <w:rStyle w:val="FootnoteReference"/>
          <w:sz w:val="18"/>
          <w:szCs w:val="18"/>
        </w:rPr>
        <w:footnoteRef/>
      </w:r>
      <w:r w:rsidRPr="007C41EA">
        <w:rPr>
          <w:sz w:val="18"/>
          <w:szCs w:val="18"/>
        </w:rPr>
        <w:t xml:space="preserve"> Nietzsche </w:t>
      </w:r>
      <w:r w:rsidR="007C41EA">
        <w:rPr>
          <w:sz w:val="18"/>
          <w:szCs w:val="18"/>
        </w:rPr>
        <w:t>(</w:t>
      </w:r>
      <w:r w:rsidRPr="007C41EA">
        <w:rPr>
          <w:sz w:val="18"/>
          <w:szCs w:val="18"/>
        </w:rPr>
        <w:t>1962</w:t>
      </w:r>
      <w:r w:rsidR="007C41EA">
        <w:rPr>
          <w:sz w:val="18"/>
          <w:szCs w:val="18"/>
        </w:rPr>
        <w:t>)</w:t>
      </w:r>
      <w:r w:rsidRPr="007C41EA">
        <w:rPr>
          <w:sz w:val="18"/>
          <w:szCs w:val="18"/>
        </w:rPr>
        <w:t>, pp. 51-2</w:t>
      </w:r>
    </w:p>
  </w:footnote>
  <w:footnote w:id="27">
    <w:p w14:paraId="75528AC6" w14:textId="12728867" w:rsidR="007C41EA" w:rsidRPr="007C41EA" w:rsidRDefault="007C41EA">
      <w:pPr>
        <w:pStyle w:val="FootnoteText"/>
        <w:rPr>
          <w:sz w:val="18"/>
          <w:szCs w:val="18"/>
        </w:rPr>
      </w:pPr>
      <w:r w:rsidRPr="007C41EA">
        <w:rPr>
          <w:rStyle w:val="FootnoteReference"/>
          <w:sz w:val="18"/>
          <w:szCs w:val="18"/>
        </w:rPr>
        <w:footnoteRef/>
      </w:r>
      <w:r w:rsidRPr="007C41EA">
        <w:rPr>
          <w:sz w:val="18"/>
          <w:szCs w:val="18"/>
        </w:rPr>
        <w:t xml:space="preserve"> Roochnik. (2004)</w:t>
      </w:r>
    </w:p>
  </w:footnote>
  <w:footnote w:id="28">
    <w:p w14:paraId="35A636A6" w14:textId="23F7F41C" w:rsidR="00D830BF" w:rsidRDefault="00D830BF">
      <w:pPr>
        <w:pStyle w:val="FootnoteText"/>
      </w:pPr>
      <w:r>
        <w:rPr>
          <w:rStyle w:val="FootnoteReference"/>
        </w:rPr>
        <w:footnoteRef/>
      </w:r>
      <w:r>
        <w:t xml:space="preserve"> </w:t>
      </w:r>
      <w:r w:rsidRPr="00BC1990">
        <w:rPr>
          <w:sz w:val="18"/>
          <w:szCs w:val="18"/>
        </w:rPr>
        <w:t xml:space="preserve">Fr36, </w:t>
      </w:r>
      <w:r w:rsidR="00BC1990" w:rsidRPr="00BC1990">
        <w:rPr>
          <w:sz w:val="18"/>
          <w:szCs w:val="18"/>
        </w:rPr>
        <w:t>Fr</w:t>
      </w:r>
      <w:r w:rsidRPr="00BC1990">
        <w:rPr>
          <w:sz w:val="18"/>
          <w:szCs w:val="18"/>
        </w:rPr>
        <w:t>45,</w:t>
      </w:r>
      <w:r w:rsidR="00BC1990" w:rsidRPr="00BC1990">
        <w:rPr>
          <w:sz w:val="18"/>
          <w:szCs w:val="18"/>
        </w:rPr>
        <w:t xml:space="preserve"> Fr</w:t>
      </w:r>
      <w:r w:rsidRPr="00BC1990">
        <w:rPr>
          <w:sz w:val="18"/>
          <w:szCs w:val="18"/>
        </w:rPr>
        <w:t>115</w:t>
      </w:r>
      <w:r w:rsidR="00BC1990" w:rsidRPr="00BC1990">
        <w:rPr>
          <w:sz w:val="18"/>
          <w:szCs w:val="18"/>
        </w:rPr>
        <w:t>. Trans. Robinson</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EE45B2"/>
    <w:multiLevelType w:val="multilevel"/>
    <w:tmpl w:val="EA427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EC114E3"/>
    <w:multiLevelType w:val="multilevel"/>
    <w:tmpl w:val="E20EB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151491"/>
    <w:multiLevelType w:val="multilevel"/>
    <w:tmpl w:val="68F26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0861"/>
    <w:rsid w:val="000268DA"/>
    <w:rsid w:val="00031386"/>
    <w:rsid w:val="00032E89"/>
    <w:rsid w:val="000377B8"/>
    <w:rsid w:val="00045779"/>
    <w:rsid w:val="00056663"/>
    <w:rsid w:val="000928FD"/>
    <w:rsid w:val="00093C74"/>
    <w:rsid w:val="000A0162"/>
    <w:rsid w:val="000A11EC"/>
    <w:rsid w:val="000A189F"/>
    <w:rsid w:val="000A5FD2"/>
    <w:rsid w:val="000A7E71"/>
    <w:rsid w:val="000B05FC"/>
    <w:rsid w:val="000B093D"/>
    <w:rsid w:val="000B39B6"/>
    <w:rsid w:val="000B4ACF"/>
    <w:rsid w:val="000B4F31"/>
    <w:rsid w:val="000B646B"/>
    <w:rsid w:val="000E0670"/>
    <w:rsid w:val="000E06C4"/>
    <w:rsid w:val="00102D91"/>
    <w:rsid w:val="0010572E"/>
    <w:rsid w:val="00111ADC"/>
    <w:rsid w:val="00115556"/>
    <w:rsid w:val="00121307"/>
    <w:rsid w:val="00131CAB"/>
    <w:rsid w:val="00140769"/>
    <w:rsid w:val="00142EDF"/>
    <w:rsid w:val="00145B80"/>
    <w:rsid w:val="00151F63"/>
    <w:rsid w:val="001615B0"/>
    <w:rsid w:val="00161C59"/>
    <w:rsid w:val="00164670"/>
    <w:rsid w:val="00173B71"/>
    <w:rsid w:val="00174DD0"/>
    <w:rsid w:val="00175CBF"/>
    <w:rsid w:val="001802A8"/>
    <w:rsid w:val="00181048"/>
    <w:rsid w:val="00182800"/>
    <w:rsid w:val="001834F4"/>
    <w:rsid w:val="0019165C"/>
    <w:rsid w:val="00191B3C"/>
    <w:rsid w:val="001935A2"/>
    <w:rsid w:val="00197D40"/>
    <w:rsid w:val="001B387A"/>
    <w:rsid w:val="001C0346"/>
    <w:rsid w:val="001C0936"/>
    <w:rsid w:val="001D23D7"/>
    <w:rsid w:val="001D2A61"/>
    <w:rsid w:val="001D53AD"/>
    <w:rsid w:val="001D6C64"/>
    <w:rsid w:val="001F0421"/>
    <w:rsid w:val="001F2BE5"/>
    <w:rsid w:val="001F7478"/>
    <w:rsid w:val="00201EB7"/>
    <w:rsid w:val="00214B10"/>
    <w:rsid w:val="00217C43"/>
    <w:rsid w:val="002415DC"/>
    <w:rsid w:val="002450B6"/>
    <w:rsid w:val="002651E2"/>
    <w:rsid w:val="00266768"/>
    <w:rsid w:val="00266A80"/>
    <w:rsid w:val="0027499A"/>
    <w:rsid w:val="00274C23"/>
    <w:rsid w:val="00280F8E"/>
    <w:rsid w:val="002874EA"/>
    <w:rsid w:val="002929A9"/>
    <w:rsid w:val="002B04E2"/>
    <w:rsid w:val="002B2E43"/>
    <w:rsid w:val="002B5DCD"/>
    <w:rsid w:val="002B6298"/>
    <w:rsid w:val="002C1F8C"/>
    <w:rsid w:val="002C23EF"/>
    <w:rsid w:val="002C626C"/>
    <w:rsid w:val="002E3C51"/>
    <w:rsid w:val="002E51F0"/>
    <w:rsid w:val="002F7199"/>
    <w:rsid w:val="002F7C4E"/>
    <w:rsid w:val="00302093"/>
    <w:rsid w:val="0030316D"/>
    <w:rsid w:val="00310474"/>
    <w:rsid w:val="00322912"/>
    <w:rsid w:val="00332494"/>
    <w:rsid w:val="003362DE"/>
    <w:rsid w:val="00345B42"/>
    <w:rsid w:val="00351213"/>
    <w:rsid w:val="00352982"/>
    <w:rsid w:val="00352B7B"/>
    <w:rsid w:val="0035359B"/>
    <w:rsid w:val="00367667"/>
    <w:rsid w:val="00376C59"/>
    <w:rsid w:val="00377364"/>
    <w:rsid w:val="00381282"/>
    <w:rsid w:val="003826B2"/>
    <w:rsid w:val="003833BE"/>
    <w:rsid w:val="00391150"/>
    <w:rsid w:val="00392869"/>
    <w:rsid w:val="003A5574"/>
    <w:rsid w:val="003A6A67"/>
    <w:rsid w:val="003C1CB0"/>
    <w:rsid w:val="003C6E60"/>
    <w:rsid w:val="003D1F40"/>
    <w:rsid w:val="003E325B"/>
    <w:rsid w:val="003E46F1"/>
    <w:rsid w:val="003E4830"/>
    <w:rsid w:val="00403050"/>
    <w:rsid w:val="0040318D"/>
    <w:rsid w:val="00411CDD"/>
    <w:rsid w:val="00413ABB"/>
    <w:rsid w:val="00431CB1"/>
    <w:rsid w:val="004354E9"/>
    <w:rsid w:val="00441D59"/>
    <w:rsid w:val="00444E98"/>
    <w:rsid w:val="00452404"/>
    <w:rsid w:val="00463A86"/>
    <w:rsid w:val="0046516A"/>
    <w:rsid w:val="00466F02"/>
    <w:rsid w:val="00481EAF"/>
    <w:rsid w:val="00493BA6"/>
    <w:rsid w:val="004A5CFF"/>
    <w:rsid w:val="004B16DA"/>
    <w:rsid w:val="004B1D1D"/>
    <w:rsid w:val="004B20E9"/>
    <w:rsid w:val="004B3F8E"/>
    <w:rsid w:val="004B6B3F"/>
    <w:rsid w:val="004C5F95"/>
    <w:rsid w:val="004E166A"/>
    <w:rsid w:val="004E29E9"/>
    <w:rsid w:val="004E3087"/>
    <w:rsid w:val="004F1871"/>
    <w:rsid w:val="00501A5E"/>
    <w:rsid w:val="00515068"/>
    <w:rsid w:val="00516057"/>
    <w:rsid w:val="00520BD9"/>
    <w:rsid w:val="0052589B"/>
    <w:rsid w:val="0054063A"/>
    <w:rsid w:val="00544486"/>
    <w:rsid w:val="00544F22"/>
    <w:rsid w:val="00546CAC"/>
    <w:rsid w:val="00551267"/>
    <w:rsid w:val="00551420"/>
    <w:rsid w:val="00553BA9"/>
    <w:rsid w:val="0056015E"/>
    <w:rsid w:val="005632A0"/>
    <w:rsid w:val="005703F5"/>
    <w:rsid w:val="00583AC5"/>
    <w:rsid w:val="005977EB"/>
    <w:rsid w:val="005A40BE"/>
    <w:rsid w:val="005C7E44"/>
    <w:rsid w:val="005E00EF"/>
    <w:rsid w:val="005E138D"/>
    <w:rsid w:val="005E7E87"/>
    <w:rsid w:val="005F4D51"/>
    <w:rsid w:val="005F4F82"/>
    <w:rsid w:val="005F7548"/>
    <w:rsid w:val="005F7B53"/>
    <w:rsid w:val="00620956"/>
    <w:rsid w:val="00621483"/>
    <w:rsid w:val="006337F1"/>
    <w:rsid w:val="0063732B"/>
    <w:rsid w:val="00653B9E"/>
    <w:rsid w:val="00662BC5"/>
    <w:rsid w:val="00671D22"/>
    <w:rsid w:val="0067536B"/>
    <w:rsid w:val="00675A13"/>
    <w:rsid w:val="006842AA"/>
    <w:rsid w:val="00684DA8"/>
    <w:rsid w:val="0068528F"/>
    <w:rsid w:val="006900E8"/>
    <w:rsid w:val="006906C2"/>
    <w:rsid w:val="00691FC4"/>
    <w:rsid w:val="006A48B1"/>
    <w:rsid w:val="006B0CFC"/>
    <w:rsid w:val="006B7EE3"/>
    <w:rsid w:val="006C1D94"/>
    <w:rsid w:val="006C3A66"/>
    <w:rsid w:val="006C627F"/>
    <w:rsid w:val="006D0861"/>
    <w:rsid w:val="006E49E6"/>
    <w:rsid w:val="006E700C"/>
    <w:rsid w:val="006F5D93"/>
    <w:rsid w:val="006F694E"/>
    <w:rsid w:val="00700E8D"/>
    <w:rsid w:val="007035AD"/>
    <w:rsid w:val="00704DE3"/>
    <w:rsid w:val="00707FA3"/>
    <w:rsid w:val="007103BF"/>
    <w:rsid w:val="0071536A"/>
    <w:rsid w:val="007241C7"/>
    <w:rsid w:val="00740BB4"/>
    <w:rsid w:val="007418BC"/>
    <w:rsid w:val="00742E9D"/>
    <w:rsid w:val="00743CA1"/>
    <w:rsid w:val="00753182"/>
    <w:rsid w:val="00754186"/>
    <w:rsid w:val="007552F9"/>
    <w:rsid w:val="007636D2"/>
    <w:rsid w:val="00771685"/>
    <w:rsid w:val="00771AF8"/>
    <w:rsid w:val="007769E2"/>
    <w:rsid w:val="00781B0C"/>
    <w:rsid w:val="00786840"/>
    <w:rsid w:val="00786C67"/>
    <w:rsid w:val="007908BA"/>
    <w:rsid w:val="007920AF"/>
    <w:rsid w:val="00796C7E"/>
    <w:rsid w:val="007A2602"/>
    <w:rsid w:val="007A3899"/>
    <w:rsid w:val="007B6F95"/>
    <w:rsid w:val="007C41EA"/>
    <w:rsid w:val="007D5C65"/>
    <w:rsid w:val="007E28DD"/>
    <w:rsid w:val="007E56E8"/>
    <w:rsid w:val="007E7CF0"/>
    <w:rsid w:val="007F0670"/>
    <w:rsid w:val="00803D24"/>
    <w:rsid w:val="0080424E"/>
    <w:rsid w:val="008104A2"/>
    <w:rsid w:val="008108D0"/>
    <w:rsid w:val="008142B0"/>
    <w:rsid w:val="00814CC7"/>
    <w:rsid w:val="00817D76"/>
    <w:rsid w:val="00821386"/>
    <w:rsid w:val="0082142C"/>
    <w:rsid w:val="00825E0B"/>
    <w:rsid w:val="008416DA"/>
    <w:rsid w:val="00844339"/>
    <w:rsid w:val="00847D18"/>
    <w:rsid w:val="008557B6"/>
    <w:rsid w:val="00861DC8"/>
    <w:rsid w:val="00863E1F"/>
    <w:rsid w:val="00871B7B"/>
    <w:rsid w:val="008850A9"/>
    <w:rsid w:val="00885120"/>
    <w:rsid w:val="0088658E"/>
    <w:rsid w:val="008871C6"/>
    <w:rsid w:val="00895E84"/>
    <w:rsid w:val="00896E1C"/>
    <w:rsid w:val="00897FD8"/>
    <w:rsid w:val="008A102A"/>
    <w:rsid w:val="008C5FC9"/>
    <w:rsid w:val="008D4099"/>
    <w:rsid w:val="008D448B"/>
    <w:rsid w:val="008D7A02"/>
    <w:rsid w:val="008E2106"/>
    <w:rsid w:val="008E5763"/>
    <w:rsid w:val="008F385D"/>
    <w:rsid w:val="00903BDB"/>
    <w:rsid w:val="00904B5D"/>
    <w:rsid w:val="00907E0F"/>
    <w:rsid w:val="00925152"/>
    <w:rsid w:val="009421C0"/>
    <w:rsid w:val="009460C2"/>
    <w:rsid w:val="009550A8"/>
    <w:rsid w:val="00956800"/>
    <w:rsid w:val="00963872"/>
    <w:rsid w:val="009729C8"/>
    <w:rsid w:val="009779B5"/>
    <w:rsid w:val="0098263C"/>
    <w:rsid w:val="00983BA9"/>
    <w:rsid w:val="00983F1F"/>
    <w:rsid w:val="00993C49"/>
    <w:rsid w:val="009A1E32"/>
    <w:rsid w:val="009B11D5"/>
    <w:rsid w:val="009C7DC8"/>
    <w:rsid w:val="009D29CC"/>
    <w:rsid w:val="009D48BB"/>
    <w:rsid w:val="009F4AD7"/>
    <w:rsid w:val="009F7D1A"/>
    <w:rsid w:val="00A004F7"/>
    <w:rsid w:val="00A03D48"/>
    <w:rsid w:val="00A12412"/>
    <w:rsid w:val="00A134F6"/>
    <w:rsid w:val="00A14F35"/>
    <w:rsid w:val="00A15633"/>
    <w:rsid w:val="00A161F6"/>
    <w:rsid w:val="00A2406F"/>
    <w:rsid w:val="00A33479"/>
    <w:rsid w:val="00A37926"/>
    <w:rsid w:val="00A53F4D"/>
    <w:rsid w:val="00A55836"/>
    <w:rsid w:val="00A6326C"/>
    <w:rsid w:val="00A84C89"/>
    <w:rsid w:val="00A92C59"/>
    <w:rsid w:val="00AA36CA"/>
    <w:rsid w:val="00AB09BA"/>
    <w:rsid w:val="00AB6137"/>
    <w:rsid w:val="00AB7435"/>
    <w:rsid w:val="00AD0CA9"/>
    <w:rsid w:val="00AD218F"/>
    <w:rsid w:val="00AE0524"/>
    <w:rsid w:val="00AE4607"/>
    <w:rsid w:val="00B004A3"/>
    <w:rsid w:val="00B052FA"/>
    <w:rsid w:val="00B16600"/>
    <w:rsid w:val="00B21B33"/>
    <w:rsid w:val="00B23DD0"/>
    <w:rsid w:val="00B27DF5"/>
    <w:rsid w:val="00B34F95"/>
    <w:rsid w:val="00B37771"/>
    <w:rsid w:val="00B4017C"/>
    <w:rsid w:val="00B41A86"/>
    <w:rsid w:val="00B47B65"/>
    <w:rsid w:val="00B54922"/>
    <w:rsid w:val="00B61070"/>
    <w:rsid w:val="00B63DFC"/>
    <w:rsid w:val="00B70641"/>
    <w:rsid w:val="00B747FF"/>
    <w:rsid w:val="00B75414"/>
    <w:rsid w:val="00B95BB8"/>
    <w:rsid w:val="00B95E7F"/>
    <w:rsid w:val="00BA4848"/>
    <w:rsid w:val="00BB42AD"/>
    <w:rsid w:val="00BC1990"/>
    <w:rsid w:val="00BC4C90"/>
    <w:rsid w:val="00BD0088"/>
    <w:rsid w:val="00BE5326"/>
    <w:rsid w:val="00BF0106"/>
    <w:rsid w:val="00C03AFA"/>
    <w:rsid w:val="00C04D93"/>
    <w:rsid w:val="00C22FA1"/>
    <w:rsid w:val="00C324DB"/>
    <w:rsid w:val="00C438BE"/>
    <w:rsid w:val="00C451E5"/>
    <w:rsid w:val="00C515DA"/>
    <w:rsid w:val="00C576BE"/>
    <w:rsid w:val="00C57D62"/>
    <w:rsid w:val="00C605C7"/>
    <w:rsid w:val="00C64D30"/>
    <w:rsid w:val="00C74147"/>
    <w:rsid w:val="00C768A6"/>
    <w:rsid w:val="00C771FE"/>
    <w:rsid w:val="00C863EC"/>
    <w:rsid w:val="00C869C7"/>
    <w:rsid w:val="00C93159"/>
    <w:rsid w:val="00CA2430"/>
    <w:rsid w:val="00CA3774"/>
    <w:rsid w:val="00CA3E2E"/>
    <w:rsid w:val="00CB4AB8"/>
    <w:rsid w:val="00CC2864"/>
    <w:rsid w:val="00CC6294"/>
    <w:rsid w:val="00CE0290"/>
    <w:rsid w:val="00CF461C"/>
    <w:rsid w:val="00D018BB"/>
    <w:rsid w:val="00D0754B"/>
    <w:rsid w:val="00D10A06"/>
    <w:rsid w:val="00D25E6F"/>
    <w:rsid w:val="00D42C25"/>
    <w:rsid w:val="00D4432B"/>
    <w:rsid w:val="00D44639"/>
    <w:rsid w:val="00D5627D"/>
    <w:rsid w:val="00D56865"/>
    <w:rsid w:val="00D72004"/>
    <w:rsid w:val="00D830BF"/>
    <w:rsid w:val="00D837A4"/>
    <w:rsid w:val="00D8580F"/>
    <w:rsid w:val="00D958BF"/>
    <w:rsid w:val="00DA43C1"/>
    <w:rsid w:val="00DB67CD"/>
    <w:rsid w:val="00DC617E"/>
    <w:rsid w:val="00DC7946"/>
    <w:rsid w:val="00DD4E5D"/>
    <w:rsid w:val="00DD6D6A"/>
    <w:rsid w:val="00DE1EDB"/>
    <w:rsid w:val="00DE71B6"/>
    <w:rsid w:val="00DE7DF0"/>
    <w:rsid w:val="00DF0269"/>
    <w:rsid w:val="00DF27A2"/>
    <w:rsid w:val="00DF69CB"/>
    <w:rsid w:val="00E02D7E"/>
    <w:rsid w:val="00E0463B"/>
    <w:rsid w:val="00E24D90"/>
    <w:rsid w:val="00E3166F"/>
    <w:rsid w:val="00E35C23"/>
    <w:rsid w:val="00E46811"/>
    <w:rsid w:val="00E478BD"/>
    <w:rsid w:val="00E50AF0"/>
    <w:rsid w:val="00E5163D"/>
    <w:rsid w:val="00E569B7"/>
    <w:rsid w:val="00E63C21"/>
    <w:rsid w:val="00E71443"/>
    <w:rsid w:val="00E8097E"/>
    <w:rsid w:val="00E824AC"/>
    <w:rsid w:val="00E94F87"/>
    <w:rsid w:val="00EA104B"/>
    <w:rsid w:val="00EA2B24"/>
    <w:rsid w:val="00EA6036"/>
    <w:rsid w:val="00EA78B1"/>
    <w:rsid w:val="00EB2766"/>
    <w:rsid w:val="00EC0D4A"/>
    <w:rsid w:val="00EC5962"/>
    <w:rsid w:val="00EC758A"/>
    <w:rsid w:val="00ED74BB"/>
    <w:rsid w:val="00F020A0"/>
    <w:rsid w:val="00F025DE"/>
    <w:rsid w:val="00F047C5"/>
    <w:rsid w:val="00F13055"/>
    <w:rsid w:val="00F235E2"/>
    <w:rsid w:val="00F2456B"/>
    <w:rsid w:val="00F25F5B"/>
    <w:rsid w:val="00F27EFA"/>
    <w:rsid w:val="00F35516"/>
    <w:rsid w:val="00F3615F"/>
    <w:rsid w:val="00F431EC"/>
    <w:rsid w:val="00F4532C"/>
    <w:rsid w:val="00F45545"/>
    <w:rsid w:val="00F53FA4"/>
    <w:rsid w:val="00F561EB"/>
    <w:rsid w:val="00F568DA"/>
    <w:rsid w:val="00F63E6A"/>
    <w:rsid w:val="00F80124"/>
    <w:rsid w:val="00F90A99"/>
    <w:rsid w:val="00FA6E89"/>
    <w:rsid w:val="00FB7539"/>
    <w:rsid w:val="00FB776E"/>
    <w:rsid w:val="00FC1454"/>
    <w:rsid w:val="00FC4B02"/>
    <w:rsid w:val="00FC5347"/>
    <w:rsid w:val="00FD1FB3"/>
    <w:rsid w:val="00FD2FDF"/>
    <w:rsid w:val="00FD7EB6"/>
    <w:rsid w:val="00FE6390"/>
    <w:rsid w:val="00FF59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35A8B"/>
  <w15:chartTrackingRefBased/>
  <w15:docId w15:val="{75142849-5A23-174B-A207-DF78A841DD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596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qFormat/>
    <w:rsid w:val="00EC5962"/>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10572E"/>
    <w:rPr>
      <w:sz w:val="24"/>
      <w:szCs w:val="24"/>
    </w:rPr>
  </w:style>
  <w:style w:type="character" w:customStyle="1" w:styleId="FootnoteTextChar">
    <w:name w:val="Footnote Text Char"/>
    <w:basedOn w:val="DefaultParagraphFont"/>
    <w:link w:val="FootnoteText"/>
    <w:uiPriority w:val="99"/>
    <w:rsid w:val="0010572E"/>
    <w:rPr>
      <w:sz w:val="24"/>
      <w:szCs w:val="24"/>
    </w:rPr>
  </w:style>
  <w:style w:type="character" w:styleId="FootnoteReference">
    <w:name w:val="footnote reference"/>
    <w:basedOn w:val="DefaultParagraphFont"/>
    <w:uiPriority w:val="99"/>
    <w:unhideWhenUsed/>
    <w:rsid w:val="0010572E"/>
    <w:rPr>
      <w:vertAlign w:val="superscript"/>
    </w:rPr>
  </w:style>
  <w:style w:type="character" w:styleId="Hyperlink">
    <w:name w:val="Hyperlink"/>
    <w:basedOn w:val="DefaultParagraphFont"/>
    <w:uiPriority w:val="99"/>
    <w:unhideWhenUsed/>
    <w:rsid w:val="005F7548"/>
    <w:rPr>
      <w:color w:val="0563C1" w:themeColor="hyperlink"/>
      <w:u w:val="single"/>
    </w:rPr>
  </w:style>
  <w:style w:type="character" w:styleId="FollowedHyperlink">
    <w:name w:val="FollowedHyperlink"/>
    <w:basedOn w:val="DefaultParagraphFont"/>
    <w:uiPriority w:val="99"/>
    <w:semiHidden/>
    <w:unhideWhenUsed/>
    <w:rsid w:val="00140769"/>
    <w:rPr>
      <w:color w:val="954F72" w:themeColor="followedHyperlink"/>
      <w:u w:val="single"/>
    </w:rPr>
  </w:style>
  <w:style w:type="character" w:customStyle="1" w:styleId="Heading3Char">
    <w:name w:val="Heading 3 Char"/>
    <w:basedOn w:val="DefaultParagraphFont"/>
    <w:link w:val="Heading3"/>
    <w:rsid w:val="00EC5962"/>
    <w:rPr>
      <w:rFonts w:ascii="Tahoma" w:eastAsia="SimSun" w:hAnsi="Tahoma" w:cs="Tahoma"/>
      <w:b/>
      <w:bCs/>
      <w:sz w:val="20"/>
      <w:szCs w:val="20"/>
      <w:lang w:eastAsia="zh-CN"/>
    </w:rPr>
  </w:style>
  <w:style w:type="paragraph" w:styleId="NormalWeb">
    <w:name w:val="Normal (Web)"/>
    <w:basedOn w:val="Normal"/>
    <w:uiPriority w:val="99"/>
    <w:rsid w:val="00EC5962"/>
    <w:pPr>
      <w:spacing w:before="100" w:beforeAutospacing="1" w:after="100" w:afterAutospacing="1"/>
    </w:pPr>
    <w:rPr>
      <w:rFonts w:ascii="Georgia" w:eastAsia="SimSun" w:hAnsi="Georgia" w:cs="Times New Roman"/>
      <w:color w:val="000000"/>
      <w:sz w:val="21"/>
      <w:szCs w:val="21"/>
      <w:lang w:eastAsia="zh-CN"/>
    </w:rPr>
  </w:style>
  <w:style w:type="character" w:customStyle="1" w:styleId="Heading1Char">
    <w:name w:val="Heading 1 Char"/>
    <w:basedOn w:val="DefaultParagraphFont"/>
    <w:link w:val="Heading1"/>
    <w:uiPriority w:val="9"/>
    <w:rsid w:val="00EC5962"/>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D837A4"/>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837A4"/>
    <w:rPr>
      <w:rFonts w:ascii="Times New Roman" w:hAnsi="Times New Roman" w:cs="Times New Roman"/>
      <w:sz w:val="18"/>
      <w:szCs w:val="18"/>
    </w:rPr>
  </w:style>
  <w:style w:type="character" w:styleId="UnresolvedMention">
    <w:name w:val="Unresolved Mention"/>
    <w:basedOn w:val="DefaultParagraphFont"/>
    <w:uiPriority w:val="99"/>
    <w:rsid w:val="007552F9"/>
    <w:rPr>
      <w:color w:val="605E5C"/>
      <w:shd w:val="clear" w:color="auto" w:fill="E1DFDD"/>
    </w:rPr>
  </w:style>
  <w:style w:type="character" w:customStyle="1" w:styleId="apple-converted-space">
    <w:name w:val="apple-converted-space"/>
    <w:basedOn w:val="DefaultParagraphFont"/>
    <w:rsid w:val="007552F9"/>
  </w:style>
  <w:style w:type="character" w:styleId="Emphasis">
    <w:name w:val="Emphasis"/>
    <w:basedOn w:val="DefaultParagraphFont"/>
    <w:uiPriority w:val="20"/>
    <w:qFormat/>
    <w:rsid w:val="007552F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802620">
      <w:bodyDiv w:val="1"/>
      <w:marLeft w:val="0"/>
      <w:marRight w:val="0"/>
      <w:marTop w:val="0"/>
      <w:marBottom w:val="0"/>
      <w:divBdr>
        <w:top w:val="none" w:sz="0" w:space="0" w:color="auto"/>
        <w:left w:val="none" w:sz="0" w:space="0" w:color="auto"/>
        <w:bottom w:val="none" w:sz="0" w:space="0" w:color="auto"/>
        <w:right w:val="none" w:sz="0" w:space="0" w:color="auto"/>
      </w:divBdr>
    </w:div>
    <w:div w:id="393554850">
      <w:bodyDiv w:val="1"/>
      <w:marLeft w:val="0"/>
      <w:marRight w:val="0"/>
      <w:marTop w:val="0"/>
      <w:marBottom w:val="0"/>
      <w:divBdr>
        <w:top w:val="none" w:sz="0" w:space="0" w:color="auto"/>
        <w:left w:val="none" w:sz="0" w:space="0" w:color="auto"/>
        <w:bottom w:val="none" w:sz="0" w:space="0" w:color="auto"/>
        <w:right w:val="none" w:sz="0" w:space="0" w:color="auto"/>
      </w:divBdr>
    </w:div>
    <w:div w:id="531960033">
      <w:bodyDiv w:val="1"/>
      <w:marLeft w:val="0"/>
      <w:marRight w:val="0"/>
      <w:marTop w:val="0"/>
      <w:marBottom w:val="0"/>
      <w:divBdr>
        <w:top w:val="none" w:sz="0" w:space="0" w:color="auto"/>
        <w:left w:val="none" w:sz="0" w:space="0" w:color="auto"/>
        <w:bottom w:val="none" w:sz="0" w:space="0" w:color="auto"/>
        <w:right w:val="none" w:sz="0" w:space="0" w:color="auto"/>
      </w:divBdr>
    </w:div>
    <w:div w:id="694427058">
      <w:bodyDiv w:val="1"/>
      <w:marLeft w:val="0"/>
      <w:marRight w:val="0"/>
      <w:marTop w:val="0"/>
      <w:marBottom w:val="0"/>
      <w:divBdr>
        <w:top w:val="none" w:sz="0" w:space="0" w:color="auto"/>
        <w:left w:val="none" w:sz="0" w:space="0" w:color="auto"/>
        <w:bottom w:val="none" w:sz="0" w:space="0" w:color="auto"/>
        <w:right w:val="none" w:sz="0" w:space="0" w:color="auto"/>
      </w:divBdr>
    </w:div>
    <w:div w:id="779953218">
      <w:bodyDiv w:val="1"/>
      <w:marLeft w:val="0"/>
      <w:marRight w:val="0"/>
      <w:marTop w:val="0"/>
      <w:marBottom w:val="0"/>
      <w:divBdr>
        <w:top w:val="none" w:sz="0" w:space="0" w:color="auto"/>
        <w:left w:val="none" w:sz="0" w:space="0" w:color="auto"/>
        <w:bottom w:val="none" w:sz="0" w:space="0" w:color="auto"/>
        <w:right w:val="none" w:sz="0" w:space="0" w:color="auto"/>
      </w:divBdr>
    </w:div>
    <w:div w:id="817234638">
      <w:bodyDiv w:val="1"/>
      <w:marLeft w:val="0"/>
      <w:marRight w:val="0"/>
      <w:marTop w:val="0"/>
      <w:marBottom w:val="0"/>
      <w:divBdr>
        <w:top w:val="none" w:sz="0" w:space="0" w:color="auto"/>
        <w:left w:val="none" w:sz="0" w:space="0" w:color="auto"/>
        <w:bottom w:val="none" w:sz="0" w:space="0" w:color="auto"/>
        <w:right w:val="none" w:sz="0" w:space="0" w:color="auto"/>
      </w:divBdr>
      <w:divsChild>
        <w:div w:id="363135958">
          <w:marLeft w:val="0"/>
          <w:marRight w:val="0"/>
          <w:marTop w:val="0"/>
          <w:marBottom w:val="0"/>
          <w:divBdr>
            <w:top w:val="none" w:sz="0" w:space="0" w:color="auto"/>
            <w:left w:val="none" w:sz="0" w:space="0" w:color="auto"/>
            <w:bottom w:val="none" w:sz="0" w:space="0" w:color="auto"/>
            <w:right w:val="none" w:sz="0" w:space="0" w:color="auto"/>
          </w:divBdr>
          <w:divsChild>
            <w:div w:id="546914669">
              <w:marLeft w:val="0"/>
              <w:marRight w:val="0"/>
              <w:marTop w:val="0"/>
              <w:marBottom w:val="0"/>
              <w:divBdr>
                <w:top w:val="none" w:sz="0" w:space="0" w:color="auto"/>
                <w:left w:val="none" w:sz="0" w:space="0" w:color="auto"/>
                <w:bottom w:val="none" w:sz="0" w:space="0" w:color="auto"/>
                <w:right w:val="none" w:sz="0" w:space="0" w:color="auto"/>
              </w:divBdr>
              <w:divsChild>
                <w:div w:id="78451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5486247">
      <w:bodyDiv w:val="1"/>
      <w:marLeft w:val="0"/>
      <w:marRight w:val="0"/>
      <w:marTop w:val="0"/>
      <w:marBottom w:val="0"/>
      <w:divBdr>
        <w:top w:val="none" w:sz="0" w:space="0" w:color="auto"/>
        <w:left w:val="none" w:sz="0" w:space="0" w:color="auto"/>
        <w:bottom w:val="none" w:sz="0" w:space="0" w:color="auto"/>
        <w:right w:val="none" w:sz="0" w:space="0" w:color="auto"/>
      </w:divBdr>
    </w:div>
    <w:div w:id="1567957750">
      <w:bodyDiv w:val="1"/>
      <w:marLeft w:val="0"/>
      <w:marRight w:val="0"/>
      <w:marTop w:val="0"/>
      <w:marBottom w:val="0"/>
      <w:divBdr>
        <w:top w:val="none" w:sz="0" w:space="0" w:color="auto"/>
        <w:left w:val="none" w:sz="0" w:space="0" w:color="auto"/>
        <w:bottom w:val="none" w:sz="0" w:space="0" w:color="auto"/>
        <w:right w:val="none" w:sz="0" w:space="0" w:color="auto"/>
      </w:divBdr>
      <w:divsChild>
        <w:div w:id="366880279">
          <w:marLeft w:val="0"/>
          <w:marRight w:val="0"/>
          <w:marTop w:val="0"/>
          <w:marBottom w:val="0"/>
          <w:divBdr>
            <w:top w:val="none" w:sz="0" w:space="0" w:color="auto"/>
            <w:left w:val="none" w:sz="0" w:space="0" w:color="auto"/>
            <w:bottom w:val="none" w:sz="0" w:space="0" w:color="auto"/>
            <w:right w:val="none" w:sz="0" w:space="0" w:color="auto"/>
          </w:divBdr>
          <w:divsChild>
            <w:div w:id="586496134">
              <w:marLeft w:val="0"/>
              <w:marRight w:val="0"/>
              <w:marTop w:val="0"/>
              <w:marBottom w:val="0"/>
              <w:divBdr>
                <w:top w:val="none" w:sz="0" w:space="0" w:color="auto"/>
                <w:left w:val="none" w:sz="0" w:space="0" w:color="auto"/>
                <w:bottom w:val="none" w:sz="0" w:space="0" w:color="auto"/>
                <w:right w:val="none" w:sz="0" w:space="0" w:color="auto"/>
              </w:divBdr>
              <w:divsChild>
                <w:div w:id="1361665145">
                  <w:marLeft w:val="0"/>
                  <w:marRight w:val="0"/>
                  <w:marTop w:val="0"/>
                  <w:marBottom w:val="0"/>
                  <w:divBdr>
                    <w:top w:val="none" w:sz="0" w:space="0" w:color="auto"/>
                    <w:left w:val="none" w:sz="0" w:space="0" w:color="auto"/>
                    <w:bottom w:val="none" w:sz="0" w:space="0" w:color="auto"/>
                    <w:right w:val="none" w:sz="0" w:space="0" w:color="auto"/>
                  </w:divBdr>
                  <w:divsChild>
                    <w:div w:id="1560095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5840/monist199174436"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lato.stanford.edu/archives/fall2019/entries/heraclitus/" TargetMode="External"/><Relationship Id="rId5" Type="http://schemas.openxmlformats.org/officeDocument/2006/relationships/webSettings" Target="webSettings.xml"/><Relationship Id="rId10" Type="http://schemas.openxmlformats.org/officeDocument/2006/relationships/hyperlink" Target="http://www.jstor.org/stable/27903261"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www.iep.utm.ed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b:Source>
    <b:Tag>Placeholder1</b:Tag>
    <b:SourceType>Book</b:SourceType>
    <b:Guid>{29C87681-F0DB-6B42-853E-F515F8A34889}</b:Guid>
    <b:RefOrder>1</b:RefOrder>
  </b:Source>
</b:Sources>
</file>

<file path=customXml/itemProps1.xml><?xml version="1.0" encoding="utf-8"?>
<ds:datastoreItem xmlns:ds="http://schemas.openxmlformats.org/officeDocument/2006/customXml" ds:itemID="{57AFB54D-F5C3-8C43-9283-BE9D5D00CD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820</TotalTime>
  <Pages>13</Pages>
  <Words>4391</Words>
  <Characters>25031</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Alyson Blamey (1804745)</dc:creator>
  <cp:keywords/>
  <dc:description/>
  <cp:lastModifiedBy>Alyson Blamey</cp:lastModifiedBy>
  <cp:revision>23</cp:revision>
  <cp:lastPrinted>2020-08-28T13:50:00Z</cp:lastPrinted>
  <dcterms:created xsi:type="dcterms:W3CDTF">2020-08-17T12:26:00Z</dcterms:created>
  <dcterms:modified xsi:type="dcterms:W3CDTF">2020-08-31T11:39:00Z</dcterms:modified>
</cp:coreProperties>
</file>