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67CF06" w14:textId="1AF56BC3" w:rsidR="00F56D32" w:rsidRDefault="00060614" w:rsidP="00060614">
      <w:pPr>
        <w:pStyle w:val="NormalWeb"/>
        <w:rPr>
          <w:rFonts w:eastAsia="Symbol"/>
          <w:sz w:val="14"/>
          <w:szCs w:val="14"/>
        </w:rPr>
      </w:pPr>
      <w:r>
        <w:rPr>
          <w:rFonts w:eastAsia="Symbol"/>
          <w:sz w:val="14"/>
          <w:szCs w:val="14"/>
        </w:rPr>
        <w:t xml:space="preserve">    </w:t>
      </w:r>
    </w:p>
    <w:p w14:paraId="3EE0818B" w14:textId="317AAC91" w:rsidR="00F56D32" w:rsidRPr="00F56D32" w:rsidRDefault="00F56D32" w:rsidP="00F56D32">
      <w:pPr>
        <w:pStyle w:val="NormalWeb"/>
        <w:jc w:val="center"/>
        <w:rPr>
          <w:rFonts w:ascii="Calibri" w:eastAsia="Symbol" w:hAnsi="Calibri" w:cs="Calibri"/>
          <w:sz w:val="28"/>
          <w:szCs w:val="28"/>
          <w:u w:val="single"/>
        </w:rPr>
      </w:pPr>
      <w:r w:rsidRPr="00F56D32">
        <w:rPr>
          <w:rFonts w:ascii="Calibri" w:eastAsia="Symbol" w:hAnsi="Calibri" w:cs="Calibri"/>
          <w:sz w:val="28"/>
          <w:szCs w:val="28"/>
          <w:u w:val="single"/>
        </w:rPr>
        <w:t>ACADEMIC ARTICLES</w:t>
      </w:r>
    </w:p>
    <w:p w14:paraId="1BAAE73C" w14:textId="2A7E005C" w:rsidR="00060614" w:rsidRDefault="00060614" w:rsidP="00060614">
      <w:pPr>
        <w:pStyle w:val="NormalWeb"/>
      </w:pPr>
      <w:r>
        <w:rPr>
          <w:rFonts w:ascii="Calibri" w:hAnsi="Calibri" w:cs="Calibri"/>
        </w:rPr>
        <w:t xml:space="preserve">Bloch, A. and Quarmby, K. (2024) ‘Environmental racism, segregation and discrimination: </w:t>
      </w:r>
      <w:r w:rsidRPr="00F56D32">
        <w:rPr>
          <w:rFonts w:ascii="Calibri" w:hAnsi="Calibri" w:cs="Calibri"/>
        </w:rPr>
        <w:t>Gypsy</w:t>
      </w:r>
      <w:r>
        <w:rPr>
          <w:rFonts w:ascii="Calibri" w:hAnsi="Calibri" w:cs="Calibri"/>
        </w:rPr>
        <w:t xml:space="preserve"> and Traveller sites in Great Britain’, </w:t>
      </w:r>
      <w:r>
        <w:rPr>
          <w:rFonts w:ascii="Calibri" w:hAnsi="Calibri" w:cs="Calibri"/>
          <w:i/>
          <w:iCs/>
        </w:rPr>
        <w:t>Critical Social Policy</w:t>
      </w:r>
      <w:r>
        <w:rPr>
          <w:rFonts w:ascii="Calibri" w:hAnsi="Calibri" w:cs="Calibri"/>
        </w:rPr>
        <w:t>. Available at: https://doi.org/10.1177/02610183241229053</w:t>
      </w:r>
    </w:p>
    <w:p w14:paraId="0675A258" w14:textId="77777777" w:rsidR="00060614" w:rsidRDefault="00060614" w:rsidP="00060614">
      <w:pPr>
        <w:pStyle w:val="NormalWeb"/>
      </w:pPr>
      <w:r>
        <w:rPr>
          <w:rFonts w:ascii="Calibri" w:hAnsi="Calibri" w:cs="Calibri"/>
        </w:rPr>
        <w:t>Available here: </w:t>
      </w:r>
      <w:hyperlink r:id="rId5" w:history="1">
        <w:r>
          <w:rPr>
            <w:rStyle w:val="Hyperlink"/>
            <w:rFonts w:ascii="Calibri" w:eastAsiaTheme="majorEastAsia" w:hAnsi="Calibri" w:cs="Calibri"/>
            <w:color w:val="auto"/>
          </w:rPr>
          <w:t>https://librarysearch.uwtsd.ac.uk/permalink/44WHELF_UWTSD/igoone/cdi_crossref_primary_10_1177_02610183241229053</w:t>
        </w:r>
      </w:hyperlink>
    </w:p>
    <w:p w14:paraId="69E1D0A0" w14:textId="77777777" w:rsidR="00060614" w:rsidRDefault="00060614" w:rsidP="00060614">
      <w:pPr>
        <w:pStyle w:val="NormalWeb"/>
        <w:rPr>
          <w:rStyle w:val="Emphasis"/>
          <w:rFonts w:ascii="Calibri" w:eastAsiaTheme="majorEastAsia" w:hAnsi="Calibri" w:cs="Calibri"/>
        </w:rPr>
      </w:pPr>
      <w:r>
        <w:rPr>
          <w:rStyle w:val="Emphasis"/>
          <w:rFonts w:ascii="Calibri" w:eastAsiaTheme="majorEastAsia" w:hAnsi="Calibri" w:cs="Calibri"/>
        </w:rPr>
        <w:t>The article discusses Gypsy and Traveller communities on local authority sites in Great Britain, highlighting issues stemming from the Police, Crime, Sentencing and Courts Act 2022. Many sites are near environmental hazards, posing health risks and leading to isolation. Despite awareness of these issues, local opposition and a homelessness crisis limit their options for safe housing.</w:t>
      </w:r>
    </w:p>
    <w:p w14:paraId="50796EE0" w14:textId="77777777" w:rsidR="00060614" w:rsidRDefault="00060614" w:rsidP="00060614">
      <w:pPr>
        <w:pStyle w:val="NormalWeb"/>
      </w:pPr>
    </w:p>
    <w:p w14:paraId="170D6EFB" w14:textId="77777777" w:rsidR="00060614" w:rsidRDefault="00060614" w:rsidP="00060614">
      <w:pPr>
        <w:pStyle w:val="NormalWeb"/>
      </w:pPr>
      <w:r>
        <w:rPr>
          <w:rFonts w:ascii="Symbol" w:eastAsia="Symbol" w:hAnsi="Symbol" w:cs="Symbol"/>
        </w:rPr>
        <w:t>·</w:t>
      </w:r>
      <w:r>
        <w:rPr>
          <w:rFonts w:eastAsia="Symbol"/>
          <w:sz w:val="14"/>
          <w:szCs w:val="14"/>
        </w:rPr>
        <w:t xml:space="preserve">         </w:t>
      </w:r>
      <w:proofErr w:type="spellStart"/>
      <w:r>
        <w:rPr>
          <w:rFonts w:ascii="Calibri" w:hAnsi="Calibri" w:cs="Calibri"/>
        </w:rPr>
        <w:t>Gmelch</w:t>
      </w:r>
      <w:proofErr w:type="spellEnd"/>
      <w:r>
        <w:rPr>
          <w:rFonts w:ascii="Calibri" w:hAnsi="Calibri" w:cs="Calibri"/>
        </w:rPr>
        <w:t xml:space="preserve">, S.B. and </w:t>
      </w:r>
      <w:proofErr w:type="spellStart"/>
      <w:r>
        <w:rPr>
          <w:rFonts w:ascii="Calibri" w:hAnsi="Calibri" w:cs="Calibri"/>
        </w:rPr>
        <w:t>Gmelch</w:t>
      </w:r>
      <w:proofErr w:type="spellEnd"/>
      <w:r>
        <w:rPr>
          <w:rFonts w:ascii="Calibri" w:hAnsi="Calibri" w:cs="Calibri"/>
        </w:rPr>
        <w:t>, G. (1976) ‘The Emergence of an Ethnic Group: The Irish Tinkers’, </w:t>
      </w:r>
      <w:r>
        <w:rPr>
          <w:rFonts w:ascii="Calibri" w:hAnsi="Calibri" w:cs="Calibri"/>
          <w:i/>
          <w:iCs/>
        </w:rPr>
        <w:t>Anthropological Quarterly</w:t>
      </w:r>
      <w:r>
        <w:rPr>
          <w:rFonts w:ascii="Calibri" w:hAnsi="Calibri" w:cs="Calibri"/>
        </w:rPr>
        <w:t xml:space="preserve">, 49(4), pp. 225–238. Available at: </w:t>
      </w:r>
      <w:hyperlink r:id="rId6" w:history="1">
        <w:r>
          <w:rPr>
            <w:rStyle w:val="Hyperlink"/>
            <w:rFonts w:ascii="Calibri" w:eastAsiaTheme="majorEastAsia" w:hAnsi="Calibri" w:cs="Calibri"/>
            <w:color w:val="auto"/>
          </w:rPr>
          <w:t>https://doi.org/10.2307/3316736</w:t>
        </w:r>
      </w:hyperlink>
    </w:p>
    <w:p w14:paraId="79675963" w14:textId="77777777" w:rsidR="00060614" w:rsidRDefault="00060614" w:rsidP="00060614">
      <w:pPr>
        <w:pStyle w:val="NormalWeb"/>
      </w:pPr>
      <w:r>
        <w:rPr>
          <w:rFonts w:ascii="Calibri" w:hAnsi="Calibri" w:cs="Calibri"/>
        </w:rPr>
        <w:t xml:space="preserve">Available here: </w:t>
      </w:r>
      <w:hyperlink r:id="rId7" w:history="1">
        <w:r>
          <w:rPr>
            <w:rStyle w:val="Hyperlink"/>
            <w:rFonts w:ascii="Calibri" w:eastAsiaTheme="majorEastAsia" w:hAnsi="Calibri" w:cs="Calibri"/>
            <w:color w:val="auto"/>
          </w:rPr>
          <w:t>https://librarysearch.uwtsd.ac.uk/permalink/44WHELF_UWTSD/igoone/cdi_proquest_miscellaneous_60079304</w:t>
        </w:r>
      </w:hyperlink>
    </w:p>
    <w:p w14:paraId="0CDD32BD" w14:textId="77777777" w:rsidR="00060614" w:rsidRDefault="00060614" w:rsidP="00060614">
      <w:pPr>
        <w:pStyle w:val="NormalWeb"/>
      </w:pPr>
      <w:r>
        <w:rPr>
          <w:rStyle w:val="Emphasis"/>
          <w:rFonts w:ascii="Calibri" w:eastAsiaTheme="majorEastAsia" w:hAnsi="Calibri" w:cs="Calibri"/>
        </w:rPr>
        <w:t>This paper discusses the emergence of the "Travelling People," or "Tinkers," from a culturally homogenous Irish population. It highlights how economic and social pressures, such as evictions and unemployment, forced many into a nomadic lifestyle. Initially defined by their itinerant way of life, their ethnic identity as Tinkers solidified through growing isolation and increased intermarriage among themselves.</w:t>
      </w:r>
    </w:p>
    <w:p w14:paraId="1CF0353C" w14:textId="77777777" w:rsidR="00060614" w:rsidRDefault="00060614" w:rsidP="00060614">
      <w:pPr>
        <w:pStyle w:val="NormalWeb"/>
      </w:pPr>
      <w:r>
        <w:rPr>
          <w:rFonts w:ascii="Calibri" w:hAnsi="Calibri" w:cs="Calibri"/>
        </w:rPr>
        <w:t> </w:t>
      </w:r>
    </w:p>
    <w:p w14:paraId="4636F798" w14:textId="77777777" w:rsidR="00060614" w:rsidRDefault="00060614" w:rsidP="00060614">
      <w:pPr>
        <w:pStyle w:val="NormalWeb"/>
      </w:pPr>
      <w:r>
        <w:rPr>
          <w:rFonts w:ascii="Symbol" w:eastAsia="Symbol" w:hAnsi="Symbol" w:cs="Symbol"/>
        </w:rPr>
        <w:t>·</w:t>
      </w:r>
      <w:r>
        <w:rPr>
          <w:rFonts w:eastAsia="Symbol"/>
          <w:sz w:val="14"/>
          <w:szCs w:val="14"/>
        </w:rPr>
        <w:t xml:space="preserve">         </w:t>
      </w:r>
      <w:r>
        <w:rPr>
          <w:rFonts w:ascii="Calibri" w:hAnsi="Calibri" w:cs="Calibri"/>
        </w:rPr>
        <w:t>Lally, S. (2015) ‘Gypsies and Travellers: their history, culture and traditions’, </w:t>
      </w:r>
      <w:r>
        <w:rPr>
          <w:rFonts w:ascii="Calibri" w:hAnsi="Calibri" w:cs="Calibri"/>
          <w:i/>
          <w:iCs/>
        </w:rPr>
        <w:t>Community practitioner : the Journal of the Community Practitioners’ &amp; Health Visitors’ Association</w:t>
      </w:r>
      <w:r>
        <w:rPr>
          <w:rFonts w:ascii="Calibri" w:hAnsi="Calibri" w:cs="Calibri"/>
        </w:rPr>
        <w:t>, 88(1), pp. 30–33.</w:t>
      </w:r>
    </w:p>
    <w:p w14:paraId="45C54FEB" w14:textId="77777777" w:rsidR="00060614" w:rsidRDefault="00060614" w:rsidP="00060614">
      <w:pPr>
        <w:pStyle w:val="NormalWeb"/>
      </w:pPr>
      <w:r>
        <w:rPr>
          <w:rFonts w:ascii="Calibri" w:hAnsi="Calibri" w:cs="Calibri"/>
        </w:rPr>
        <w:t xml:space="preserve">Available here: </w:t>
      </w:r>
      <w:hyperlink r:id="rId8" w:history="1">
        <w:r>
          <w:rPr>
            <w:rStyle w:val="Hyperlink"/>
            <w:rFonts w:ascii="Calibri" w:eastAsiaTheme="majorEastAsia" w:hAnsi="Calibri" w:cs="Calibri"/>
            <w:color w:val="auto"/>
          </w:rPr>
          <w:t>https://librarysearch.uwtsd.ac.uk/permalink/44WHELF_UWTSD/igoone/cdi_proquest_miscellaneous_1711546414</w:t>
        </w:r>
      </w:hyperlink>
    </w:p>
    <w:p w14:paraId="3D97D213" w14:textId="77777777" w:rsidR="00060614" w:rsidRDefault="00060614" w:rsidP="00060614">
      <w:pPr>
        <w:pStyle w:val="NormalWeb"/>
      </w:pPr>
      <w:r>
        <w:rPr>
          <w:rStyle w:val="Emphasis"/>
          <w:rFonts w:ascii="Calibri" w:eastAsiaTheme="majorEastAsia" w:hAnsi="Calibri" w:cs="Calibri"/>
        </w:rPr>
        <w:t xml:space="preserve">Gypsies and Travellers in Britain are diverse groups sharing a nomadic tradition. Recognized as ethnic minorities under the Equality Act 2010, there are an estimated 200,000 to 300,000 in the UK. This paper discusses the cultural issues and efforts by </w:t>
      </w:r>
      <w:r>
        <w:rPr>
          <w:rStyle w:val="Emphasis"/>
          <w:rFonts w:ascii="Calibri" w:eastAsiaTheme="majorEastAsia" w:hAnsi="Calibri" w:cs="Calibri"/>
        </w:rPr>
        <w:lastRenderedPageBreak/>
        <w:t>a health visitor in South Gloucestershire to combat discrimination and ensure appropriate services.</w:t>
      </w:r>
    </w:p>
    <w:p w14:paraId="0462E55E" w14:textId="77777777" w:rsidR="00060614" w:rsidRDefault="00060614" w:rsidP="00060614">
      <w:pPr>
        <w:pStyle w:val="NormalWeb"/>
      </w:pPr>
      <w:r>
        <w:rPr>
          <w:rFonts w:ascii="Calibri" w:hAnsi="Calibri" w:cs="Calibri"/>
        </w:rPr>
        <w:t> </w:t>
      </w:r>
    </w:p>
    <w:p w14:paraId="6105FF0B" w14:textId="77777777" w:rsidR="00060614" w:rsidRDefault="00060614" w:rsidP="00060614">
      <w:pPr>
        <w:pStyle w:val="NormalWeb"/>
      </w:pPr>
      <w:r>
        <w:rPr>
          <w:rFonts w:ascii="Symbol" w:eastAsia="Symbol" w:hAnsi="Symbol" w:cs="Symbol"/>
        </w:rPr>
        <w:t>·</w:t>
      </w:r>
      <w:r>
        <w:rPr>
          <w:rFonts w:eastAsia="Symbol"/>
          <w:sz w:val="14"/>
          <w:szCs w:val="14"/>
        </w:rPr>
        <w:t xml:space="preserve">         </w:t>
      </w:r>
      <w:r>
        <w:rPr>
          <w:rFonts w:ascii="Calibri" w:hAnsi="Calibri" w:cs="Calibri"/>
        </w:rPr>
        <w:t xml:space="preserve">Marsh </w:t>
      </w:r>
      <w:r>
        <w:rPr>
          <w:rStyle w:val="Emphasis"/>
          <w:rFonts w:ascii="Calibri" w:eastAsiaTheme="majorEastAsia" w:hAnsi="Calibri" w:cs="Calibri"/>
        </w:rPr>
        <w:t>et al.</w:t>
      </w:r>
      <w:r>
        <w:rPr>
          <w:rFonts w:ascii="Calibri" w:hAnsi="Calibri" w:cs="Calibri"/>
        </w:rPr>
        <w:t xml:space="preserve"> (2024) </w:t>
      </w:r>
      <w:r>
        <w:rPr>
          <w:rFonts w:ascii="Calibri" w:hAnsi="Calibri" w:cs="Calibri"/>
          <w:i/>
          <w:iCs/>
        </w:rPr>
        <w:t xml:space="preserve">How Romani Gypsy and Traveller people have shaped Britain’s musical heritage. </w:t>
      </w:r>
    </w:p>
    <w:p w14:paraId="3E16362B" w14:textId="77777777" w:rsidR="00060614" w:rsidRDefault="00060614" w:rsidP="00060614">
      <w:pPr>
        <w:pStyle w:val="NormalWeb"/>
      </w:pPr>
      <w:r>
        <w:rPr>
          <w:rFonts w:ascii="Calibri" w:hAnsi="Calibri" w:cs="Calibri"/>
        </w:rPr>
        <w:t>Available at: </w:t>
      </w:r>
      <w:hyperlink r:id="rId9" w:anchor=":~:text=Recordings%20of%20songs%20sung%20by,of%20the%201960s%20and%201970s" w:history="1">
        <w:r>
          <w:rPr>
            <w:rStyle w:val="Hyperlink"/>
            <w:rFonts w:ascii="Calibri" w:eastAsiaTheme="majorEastAsia" w:hAnsi="Calibri" w:cs="Calibri"/>
            <w:color w:val="auto"/>
          </w:rPr>
          <w:t>https://theconversation.com/how-romani-gypsy-and-traveller-people-have-shaped-britains-musical-heritage-232522#:~:text=Recordings%20of%20songs%20sung%20by,of%20the%201960s%20and%201970s</w:t>
        </w:r>
      </w:hyperlink>
      <w:r>
        <w:rPr>
          <w:rFonts w:ascii="Calibri" w:hAnsi="Calibri" w:cs="Calibri"/>
        </w:rPr>
        <w:t> </w:t>
      </w:r>
    </w:p>
    <w:p w14:paraId="7528DC0C" w14:textId="77777777" w:rsidR="00060614" w:rsidRDefault="00060614" w:rsidP="00060614">
      <w:pPr>
        <w:pStyle w:val="NormalWeb"/>
      </w:pPr>
      <w:r>
        <w:rPr>
          <w:rStyle w:val="Emphasis"/>
          <w:rFonts w:ascii="Calibri" w:eastAsiaTheme="majorEastAsia" w:hAnsi="Calibri" w:cs="Calibri"/>
        </w:rPr>
        <w:t>The Conversation is an independent source of news analysis and informed comment written by academic experts working with </w:t>
      </w:r>
      <w:hyperlink r:id="rId10" w:history="1">
        <w:r>
          <w:rPr>
            <w:rStyle w:val="Hyperlink"/>
            <w:rFonts w:ascii="Calibri" w:eastAsiaTheme="majorEastAsia" w:hAnsi="Calibri" w:cs="Calibri"/>
            <w:i/>
            <w:iCs/>
            <w:color w:val="auto"/>
          </w:rPr>
          <w:t xml:space="preserve">professional journalists </w:t>
        </w:r>
      </w:hyperlink>
      <w:r>
        <w:rPr>
          <w:rStyle w:val="Emphasis"/>
          <w:rFonts w:ascii="Calibri" w:eastAsiaTheme="majorEastAsia" w:hAnsi="Calibri" w:cs="Calibri"/>
        </w:rPr>
        <w:t>(Search ‘Irish Travellers’ on this website for several related articles).</w:t>
      </w:r>
    </w:p>
    <w:p w14:paraId="3B8E9CB0" w14:textId="77777777" w:rsidR="00060614" w:rsidRDefault="00060614" w:rsidP="00060614">
      <w:pPr>
        <w:pStyle w:val="NormalWeb"/>
      </w:pPr>
      <w:r>
        <w:rPr>
          <w:rFonts w:ascii="Calibri" w:hAnsi="Calibri" w:cs="Calibri"/>
        </w:rPr>
        <w:t> </w:t>
      </w:r>
    </w:p>
    <w:p w14:paraId="691DEE2B" w14:textId="77777777" w:rsidR="00060614" w:rsidRDefault="00060614" w:rsidP="00060614">
      <w:pPr>
        <w:pStyle w:val="NormalWeb"/>
      </w:pPr>
      <w:r>
        <w:rPr>
          <w:rFonts w:ascii="Symbol" w:eastAsia="Symbol" w:hAnsi="Symbol" w:cs="Symbol"/>
        </w:rPr>
        <w:t>·</w:t>
      </w:r>
      <w:r>
        <w:rPr>
          <w:rFonts w:eastAsia="Symbol"/>
          <w:sz w:val="14"/>
          <w:szCs w:val="14"/>
        </w:rPr>
        <w:t xml:space="preserve">         </w:t>
      </w:r>
      <w:r>
        <w:rPr>
          <w:rFonts w:ascii="Calibri" w:hAnsi="Calibri" w:cs="Calibri"/>
        </w:rPr>
        <w:t>Kearns, K.C. (1977) ‘Irish Tinkers: an itinerant population in transition’, </w:t>
      </w:r>
      <w:r>
        <w:rPr>
          <w:rFonts w:ascii="Calibri" w:hAnsi="Calibri" w:cs="Calibri"/>
          <w:i/>
          <w:iCs/>
        </w:rPr>
        <w:t>Annals of the Association of American Geographers</w:t>
      </w:r>
      <w:r>
        <w:rPr>
          <w:rFonts w:ascii="Calibri" w:hAnsi="Calibri" w:cs="Calibri"/>
        </w:rPr>
        <w:t xml:space="preserve">, 67(4), pp. 538–548. Available at: </w:t>
      </w:r>
      <w:hyperlink r:id="rId11" w:history="1">
        <w:r>
          <w:rPr>
            <w:rStyle w:val="Hyperlink"/>
            <w:rFonts w:ascii="Calibri" w:eastAsiaTheme="majorEastAsia" w:hAnsi="Calibri" w:cs="Calibri"/>
            <w:color w:val="auto"/>
          </w:rPr>
          <w:t>https://doi.org/10.1111/j.1467-8306.1977.tb01160.x</w:t>
        </w:r>
      </w:hyperlink>
    </w:p>
    <w:p w14:paraId="3C46C67B" w14:textId="77777777" w:rsidR="00060614" w:rsidRDefault="00060614" w:rsidP="00060614">
      <w:pPr>
        <w:pStyle w:val="NormalWeb"/>
      </w:pPr>
      <w:r>
        <w:rPr>
          <w:rFonts w:ascii="Calibri" w:hAnsi="Calibri" w:cs="Calibri"/>
        </w:rPr>
        <w:t xml:space="preserve">Available here: </w:t>
      </w:r>
      <w:hyperlink r:id="rId12" w:history="1">
        <w:r>
          <w:rPr>
            <w:rStyle w:val="Hyperlink"/>
            <w:rFonts w:ascii="Calibri" w:eastAsiaTheme="majorEastAsia" w:hAnsi="Calibri" w:cs="Calibri"/>
            <w:color w:val="auto"/>
          </w:rPr>
          <w:t>https://librarysearch.uwtsd.ac.uk/permalink/44WHELF_UWTSD/igoone/cdi_wiley_primary_10_1111_j_1467_8306_1977_tb01160_x_ANNA538</w:t>
        </w:r>
      </w:hyperlink>
    </w:p>
    <w:p w14:paraId="023934E1" w14:textId="77777777" w:rsidR="00060614" w:rsidRDefault="00060614" w:rsidP="00060614">
      <w:pPr>
        <w:pStyle w:val="NormalWeb"/>
      </w:pPr>
      <w:r>
        <w:rPr>
          <w:rStyle w:val="Emphasis"/>
          <w:rFonts w:ascii="Calibri" w:eastAsiaTheme="majorEastAsia" w:hAnsi="Calibri" w:cs="Calibri"/>
        </w:rPr>
        <w:t>Irish Tinkers, an itinerant subculture in Ireland, have migrated to cities due to modernization. This shift has led to settling in standard housing, but prejudice from the sedentary community hinders social assimilation.</w:t>
      </w:r>
    </w:p>
    <w:p w14:paraId="67AE4732" w14:textId="77777777" w:rsidR="00060614" w:rsidRDefault="00060614" w:rsidP="00060614">
      <w:pPr>
        <w:pStyle w:val="NormalWeb"/>
      </w:pPr>
      <w:r>
        <w:rPr>
          <w:rFonts w:ascii="Calibri" w:hAnsi="Calibri" w:cs="Calibri"/>
        </w:rPr>
        <w:t> </w:t>
      </w:r>
    </w:p>
    <w:p w14:paraId="23EE307F" w14:textId="77777777" w:rsidR="00060614" w:rsidRDefault="00060614" w:rsidP="00060614">
      <w:pPr>
        <w:pStyle w:val="NormalWeb"/>
      </w:pPr>
      <w:r>
        <w:rPr>
          <w:rFonts w:ascii="Symbol" w:eastAsia="Symbol" w:hAnsi="Symbol" w:cs="Symbol"/>
        </w:rPr>
        <w:t>·</w:t>
      </w:r>
      <w:r>
        <w:rPr>
          <w:rFonts w:eastAsia="Symbol"/>
          <w:sz w:val="14"/>
          <w:szCs w:val="14"/>
        </w:rPr>
        <w:t xml:space="preserve">         </w:t>
      </w:r>
      <w:r>
        <w:rPr>
          <w:rFonts w:ascii="Calibri" w:hAnsi="Calibri" w:cs="Calibri"/>
        </w:rPr>
        <w:t>McGaughey, Kamp and McSharry (2017) ‘Irish Travellers and Teenage Pregnancy: A Feminist, Cultural, Relativist Analysis’, in </w:t>
      </w:r>
      <w:r>
        <w:rPr>
          <w:rFonts w:ascii="Calibri" w:hAnsi="Calibri" w:cs="Calibri"/>
          <w:i/>
          <w:iCs/>
        </w:rPr>
        <w:t>Re/Assembling the Pregnant and Parenting Teenager</w:t>
      </w:r>
      <w:r>
        <w:rPr>
          <w:rFonts w:ascii="Calibri" w:hAnsi="Calibri" w:cs="Calibri"/>
        </w:rPr>
        <w:t>. Peter Lang AG, pp. 173-194. </w:t>
      </w:r>
    </w:p>
    <w:p w14:paraId="03C72EC3" w14:textId="77777777" w:rsidR="00060614" w:rsidRDefault="00060614" w:rsidP="00060614">
      <w:pPr>
        <w:pStyle w:val="NormalWeb"/>
      </w:pPr>
      <w:r>
        <w:rPr>
          <w:rFonts w:ascii="Calibri" w:hAnsi="Calibri" w:cs="Calibri"/>
        </w:rPr>
        <w:t xml:space="preserve">Available at: </w:t>
      </w:r>
      <w:hyperlink r:id="rId13" w:history="1">
        <w:r>
          <w:rPr>
            <w:rStyle w:val="Hyperlink"/>
            <w:rFonts w:ascii="Calibri" w:eastAsiaTheme="majorEastAsia" w:hAnsi="Calibri" w:cs="Calibri"/>
            <w:color w:val="auto"/>
          </w:rPr>
          <w:t>https://librarysearch.uwtsd.ac.uk/permalink/44WHELF_UWTSD/igoone/cdi_jstor_books_j_ctv2t4b9h_11</w:t>
        </w:r>
      </w:hyperlink>
    </w:p>
    <w:p w14:paraId="0B59B247" w14:textId="77777777" w:rsidR="00060614" w:rsidRDefault="00060614" w:rsidP="00060614">
      <w:pPr>
        <w:pStyle w:val="NormalWeb"/>
      </w:pPr>
      <w:r>
        <w:rPr>
          <w:rStyle w:val="Emphasis"/>
          <w:rFonts w:ascii="Calibri" w:eastAsiaTheme="majorEastAsia" w:hAnsi="Calibri" w:cs="Calibri"/>
        </w:rPr>
        <w:t>This chapter explores teenage pregnancy in the context of an indigenous ethnic minority population in the Republic of Ireland – Irish Travellers.</w:t>
      </w:r>
    </w:p>
    <w:p w14:paraId="0B19138E" w14:textId="77777777" w:rsidR="00060614" w:rsidRDefault="00060614" w:rsidP="00060614">
      <w:pPr>
        <w:pStyle w:val="NormalWeb"/>
      </w:pPr>
      <w:r>
        <w:rPr>
          <w:rFonts w:ascii="Calibri" w:hAnsi="Calibri" w:cs="Calibri"/>
        </w:rPr>
        <w:t> </w:t>
      </w:r>
    </w:p>
    <w:p w14:paraId="5C0FE62E" w14:textId="77777777" w:rsidR="00060614" w:rsidRDefault="00060614" w:rsidP="00060614">
      <w:pPr>
        <w:pStyle w:val="NormalWeb"/>
      </w:pPr>
      <w:r>
        <w:rPr>
          <w:rFonts w:ascii="Symbol" w:eastAsia="Symbol" w:hAnsi="Symbol" w:cs="Symbol"/>
        </w:rPr>
        <w:lastRenderedPageBreak/>
        <w:t>·</w:t>
      </w:r>
      <w:r>
        <w:rPr>
          <w:rFonts w:eastAsia="Symbol"/>
          <w:sz w:val="14"/>
          <w:szCs w:val="14"/>
        </w:rPr>
        <w:t xml:space="preserve">         </w:t>
      </w:r>
      <w:r>
        <w:rPr>
          <w:rFonts w:ascii="Calibri" w:hAnsi="Calibri" w:cs="Calibri"/>
        </w:rPr>
        <w:t xml:space="preserve">Booth, R., Koral, K., &amp; Lymperopoulou, K. (2024) ‘It’s not because they’re Gypsy: Practitioners perspectives of Gypsies, Travellers and Crime and Justice’, </w:t>
      </w:r>
      <w:r>
        <w:rPr>
          <w:rFonts w:ascii="Calibri" w:hAnsi="Calibri" w:cs="Calibri"/>
          <w:i/>
          <w:iCs/>
        </w:rPr>
        <w:t>Criminology &amp; Criminal Justice</w:t>
      </w:r>
      <w:r>
        <w:rPr>
          <w:rFonts w:ascii="Calibri" w:hAnsi="Calibri" w:cs="Calibri"/>
        </w:rPr>
        <w:t xml:space="preserve">. Available at: </w:t>
      </w:r>
      <w:hyperlink r:id="rId14" w:history="1">
        <w:r>
          <w:rPr>
            <w:rStyle w:val="Hyperlink"/>
            <w:rFonts w:ascii="Calibri" w:eastAsiaTheme="majorEastAsia" w:hAnsi="Calibri" w:cs="Calibri"/>
            <w:color w:val="auto"/>
          </w:rPr>
          <w:t>https://doi.org/10.1177/17488958241300231</w:t>
        </w:r>
      </w:hyperlink>
    </w:p>
    <w:p w14:paraId="68FE6A5F" w14:textId="77777777" w:rsidR="00060614" w:rsidRDefault="00060614" w:rsidP="00060614">
      <w:pPr>
        <w:pStyle w:val="NormalWeb"/>
      </w:pPr>
      <w:r>
        <w:rPr>
          <w:rFonts w:ascii="Calibri" w:hAnsi="Calibri" w:cs="Calibri"/>
        </w:rPr>
        <w:t xml:space="preserve">Available at: </w:t>
      </w:r>
      <w:hyperlink r:id="rId15" w:history="1">
        <w:r>
          <w:rPr>
            <w:rStyle w:val="Hyperlink"/>
            <w:rFonts w:ascii="Calibri" w:eastAsiaTheme="majorEastAsia" w:hAnsi="Calibri" w:cs="Calibri"/>
            <w:color w:val="auto"/>
          </w:rPr>
          <w:t>https://journals.sagepub.com/doi/10.1177/17488958241300231</w:t>
        </w:r>
      </w:hyperlink>
    </w:p>
    <w:p w14:paraId="03439B6D" w14:textId="77777777" w:rsidR="00060614" w:rsidRDefault="00060614" w:rsidP="00060614">
      <w:pPr>
        <w:pStyle w:val="NormalWeb"/>
      </w:pPr>
      <w:r>
        <w:rPr>
          <w:rStyle w:val="Emphasis"/>
          <w:rFonts w:ascii="Calibri" w:eastAsiaTheme="majorEastAsia" w:hAnsi="Calibri" w:cs="Calibri"/>
        </w:rPr>
        <w:t>Dominant narratives often associate Gypsy and Traveller communities with criminality and deviance, leading to their marginalisation. This article explores practitioners' responses, revealing compliance with these stereotypes and a tendency to downplay their victimisation and racism.</w:t>
      </w:r>
    </w:p>
    <w:p w14:paraId="53AE6110" w14:textId="77777777" w:rsidR="00060614" w:rsidRDefault="00060614" w:rsidP="00060614">
      <w:pPr>
        <w:pStyle w:val="NormalWeb"/>
      </w:pPr>
      <w:r>
        <w:rPr>
          <w:rFonts w:ascii="Calibri" w:hAnsi="Calibri" w:cs="Calibri"/>
        </w:rPr>
        <w:t> </w:t>
      </w:r>
    </w:p>
    <w:p w14:paraId="63CE930E" w14:textId="77777777" w:rsidR="00060614" w:rsidRDefault="00060614" w:rsidP="00060614">
      <w:pPr>
        <w:pStyle w:val="NormalWeb"/>
      </w:pPr>
      <w:r>
        <w:rPr>
          <w:rFonts w:ascii="Symbol" w:eastAsia="Symbol" w:hAnsi="Symbol" w:cs="Symbol"/>
        </w:rPr>
        <w:t>·</w:t>
      </w:r>
      <w:r>
        <w:rPr>
          <w:rFonts w:eastAsia="Symbol"/>
          <w:sz w:val="14"/>
          <w:szCs w:val="14"/>
        </w:rPr>
        <w:t xml:space="preserve">         </w:t>
      </w:r>
      <w:r>
        <w:rPr>
          <w:rFonts w:ascii="Calibri" w:hAnsi="Calibri" w:cs="Calibri"/>
        </w:rPr>
        <w:t>James, Z. </w:t>
      </w:r>
      <w:r>
        <w:rPr>
          <w:rFonts w:ascii="Calibri" w:hAnsi="Calibri" w:cs="Calibri"/>
          <w:i/>
          <w:iCs/>
        </w:rPr>
        <w:t>et al.</w:t>
      </w:r>
      <w:r>
        <w:rPr>
          <w:rFonts w:ascii="Calibri" w:hAnsi="Calibri" w:cs="Calibri"/>
        </w:rPr>
        <w:t> (2023) ‘Criminalizing Gypsies, Roma, and Travellers in the UK’, in </w:t>
      </w:r>
      <w:r>
        <w:rPr>
          <w:rFonts w:ascii="Calibri" w:hAnsi="Calibri" w:cs="Calibri"/>
          <w:i/>
          <w:iCs/>
        </w:rPr>
        <w:t>The Routledge International Handbook on Decolonizing Justice</w:t>
      </w:r>
      <w:r>
        <w:rPr>
          <w:rFonts w:ascii="Calibri" w:hAnsi="Calibri" w:cs="Calibri"/>
        </w:rPr>
        <w:t xml:space="preserve">. 1st edn. Routledge, pp. 103–112. Available at: </w:t>
      </w:r>
      <w:hyperlink r:id="rId16" w:history="1">
        <w:r>
          <w:rPr>
            <w:rStyle w:val="Hyperlink"/>
            <w:rFonts w:ascii="Calibri" w:eastAsiaTheme="majorEastAsia" w:hAnsi="Calibri" w:cs="Calibri"/>
            <w:color w:val="auto"/>
          </w:rPr>
          <w:t>https://doi.org/10.4324/9781003176619-12</w:t>
        </w:r>
      </w:hyperlink>
    </w:p>
    <w:p w14:paraId="06EC74AE" w14:textId="77777777" w:rsidR="00060614" w:rsidRDefault="00060614" w:rsidP="00060614">
      <w:pPr>
        <w:pStyle w:val="NormalWeb"/>
      </w:pPr>
      <w:r>
        <w:rPr>
          <w:rFonts w:ascii="Calibri" w:hAnsi="Calibri" w:cs="Calibri"/>
        </w:rPr>
        <w:t xml:space="preserve">Available at: </w:t>
      </w:r>
      <w:hyperlink r:id="rId17" w:history="1">
        <w:r>
          <w:rPr>
            <w:rStyle w:val="Hyperlink"/>
            <w:rFonts w:ascii="Calibri" w:eastAsiaTheme="majorEastAsia" w:hAnsi="Calibri" w:cs="Calibri"/>
            <w:color w:val="auto"/>
          </w:rPr>
          <w:t>https://librarysearch.uwtsd.ac.uk/permalink/44WHELF_UWTSD/igoone/cdi_informaworld_taylorfrancisbooks_10_4324_9781003176619_12_version2</w:t>
        </w:r>
      </w:hyperlink>
    </w:p>
    <w:p w14:paraId="3844DC9A" w14:textId="77777777" w:rsidR="00060614" w:rsidRDefault="00060614" w:rsidP="00060614">
      <w:pPr>
        <w:pStyle w:val="NormalWeb"/>
      </w:pPr>
      <w:r>
        <w:rPr>
          <w:rStyle w:val="Emphasis"/>
          <w:rFonts w:ascii="Calibri" w:eastAsiaTheme="majorEastAsia" w:hAnsi="Calibri" w:cs="Calibri"/>
        </w:rPr>
        <w:t>Gypsy, Roma, and Traveller communities in the UK face significant criminalization, often overlooked in official statistics. David Lammy's review notes their overrepresentation in youth custody. This chapter examines the racism they encounter and its implications for decolonizing justice approaches.</w:t>
      </w:r>
    </w:p>
    <w:p w14:paraId="44CFCBEC" w14:textId="77777777" w:rsidR="00060614" w:rsidRDefault="00060614" w:rsidP="00060614">
      <w:pPr>
        <w:pStyle w:val="NormalWeb"/>
      </w:pPr>
      <w:r>
        <w:rPr>
          <w:rFonts w:ascii="Calibri" w:hAnsi="Calibri" w:cs="Calibri"/>
        </w:rPr>
        <w:t> </w:t>
      </w:r>
    </w:p>
    <w:p w14:paraId="72CEFD9D" w14:textId="77777777" w:rsidR="00060614" w:rsidRDefault="00060614" w:rsidP="00060614">
      <w:pPr>
        <w:pStyle w:val="NormalWeb"/>
      </w:pPr>
      <w:r>
        <w:rPr>
          <w:rFonts w:ascii="Symbol" w:eastAsia="Symbol" w:hAnsi="Symbol" w:cs="Symbol"/>
        </w:rPr>
        <w:t>·</w:t>
      </w:r>
      <w:r>
        <w:rPr>
          <w:rFonts w:eastAsia="Symbol"/>
          <w:sz w:val="14"/>
          <w:szCs w:val="14"/>
        </w:rPr>
        <w:t xml:space="preserve">         </w:t>
      </w:r>
      <w:r>
        <w:rPr>
          <w:rFonts w:ascii="Calibri" w:hAnsi="Calibri" w:cs="Calibri"/>
        </w:rPr>
        <w:t>Clark, C. (2024) ‘The Green Agenda: Why the Provision and Development of Gypsy/Traveller Sites in Scotland is a Health Hazard as Much as an Accommodation Priority’, </w:t>
      </w:r>
      <w:r>
        <w:rPr>
          <w:rFonts w:ascii="Calibri" w:hAnsi="Calibri" w:cs="Calibri"/>
          <w:i/>
          <w:iCs/>
        </w:rPr>
        <w:t>Social policy and Society: A Journal of the Social Policy Association</w:t>
      </w:r>
      <w:r>
        <w:rPr>
          <w:rFonts w:ascii="Calibri" w:hAnsi="Calibri" w:cs="Calibri"/>
        </w:rPr>
        <w:t xml:space="preserve">, pp. 1–13. Available at: </w:t>
      </w:r>
      <w:hyperlink r:id="rId18" w:history="1">
        <w:r>
          <w:rPr>
            <w:rStyle w:val="Hyperlink"/>
            <w:rFonts w:ascii="Calibri" w:eastAsiaTheme="majorEastAsia" w:hAnsi="Calibri" w:cs="Calibri"/>
            <w:color w:val="auto"/>
          </w:rPr>
          <w:t>https://doi.org/10.1017/S1474746424000034</w:t>
        </w:r>
      </w:hyperlink>
    </w:p>
    <w:p w14:paraId="09E46AEC" w14:textId="77777777" w:rsidR="00060614" w:rsidRDefault="00060614" w:rsidP="00060614">
      <w:pPr>
        <w:pStyle w:val="NormalWeb"/>
      </w:pPr>
      <w:r>
        <w:rPr>
          <w:rFonts w:ascii="Calibri" w:hAnsi="Calibri" w:cs="Calibri"/>
        </w:rPr>
        <w:t xml:space="preserve">Available at: </w:t>
      </w:r>
      <w:hyperlink r:id="rId19" w:history="1">
        <w:r>
          <w:rPr>
            <w:rStyle w:val="Hyperlink"/>
            <w:rFonts w:ascii="Calibri" w:eastAsiaTheme="majorEastAsia" w:hAnsi="Calibri" w:cs="Calibri"/>
            <w:color w:val="auto"/>
          </w:rPr>
          <w:t>https://librarysearch.uwtsd.ac.uk/permalink/44WHELF_UWTSD/igoone/cdi_crossref_primary_10_1017_S1474746424000034</w:t>
        </w:r>
      </w:hyperlink>
    </w:p>
    <w:p w14:paraId="1AE68F04" w14:textId="77777777" w:rsidR="00060614" w:rsidRDefault="00060614" w:rsidP="00060614">
      <w:pPr>
        <w:pStyle w:val="NormalWeb"/>
      </w:pPr>
      <w:r>
        <w:rPr>
          <w:rStyle w:val="Emphasis"/>
          <w:rFonts w:ascii="Calibri" w:eastAsiaTheme="majorEastAsia" w:hAnsi="Calibri" w:cs="Calibri"/>
        </w:rPr>
        <w:t>Environmental justice issues in Scotland have overlooked Gypsy/Traveller accommodation. The SNP and Scottish Greens support site upgrades, but these proposals face controversy. This paper uses the concept of (social) abjection to explain reactions to these sites, highlighting ongoing environmental and health injustices and anti-Gypsy/Traveller prejudice.</w:t>
      </w:r>
    </w:p>
    <w:p w14:paraId="1A095789" w14:textId="77777777" w:rsidR="00060614" w:rsidRDefault="00060614" w:rsidP="00060614">
      <w:pPr>
        <w:pStyle w:val="NormalWeb"/>
      </w:pPr>
      <w:r>
        <w:rPr>
          <w:rFonts w:ascii="Calibri" w:hAnsi="Calibri" w:cs="Calibri"/>
        </w:rPr>
        <w:t> </w:t>
      </w:r>
    </w:p>
    <w:p w14:paraId="736FD664" w14:textId="77777777" w:rsidR="00060614" w:rsidRDefault="00060614" w:rsidP="00060614">
      <w:pPr>
        <w:pStyle w:val="NormalWeb"/>
      </w:pPr>
      <w:r>
        <w:rPr>
          <w:rFonts w:ascii="Symbol" w:eastAsia="Symbol" w:hAnsi="Symbol" w:cs="Symbol"/>
        </w:rPr>
        <w:t>·</w:t>
      </w:r>
      <w:r>
        <w:rPr>
          <w:rFonts w:eastAsia="Symbol"/>
          <w:sz w:val="14"/>
          <w:szCs w:val="14"/>
        </w:rPr>
        <w:t xml:space="preserve">         </w:t>
      </w:r>
      <w:r>
        <w:rPr>
          <w:rFonts w:ascii="Calibri" w:hAnsi="Calibri" w:cs="Calibri"/>
        </w:rPr>
        <w:t>Millan, M. and Smith, D. (2019) ‘A Comparative Sociology of Gypsy Traveller Health in the UK’, </w:t>
      </w:r>
      <w:r>
        <w:rPr>
          <w:rFonts w:ascii="Calibri" w:hAnsi="Calibri" w:cs="Calibri"/>
          <w:i/>
          <w:iCs/>
        </w:rPr>
        <w:t>International Journal of environmental research and public health</w:t>
      </w:r>
      <w:r>
        <w:rPr>
          <w:rFonts w:ascii="Calibri" w:hAnsi="Calibri" w:cs="Calibri"/>
        </w:rPr>
        <w:t xml:space="preserve">, 16(3), pp. 379-. Available at: </w:t>
      </w:r>
      <w:hyperlink r:id="rId20" w:history="1">
        <w:r>
          <w:rPr>
            <w:rStyle w:val="Hyperlink"/>
            <w:rFonts w:ascii="Calibri" w:eastAsiaTheme="majorEastAsia" w:hAnsi="Calibri" w:cs="Calibri"/>
            <w:color w:val="auto"/>
          </w:rPr>
          <w:t>https://doi.org/10.3390/ijerph16030379</w:t>
        </w:r>
      </w:hyperlink>
    </w:p>
    <w:p w14:paraId="2480C04D" w14:textId="77777777" w:rsidR="00060614" w:rsidRDefault="00060614" w:rsidP="00060614">
      <w:pPr>
        <w:pStyle w:val="NormalWeb"/>
      </w:pPr>
      <w:r>
        <w:rPr>
          <w:rFonts w:ascii="Calibri" w:hAnsi="Calibri" w:cs="Calibri"/>
        </w:rPr>
        <w:lastRenderedPageBreak/>
        <w:t xml:space="preserve">Available at: </w:t>
      </w:r>
      <w:hyperlink r:id="rId21" w:history="1">
        <w:r>
          <w:rPr>
            <w:rStyle w:val="Hyperlink"/>
            <w:rFonts w:ascii="Calibri" w:eastAsiaTheme="majorEastAsia" w:hAnsi="Calibri" w:cs="Calibri"/>
            <w:color w:val="auto"/>
          </w:rPr>
          <w:t>https://librarysearch.uwtsd.ac.uk/permalink/44WHELF_UWTSD/neci73/cdi_pubmedcentral_primary_oai_pubmedcentral_nih_gov_6388580</w:t>
        </w:r>
      </w:hyperlink>
    </w:p>
    <w:p w14:paraId="7A5E1B1E" w14:textId="77777777" w:rsidR="00060614" w:rsidRDefault="00060614" w:rsidP="00060614">
      <w:pPr>
        <w:pStyle w:val="NormalWeb"/>
      </w:pPr>
      <w:r>
        <w:rPr>
          <w:rStyle w:val="Emphasis"/>
          <w:rFonts w:ascii="Calibri" w:eastAsiaTheme="majorEastAsia" w:hAnsi="Calibri" w:cs="Calibri"/>
        </w:rPr>
        <w:t>This paper examines health studies from 2012 to 2017 involving Romany Gypsies and Irish Travellers in southern England. It explores how cultural and socioeconomic factors influence their health and highlights the need for tailored health interventions to address their specific disadvantages.</w:t>
      </w:r>
    </w:p>
    <w:p w14:paraId="0743433D" w14:textId="77777777" w:rsidR="00060614" w:rsidRDefault="00060614" w:rsidP="00060614">
      <w:pPr>
        <w:pStyle w:val="NormalWeb"/>
      </w:pPr>
      <w:r>
        <w:rPr>
          <w:rFonts w:ascii="Calibri" w:hAnsi="Calibri" w:cs="Calibri"/>
        </w:rPr>
        <w:t> </w:t>
      </w:r>
    </w:p>
    <w:p w14:paraId="3A774005" w14:textId="77777777" w:rsidR="00060614" w:rsidRDefault="00060614" w:rsidP="00060614">
      <w:pPr>
        <w:pStyle w:val="NormalWeb"/>
      </w:pPr>
      <w:r>
        <w:rPr>
          <w:rFonts w:ascii="Symbol" w:eastAsia="Symbol" w:hAnsi="Symbol" w:cs="Symbol"/>
        </w:rPr>
        <w:t>·</w:t>
      </w:r>
      <w:r>
        <w:rPr>
          <w:rFonts w:eastAsia="Symbol"/>
          <w:sz w:val="14"/>
          <w:szCs w:val="14"/>
        </w:rPr>
        <w:t xml:space="preserve">         </w:t>
      </w:r>
      <w:r>
        <w:rPr>
          <w:rFonts w:ascii="Calibri" w:hAnsi="Calibri" w:cs="Calibri"/>
        </w:rPr>
        <w:t>Reilly, N. (2005) ‘The Struggle for Cultural Recognition and Women’s Human Rights: Lessons from the Experience of Irish Traveller Women’.</w:t>
      </w:r>
    </w:p>
    <w:p w14:paraId="0BDFD6E3" w14:textId="77777777" w:rsidR="00060614" w:rsidRDefault="00060614" w:rsidP="00060614">
      <w:pPr>
        <w:pStyle w:val="NormalWeb"/>
      </w:pPr>
      <w:r>
        <w:rPr>
          <w:rFonts w:ascii="Calibri" w:hAnsi="Calibri" w:cs="Calibri"/>
        </w:rPr>
        <w:t xml:space="preserve">Available at: </w:t>
      </w:r>
      <w:hyperlink r:id="rId22" w:history="1">
        <w:r>
          <w:rPr>
            <w:rStyle w:val="Hyperlink"/>
            <w:rFonts w:ascii="Calibri" w:eastAsiaTheme="majorEastAsia" w:hAnsi="Calibri" w:cs="Calibri"/>
            <w:color w:val="auto"/>
          </w:rPr>
          <w:t>https://librarysearch.uwtsd.ac.uk/permalink/44WHELF_UWTSD/igoone/cdi_nuig_dspace_oai_https_researchrepository_universityofgalway_ie_10379_2121</w:t>
        </w:r>
      </w:hyperlink>
    </w:p>
    <w:p w14:paraId="2543787D" w14:textId="77777777" w:rsidR="00060614" w:rsidRDefault="00060614" w:rsidP="00060614">
      <w:pPr>
        <w:pStyle w:val="NormalWeb"/>
        <w:rPr>
          <w:rStyle w:val="Emphasis"/>
          <w:rFonts w:ascii="Calibri" w:eastAsiaTheme="majorEastAsia" w:hAnsi="Calibri" w:cs="Calibri"/>
        </w:rPr>
      </w:pPr>
      <w:r>
        <w:rPr>
          <w:rStyle w:val="Emphasis"/>
          <w:rFonts w:ascii="Calibri" w:eastAsiaTheme="majorEastAsia" w:hAnsi="Calibri" w:cs="Calibri"/>
        </w:rPr>
        <w:t>The 1990s campaign for women's human rights focused on violence against women but often overlooked cultural rights, warning that they can conflict with women's rights. This neglect obscures the links between the two, especially in marginalised groups like the Irish Travellers, where women's and cultural rights are viewed as connected.</w:t>
      </w:r>
    </w:p>
    <w:p w14:paraId="4657DC9D" w14:textId="77777777" w:rsidR="00F56D32" w:rsidRDefault="00F56D32" w:rsidP="00060614">
      <w:pPr>
        <w:pStyle w:val="NormalWeb"/>
        <w:rPr>
          <w:rStyle w:val="Emphasis"/>
          <w:rFonts w:ascii="Calibri" w:eastAsiaTheme="majorEastAsia" w:hAnsi="Calibri" w:cs="Calibri"/>
        </w:rPr>
      </w:pPr>
    </w:p>
    <w:p w14:paraId="18F34BB9" w14:textId="756B1236" w:rsidR="00F56D32" w:rsidRPr="00F56D32" w:rsidRDefault="00F56D32" w:rsidP="00F56D32">
      <w:pPr>
        <w:pStyle w:val="NormalWeb"/>
        <w:jc w:val="center"/>
        <w:rPr>
          <w:i/>
          <w:iCs/>
          <w:sz w:val="28"/>
          <w:szCs w:val="28"/>
          <w:u w:val="single"/>
        </w:rPr>
      </w:pPr>
      <w:r w:rsidRPr="00F56D32">
        <w:rPr>
          <w:rStyle w:val="Emphasis"/>
          <w:rFonts w:ascii="Calibri" w:eastAsiaTheme="majorEastAsia" w:hAnsi="Calibri" w:cs="Calibri"/>
          <w:i w:val="0"/>
          <w:iCs w:val="0"/>
          <w:sz w:val="28"/>
          <w:szCs w:val="28"/>
          <w:u w:val="single"/>
        </w:rPr>
        <w:t>ONLINE BOOKS</w:t>
      </w:r>
    </w:p>
    <w:p w14:paraId="5737E518" w14:textId="77777777" w:rsidR="00F56D32" w:rsidRDefault="00F56D32" w:rsidP="00F56D32">
      <w:pPr>
        <w:numPr>
          <w:ilvl w:val="0"/>
          <w:numId w:val="1"/>
        </w:numPr>
        <w:contextualSpacing/>
      </w:pPr>
      <w:r w:rsidRPr="00F56D32">
        <w:t>O’Hanlon, C. and Holmes, P. (2004) </w:t>
      </w:r>
      <w:r w:rsidRPr="00F56D32">
        <w:rPr>
          <w:i/>
          <w:iCs/>
        </w:rPr>
        <w:t>The education of gypsy and traveller children</w:t>
      </w:r>
      <w:r w:rsidRPr="00F56D32">
        <w:rPr>
          <w:rFonts w:ascii="Arial" w:hAnsi="Arial" w:cs="Arial"/>
          <w:i/>
          <w:iCs/>
        </w:rPr>
        <w:t> </w:t>
      </w:r>
      <w:r w:rsidRPr="00F56D32">
        <w:rPr>
          <w:i/>
          <w:iCs/>
        </w:rPr>
        <w:t>: towards inclusion and educational achievement</w:t>
      </w:r>
      <w:r w:rsidRPr="00F56D32">
        <w:t xml:space="preserve">. Stoke on Trent, United </w:t>
      </w:r>
      <w:proofErr w:type="gramStart"/>
      <w:r w:rsidRPr="00F56D32">
        <w:t>Kingdom;</w:t>
      </w:r>
      <w:proofErr w:type="gramEnd"/>
      <w:r w:rsidRPr="00F56D32">
        <w:t xml:space="preserve"> Trentham.</w:t>
      </w:r>
    </w:p>
    <w:p w14:paraId="6BA7F8E1" w14:textId="77777777" w:rsidR="00F56D32" w:rsidRPr="00F56D32" w:rsidRDefault="00F56D32" w:rsidP="00F56D32">
      <w:pPr>
        <w:ind w:left="720"/>
        <w:contextualSpacing/>
      </w:pPr>
    </w:p>
    <w:p w14:paraId="165CB0E6" w14:textId="308AD94B" w:rsidR="00F56D32" w:rsidRPr="00F56D32" w:rsidRDefault="00F56D32" w:rsidP="00F56D32">
      <w:pPr>
        <w:rPr>
          <w:i/>
          <w:iCs/>
        </w:rPr>
      </w:pPr>
      <w:r w:rsidRPr="00F56D32">
        <w:rPr>
          <w:i/>
          <w:iCs/>
        </w:rPr>
        <w:t xml:space="preserve">This text is aimed at teachers of traveller children, detailing essential knowledge about traveller culture, values, and learning needs. It </w:t>
      </w:r>
      <w:r>
        <w:rPr>
          <w:i/>
          <w:iCs/>
        </w:rPr>
        <w:t>emphasises</w:t>
      </w:r>
      <w:r w:rsidRPr="00F56D32">
        <w:rPr>
          <w:i/>
          <w:iCs/>
        </w:rPr>
        <w:t xml:space="preserve"> viewing traveller children as new or late learners rather than failures while offering various approaches </w:t>
      </w:r>
      <w:r>
        <w:rPr>
          <w:i/>
          <w:iCs/>
        </w:rPr>
        <w:t>to educate them effectively</w:t>
      </w:r>
      <w:r w:rsidRPr="00F56D32">
        <w:rPr>
          <w:i/>
          <w:iCs/>
        </w:rPr>
        <w:t>. The authors clarify relevant legislation and provide guidance on ensuring equal educational opportunities, addressing the discrimination they face. Case studies are included for practical insight.</w:t>
      </w:r>
    </w:p>
    <w:p w14:paraId="7CFB1F99" w14:textId="77777777" w:rsidR="00F56D32" w:rsidRPr="00F56D32" w:rsidRDefault="00F56D32" w:rsidP="00F56D32">
      <w:r w:rsidRPr="00F56D32">
        <w:rPr>
          <w:u w:val="single"/>
        </w:rPr>
        <w:t>Direct Link:</w:t>
      </w:r>
      <w:r w:rsidRPr="00F56D32">
        <w:t xml:space="preserve"> </w:t>
      </w:r>
      <w:hyperlink r:id="rId23" w:history="1">
        <w:r w:rsidRPr="00F56D32">
          <w:rPr>
            <w:color w:val="467886" w:themeColor="hyperlink"/>
            <w:u w:val="single"/>
          </w:rPr>
          <w:t>https://librarysearch.uwtsd.ac.uk/permalink/44WHELF_UWTSD/upgrip/alma99100107588702421</w:t>
        </w:r>
      </w:hyperlink>
    </w:p>
    <w:p w14:paraId="48F82BB0" w14:textId="77777777" w:rsidR="00F56D32" w:rsidRPr="00F56D32" w:rsidRDefault="00F56D32" w:rsidP="00F56D32"/>
    <w:p w14:paraId="73B0E98F" w14:textId="77777777" w:rsidR="00F56D32" w:rsidRPr="00F56D32" w:rsidRDefault="00F56D32" w:rsidP="00F56D32">
      <w:pPr>
        <w:numPr>
          <w:ilvl w:val="0"/>
          <w:numId w:val="1"/>
        </w:numPr>
        <w:contextualSpacing/>
      </w:pPr>
      <w:r w:rsidRPr="00F56D32">
        <w:t>Burke, M. (2009) </w:t>
      </w:r>
      <w:r w:rsidRPr="00F56D32">
        <w:rPr>
          <w:i/>
          <w:iCs/>
        </w:rPr>
        <w:t>Tinkers: Synge and the Cultural History of the Irish Traveller</w:t>
      </w:r>
      <w:r w:rsidRPr="00F56D32">
        <w:t xml:space="preserve">. 1st edn. Oxford: Oxford University Press. Available at: </w:t>
      </w:r>
      <w:hyperlink r:id="rId24" w:history="1">
        <w:r w:rsidRPr="00F56D32">
          <w:rPr>
            <w:color w:val="467886" w:themeColor="hyperlink"/>
            <w:u w:val="single"/>
          </w:rPr>
          <w:t>https://doi.org/10.1093/acprof:oso/9780199566464.001.0001</w:t>
        </w:r>
      </w:hyperlink>
    </w:p>
    <w:p w14:paraId="64FCFEFE" w14:textId="6611DC0D" w:rsidR="00F56D32" w:rsidRPr="00F56D32" w:rsidRDefault="00F56D32" w:rsidP="00F56D32">
      <w:pPr>
        <w:rPr>
          <w:i/>
          <w:iCs/>
        </w:rPr>
      </w:pPr>
      <w:r w:rsidRPr="00F56D32">
        <w:rPr>
          <w:i/>
          <w:iCs/>
        </w:rPr>
        <w:lastRenderedPageBreak/>
        <w:t xml:space="preserve">The Irish Traveller community's history is distinct from the stereotype of the ‘tinker,’ a </w:t>
      </w:r>
      <w:r>
        <w:rPr>
          <w:i/>
          <w:iCs/>
        </w:rPr>
        <w:t>romanticised</w:t>
      </w:r>
      <w:r w:rsidRPr="00F56D32">
        <w:rPr>
          <w:i/>
          <w:iCs/>
        </w:rPr>
        <w:t xml:space="preserve"> figure from 16th-century literature. While J. M. Synge’s The Tinker’s Wedding offered an empathetic portrayal, post-independence views depicted them as outsiders. However, the 1960s saw a shift toward more nuanced representations, allowing Travellers to embrace their identity. In the U.S., </w:t>
      </w:r>
      <w:proofErr w:type="gramStart"/>
      <w:r w:rsidRPr="00F56D32">
        <w:rPr>
          <w:i/>
          <w:iCs/>
        </w:rPr>
        <w:t>Irish-American</w:t>
      </w:r>
      <w:proofErr w:type="gramEnd"/>
      <w:r w:rsidRPr="00F56D32">
        <w:rPr>
          <w:i/>
          <w:iCs/>
        </w:rPr>
        <w:t xml:space="preserve"> Travellers are often viewed as ‘white trash,’ reflecting complex cultural narratives. Overall, the ‘tinker’ is more central to Irish and </w:t>
      </w:r>
      <w:proofErr w:type="gramStart"/>
      <w:r w:rsidRPr="00F56D32">
        <w:rPr>
          <w:i/>
          <w:iCs/>
        </w:rPr>
        <w:t>Irish-American</w:t>
      </w:r>
      <w:proofErr w:type="gramEnd"/>
      <w:r w:rsidRPr="00F56D32">
        <w:rPr>
          <w:i/>
          <w:iCs/>
        </w:rPr>
        <w:t xml:space="preserve"> identity than is often </w:t>
      </w:r>
      <w:r>
        <w:rPr>
          <w:i/>
          <w:iCs/>
        </w:rPr>
        <w:t>recognised</w:t>
      </w:r>
      <w:r w:rsidRPr="00F56D32">
        <w:rPr>
          <w:i/>
          <w:iCs/>
        </w:rPr>
        <w:t>.</w:t>
      </w:r>
    </w:p>
    <w:p w14:paraId="58CF53C7" w14:textId="3D2F4C31" w:rsidR="00F56D32" w:rsidRPr="00F56D32" w:rsidRDefault="00F56D32" w:rsidP="00F56D32">
      <w:pPr>
        <w:rPr>
          <w:u w:val="single"/>
        </w:rPr>
      </w:pPr>
      <w:r w:rsidRPr="00F56D32">
        <w:rPr>
          <w:u w:val="single"/>
        </w:rPr>
        <w:t>Direct Link</w:t>
      </w:r>
      <w:r>
        <w:rPr>
          <w:u w:val="single"/>
        </w:rPr>
        <w:t xml:space="preserve">: </w:t>
      </w:r>
      <w:r w:rsidRPr="00F56D32">
        <w:t>https://librarysearch.uwtsd.ac.uk/permalink/44WHELF_UWTSD/11c0l68/alma99100143164102421</w:t>
      </w:r>
    </w:p>
    <w:p w14:paraId="28722BD4" w14:textId="77777777" w:rsidR="00126AEE" w:rsidRDefault="00126AEE"/>
    <w:sectPr w:rsidR="00126AEE" w:rsidSect="00100102">
      <w:pgSz w:w="11909" w:h="16834"/>
      <w:pgMar w:top="1418" w:right="1418" w:bottom="1418" w:left="2268" w:header="720" w:footer="720" w:gutter="0"/>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467699"/>
    <w:multiLevelType w:val="hybridMultilevel"/>
    <w:tmpl w:val="E788C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0721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614"/>
    <w:rsid w:val="00060614"/>
    <w:rsid w:val="00100102"/>
    <w:rsid w:val="00126AEE"/>
    <w:rsid w:val="001B2F7B"/>
    <w:rsid w:val="0030365C"/>
    <w:rsid w:val="00726B01"/>
    <w:rsid w:val="008053A8"/>
    <w:rsid w:val="00F56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E34489"/>
  <w15:chartTrackingRefBased/>
  <w15:docId w15:val="{1C327287-6248-4158-B3CB-4CB73F1D7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6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06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06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6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6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6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6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6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6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6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06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06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6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6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6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6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6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614"/>
    <w:rPr>
      <w:rFonts w:eastAsiaTheme="majorEastAsia" w:cstheme="majorBidi"/>
      <w:color w:val="272727" w:themeColor="text1" w:themeTint="D8"/>
    </w:rPr>
  </w:style>
  <w:style w:type="paragraph" w:styleId="Title">
    <w:name w:val="Title"/>
    <w:basedOn w:val="Normal"/>
    <w:next w:val="Normal"/>
    <w:link w:val="TitleChar"/>
    <w:uiPriority w:val="10"/>
    <w:qFormat/>
    <w:rsid w:val="000606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6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6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6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614"/>
    <w:pPr>
      <w:spacing w:before="160"/>
      <w:jc w:val="center"/>
    </w:pPr>
    <w:rPr>
      <w:i/>
      <w:iCs/>
      <w:color w:val="404040" w:themeColor="text1" w:themeTint="BF"/>
    </w:rPr>
  </w:style>
  <w:style w:type="character" w:customStyle="1" w:styleId="QuoteChar">
    <w:name w:val="Quote Char"/>
    <w:basedOn w:val="DefaultParagraphFont"/>
    <w:link w:val="Quote"/>
    <w:uiPriority w:val="29"/>
    <w:rsid w:val="00060614"/>
    <w:rPr>
      <w:i/>
      <w:iCs/>
      <w:color w:val="404040" w:themeColor="text1" w:themeTint="BF"/>
    </w:rPr>
  </w:style>
  <w:style w:type="paragraph" w:styleId="ListParagraph">
    <w:name w:val="List Paragraph"/>
    <w:basedOn w:val="Normal"/>
    <w:uiPriority w:val="34"/>
    <w:qFormat/>
    <w:rsid w:val="00060614"/>
    <w:pPr>
      <w:ind w:left="720"/>
      <w:contextualSpacing/>
    </w:pPr>
  </w:style>
  <w:style w:type="character" w:styleId="IntenseEmphasis">
    <w:name w:val="Intense Emphasis"/>
    <w:basedOn w:val="DefaultParagraphFont"/>
    <w:uiPriority w:val="21"/>
    <w:qFormat/>
    <w:rsid w:val="00060614"/>
    <w:rPr>
      <w:i/>
      <w:iCs/>
      <w:color w:val="0F4761" w:themeColor="accent1" w:themeShade="BF"/>
    </w:rPr>
  </w:style>
  <w:style w:type="paragraph" w:styleId="IntenseQuote">
    <w:name w:val="Intense Quote"/>
    <w:basedOn w:val="Normal"/>
    <w:next w:val="Normal"/>
    <w:link w:val="IntenseQuoteChar"/>
    <w:uiPriority w:val="30"/>
    <w:qFormat/>
    <w:rsid w:val="000606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614"/>
    <w:rPr>
      <w:i/>
      <w:iCs/>
      <w:color w:val="0F4761" w:themeColor="accent1" w:themeShade="BF"/>
    </w:rPr>
  </w:style>
  <w:style w:type="character" w:styleId="IntenseReference">
    <w:name w:val="Intense Reference"/>
    <w:basedOn w:val="DefaultParagraphFont"/>
    <w:uiPriority w:val="32"/>
    <w:qFormat/>
    <w:rsid w:val="00060614"/>
    <w:rPr>
      <w:b/>
      <w:bCs/>
      <w:smallCaps/>
      <w:color w:val="0F4761" w:themeColor="accent1" w:themeShade="BF"/>
      <w:spacing w:val="5"/>
    </w:rPr>
  </w:style>
  <w:style w:type="paragraph" w:styleId="NormalWeb">
    <w:name w:val="Normal (Web)"/>
    <w:basedOn w:val="Normal"/>
    <w:uiPriority w:val="99"/>
    <w:semiHidden/>
    <w:unhideWhenUsed/>
    <w:rsid w:val="000606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060614"/>
    <w:rPr>
      <w:color w:val="0000FF"/>
      <w:u w:val="single"/>
    </w:rPr>
  </w:style>
  <w:style w:type="character" w:styleId="Emphasis">
    <w:name w:val="Emphasis"/>
    <w:basedOn w:val="DefaultParagraphFont"/>
    <w:uiPriority w:val="20"/>
    <w:qFormat/>
    <w:rsid w:val="000606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3163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igoone/cdi_proquest_miscellaneous_1711546414" TargetMode="External"/><Relationship Id="rId13" Type="http://schemas.openxmlformats.org/officeDocument/2006/relationships/hyperlink" Target="https://librarysearch.uwtsd.ac.uk/permalink/44WHELF_UWTSD/igoone/cdi_jstor_books_j_ctv2t4b9h_11" TargetMode="External"/><Relationship Id="rId18" Type="http://schemas.openxmlformats.org/officeDocument/2006/relationships/hyperlink" Target="https://doi.org/10.1017/S147474642400003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librarysearch.uwtsd.ac.uk/permalink/44WHELF_UWTSD/neci73/cdi_pubmedcentral_primary_oai_pubmedcentral_nih_gov_6388580" TargetMode="External"/><Relationship Id="rId7" Type="http://schemas.openxmlformats.org/officeDocument/2006/relationships/hyperlink" Target="https://librarysearch.uwtsd.ac.uk/permalink/44WHELF_UWTSD/igoone/cdi_proquest_miscellaneous_60079304" TargetMode="External"/><Relationship Id="rId12" Type="http://schemas.openxmlformats.org/officeDocument/2006/relationships/hyperlink" Target="https://librarysearch.uwtsd.ac.uk/permalink/44WHELF_UWTSD/igoone/cdi_wiley_primary_10_1111_j_1467_8306_1977_tb01160_x_ANNA538" TargetMode="External"/><Relationship Id="rId17" Type="http://schemas.openxmlformats.org/officeDocument/2006/relationships/hyperlink" Target="https://librarysearch.uwtsd.ac.uk/permalink/44WHELF_UWTSD/igoone/cdi_informaworld_taylorfrancisbooks_10_4324_9781003176619_12_version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4324/9781003176619-12" TargetMode="External"/><Relationship Id="rId20" Type="http://schemas.openxmlformats.org/officeDocument/2006/relationships/hyperlink" Target="https://doi.org/10.3390/ijerph16030379" TargetMode="External"/><Relationship Id="rId1" Type="http://schemas.openxmlformats.org/officeDocument/2006/relationships/numbering" Target="numbering.xml"/><Relationship Id="rId6" Type="http://schemas.openxmlformats.org/officeDocument/2006/relationships/hyperlink" Target="https://doi.org/10.2307/3316736" TargetMode="External"/><Relationship Id="rId11" Type="http://schemas.openxmlformats.org/officeDocument/2006/relationships/hyperlink" Target="https://doi.org/10.1111/j.1467-8306.1977.tb01160.x" TargetMode="External"/><Relationship Id="rId24" Type="http://schemas.openxmlformats.org/officeDocument/2006/relationships/hyperlink" Target="https://doi.org/10.1093/acprof:oso/9780199566464.001.0001" TargetMode="External"/><Relationship Id="rId5" Type="http://schemas.openxmlformats.org/officeDocument/2006/relationships/hyperlink" Target="https://librarysearch.uwtsd.ac.uk/permalink/44WHELF_UWTSD/igoone/cdi_crossref_primary_10_1177_02610183241229053" TargetMode="External"/><Relationship Id="rId15" Type="http://schemas.openxmlformats.org/officeDocument/2006/relationships/hyperlink" Target="https://journals.sagepub.com/doi/10.1177/17488958241300231" TargetMode="External"/><Relationship Id="rId23" Type="http://schemas.openxmlformats.org/officeDocument/2006/relationships/hyperlink" Target="https://librarysearch.uwtsd.ac.uk/permalink/44WHELF_UWTSD/upgrip/alma99100107588702421" TargetMode="External"/><Relationship Id="rId10" Type="http://schemas.openxmlformats.org/officeDocument/2006/relationships/hyperlink" Target="https://theconversation.com/uk/team" TargetMode="External"/><Relationship Id="rId19" Type="http://schemas.openxmlformats.org/officeDocument/2006/relationships/hyperlink" Target="https://librarysearch.uwtsd.ac.uk/permalink/44WHELF_UWTSD/igoone/cdi_crossref_primary_10_1017_S1474746424000034" TargetMode="External"/><Relationship Id="rId4" Type="http://schemas.openxmlformats.org/officeDocument/2006/relationships/webSettings" Target="webSettings.xml"/><Relationship Id="rId9" Type="http://schemas.openxmlformats.org/officeDocument/2006/relationships/hyperlink" Target="https://theconversation.com/how-romani-gypsy-and-traveller-people-have-shaped-britains-musical-heritage-232522" TargetMode="External"/><Relationship Id="rId14" Type="http://schemas.openxmlformats.org/officeDocument/2006/relationships/hyperlink" Target="https://doi.org/10.1177/17488958241300231" TargetMode="External"/><Relationship Id="rId22" Type="http://schemas.openxmlformats.org/officeDocument/2006/relationships/hyperlink" Target="https://librarysearch.uwtsd.ac.uk/permalink/44WHELF_UWTSD/igoone/cdi_nuig_dspace_oai_https_researchrepository_universityofgalway_ie_10379_2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1242</Words>
  <Characters>9627</Characters>
  <Application>Microsoft Office Word</Application>
  <DocSecurity>0</DocSecurity>
  <Lines>188</Lines>
  <Paragraphs>58</Paragraphs>
  <ScaleCrop>false</ScaleCrop>
  <Company/>
  <LinksUpToDate>false</LinksUpToDate>
  <CharactersWithSpaces>10811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dcterms:created xsi:type="dcterms:W3CDTF">2024-12-14T14:56:00Z</dcterms:created>
  <dcterms:modified xsi:type="dcterms:W3CDTF">2024-12-14T14:56:00Z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9012ea24-5883-405e-9d16-9dcebc179d13</vt:lpwstr>
  </property>
</Properties>
</file>