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927D2A" w:rsidRDefault="00A930CB" w:rsidP="00A930CB">
          <w:pPr>
            <w:spacing w:after="165" w:line="360" w:lineRule="auto"/>
            <w:rPr>
              <w:rFonts w:ascii="Arial" w:hAnsi="Arial" w:cs="Arial"/>
              <w:color w:val="000000"/>
              <w:sz w:val="40"/>
              <w:szCs w:val="40"/>
            </w:rPr>
          </w:pPr>
          <w:r w:rsidRPr="00927D2A">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927D2A" w:rsidRDefault="00A930CB" w:rsidP="00A930CB">
          <w:pPr>
            <w:spacing w:after="165" w:line="360" w:lineRule="auto"/>
            <w:jc w:val="center"/>
            <w:rPr>
              <w:rFonts w:ascii="Arial" w:hAnsi="Arial" w:cs="Arial"/>
              <w:color w:val="000000"/>
              <w:sz w:val="40"/>
              <w:szCs w:val="40"/>
            </w:rPr>
          </w:pPr>
          <w:r w:rsidRPr="00927D2A">
            <w:rPr>
              <w:rFonts w:ascii="Arial" w:hAnsi="Arial" w:cs="Arial"/>
              <w:color w:val="000000"/>
              <w:sz w:val="40"/>
              <w:szCs w:val="40"/>
            </w:rPr>
            <w:t xml:space="preserve">Module Assignment Submission </w:t>
          </w:r>
          <w:r w:rsidRPr="00927D2A">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927D2A" w14:paraId="7E157FF9" w14:textId="77777777" w:rsidTr="0030173B">
            <w:tc>
              <w:tcPr>
                <w:tcW w:w="3438" w:type="dxa"/>
                <w:shd w:val="clear" w:color="auto" w:fill="D9D9D9"/>
              </w:tcPr>
              <w:p w14:paraId="049D6C4E" w14:textId="77777777" w:rsidR="00A930CB" w:rsidRPr="00927D2A" w:rsidRDefault="00A930CB" w:rsidP="00A930CB">
                <w:pPr>
                  <w:spacing w:before="120" w:after="120" w:line="360" w:lineRule="auto"/>
                  <w:rPr>
                    <w:rFonts w:ascii="Arial" w:hAnsi="Arial" w:cs="Arial"/>
                    <w:sz w:val="32"/>
                    <w:szCs w:val="32"/>
                  </w:rPr>
                </w:pPr>
                <w:r w:rsidRPr="00927D2A">
                  <w:rPr>
                    <w:rFonts w:ascii="Arial" w:hAnsi="Arial" w:cs="Arial"/>
                    <w:sz w:val="32"/>
                    <w:szCs w:val="32"/>
                  </w:rPr>
                  <w:t>Student Name:</w:t>
                </w:r>
              </w:p>
            </w:tc>
            <w:tc>
              <w:tcPr>
                <w:tcW w:w="6055" w:type="dxa"/>
              </w:tcPr>
              <w:p w14:paraId="26509FF7" w14:textId="7121E7AF" w:rsidR="00A930CB" w:rsidRPr="00927D2A" w:rsidRDefault="007C07B7" w:rsidP="00A930CB">
                <w:pPr>
                  <w:spacing w:before="120" w:after="120" w:line="360" w:lineRule="auto"/>
                  <w:rPr>
                    <w:rFonts w:ascii="Arial" w:hAnsi="Arial" w:cs="Arial"/>
                    <w:color w:val="000000" w:themeColor="text1"/>
                    <w:sz w:val="28"/>
                    <w:szCs w:val="28"/>
                  </w:rPr>
                </w:pPr>
                <w:r w:rsidRPr="00927D2A">
                  <w:rPr>
                    <w:rFonts w:ascii="Arial" w:hAnsi="Arial" w:cs="Arial"/>
                    <w:color w:val="000000" w:themeColor="text1"/>
                    <w:sz w:val="28"/>
                    <w:szCs w:val="28"/>
                  </w:rPr>
                  <w:t xml:space="preserve">Monica Iftode </w:t>
                </w:r>
              </w:p>
            </w:tc>
          </w:tr>
          <w:tr w:rsidR="00A930CB" w:rsidRPr="00927D2A" w14:paraId="47B8061E" w14:textId="77777777" w:rsidTr="0030173B">
            <w:tc>
              <w:tcPr>
                <w:tcW w:w="3438" w:type="dxa"/>
                <w:shd w:val="clear" w:color="auto" w:fill="D9D9D9"/>
              </w:tcPr>
              <w:p w14:paraId="19DB6AF8" w14:textId="77777777" w:rsidR="00A930CB" w:rsidRPr="00927D2A" w:rsidRDefault="00A930CB" w:rsidP="00A930CB">
                <w:pPr>
                  <w:spacing w:before="120" w:after="120" w:line="360" w:lineRule="auto"/>
                  <w:rPr>
                    <w:rFonts w:ascii="Arial" w:hAnsi="Arial" w:cs="Arial"/>
                    <w:sz w:val="32"/>
                    <w:szCs w:val="32"/>
                  </w:rPr>
                </w:pPr>
                <w:r w:rsidRPr="00927D2A">
                  <w:rPr>
                    <w:rFonts w:ascii="Arial" w:hAnsi="Arial" w:cs="Arial"/>
                    <w:sz w:val="32"/>
                    <w:szCs w:val="32"/>
                  </w:rPr>
                  <w:t>Student Number:</w:t>
                </w:r>
              </w:p>
            </w:tc>
            <w:tc>
              <w:tcPr>
                <w:tcW w:w="6055" w:type="dxa"/>
              </w:tcPr>
              <w:p w14:paraId="11A37B25" w14:textId="7BD67CF8" w:rsidR="00A930CB" w:rsidRPr="00927D2A" w:rsidRDefault="00855421" w:rsidP="00A930CB">
                <w:pPr>
                  <w:spacing w:before="120" w:after="120" w:line="360" w:lineRule="auto"/>
                  <w:rPr>
                    <w:rFonts w:ascii="Arial" w:hAnsi="Arial" w:cs="Arial"/>
                    <w:color w:val="000000" w:themeColor="text1"/>
                    <w:sz w:val="28"/>
                    <w:szCs w:val="28"/>
                  </w:rPr>
                </w:pPr>
                <w:r w:rsidRPr="00927D2A">
                  <w:rPr>
                    <w:rFonts w:ascii="Arial" w:hAnsi="Arial" w:cs="Arial"/>
                    <w:color w:val="000000" w:themeColor="text1"/>
                    <w:sz w:val="28"/>
                    <w:szCs w:val="28"/>
                  </w:rPr>
                  <w:t>200883</w:t>
                </w:r>
                <w:r w:rsidR="007C07B7" w:rsidRPr="00927D2A">
                  <w:rPr>
                    <w:rFonts w:ascii="Arial" w:hAnsi="Arial" w:cs="Arial"/>
                    <w:color w:val="000000" w:themeColor="text1"/>
                    <w:sz w:val="28"/>
                    <w:szCs w:val="28"/>
                  </w:rPr>
                  <w:t>9</w:t>
                </w:r>
              </w:p>
            </w:tc>
          </w:tr>
          <w:tr w:rsidR="00A930CB" w:rsidRPr="00927D2A" w14:paraId="349EAAAF" w14:textId="77777777" w:rsidTr="0030173B">
            <w:tc>
              <w:tcPr>
                <w:tcW w:w="3438" w:type="dxa"/>
                <w:shd w:val="clear" w:color="auto" w:fill="D9D9D9"/>
              </w:tcPr>
              <w:p w14:paraId="79CF9844" w14:textId="1A14AA8B" w:rsidR="00A930CB" w:rsidRPr="00927D2A" w:rsidRDefault="00A930CB" w:rsidP="00A930CB">
                <w:pPr>
                  <w:spacing w:before="120" w:after="120" w:line="360" w:lineRule="auto"/>
                  <w:rPr>
                    <w:rFonts w:ascii="Arial" w:hAnsi="Arial" w:cs="Arial"/>
                    <w:sz w:val="32"/>
                    <w:szCs w:val="32"/>
                  </w:rPr>
                </w:pPr>
                <w:r w:rsidRPr="00927D2A">
                  <w:rPr>
                    <w:rFonts w:ascii="Arial" w:hAnsi="Arial" w:cs="Arial"/>
                    <w:sz w:val="32"/>
                    <w:szCs w:val="32"/>
                  </w:rPr>
                  <w:t xml:space="preserve">Module </w:t>
                </w:r>
                <w:r w:rsidR="005D5E30" w:rsidRPr="00927D2A">
                  <w:rPr>
                    <w:rFonts w:ascii="Arial" w:hAnsi="Arial" w:cs="Arial"/>
                    <w:sz w:val="32"/>
                    <w:szCs w:val="32"/>
                  </w:rPr>
                  <w:t>Code</w:t>
                </w:r>
                <w:r w:rsidRPr="00927D2A">
                  <w:rPr>
                    <w:rFonts w:ascii="Arial" w:hAnsi="Arial" w:cs="Arial"/>
                    <w:sz w:val="32"/>
                    <w:szCs w:val="32"/>
                  </w:rPr>
                  <w:t>:</w:t>
                </w:r>
              </w:p>
            </w:tc>
            <w:tc>
              <w:tcPr>
                <w:tcW w:w="6055" w:type="dxa"/>
              </w:tcPr>
              <w:p w14:paraId="2C117412" w14:textId="2373EEDE" w:rsidR="00A930CB" w:rsidRPr="00927D2A" w:rsidRDefault="00855421" w:rsidP="00A930CB">
                <w:pPr>
                  <w:spacing w:before="120" w:after="120" w:line="360" w:lineRule="auto"/>
                  <w:rPr>
                    <w:rFonts w:ascii="Arial" w:hAnsi="Arial" w:cs="Arial"/>
                    <w:color w:val="000000" w:themeColor="text1"/>
                    <w:sz w:val="28"/>
                    <w:szCs w:val="28"/>
                  </w:rPr>
                </w:pPr>
                <w:r w:rsidRPr="00927D2A">
                  <w:rPr>
                    <w:rFonts w:ascii="Arial" w:hAnsi="Arial" w:cs="Arial"/>
                    <w:color w:val="000000" w:themeColor="text1"/>
                    <w:sz w:val="28"/>
                    <w:szCs w:val="28"/>
                  </w:rPr>
                  <w:t>BMSK5003</w:t>
                </w:r>
                <w:r w:rsidR="000A605A" w:rsidRPr="00B87B1B">
                  <w:t xml:space="preserve"> </w:t>
                </w:r>
              </w:p>
            </w:tc>
          </w:tr>
          <w:tr w:rsidR="000A605A" w:rsidRPr="00927D2A" w14:paraId="518AD534" w14:textId="77777777" w:rsidTr="0030173B">
            <w:trPr>
              <w:trHeight w:val="413"/>
            </w:trPr>
            <w:tc>
              <w:tcPr>
                <w:tcW w:w="3438" w:type="dxa"/>
                <w:shd w:val="clear" w:color="auto" w:fill="D9D9D9"/>
              </w:tcPr>
              <w:p w14:paraId="1FBFD701" w14:textId="03B58B57" w:rsidR="000A605A" w:rsidRPr="00927D2A" w:rsidRDefault="000A605A" w:rsidP="00A930CB">
                <w:pPr>
                  <w:spacing w:before="120" w:after="120" w:line="360" w:lineRule="auto"/>
                  <w:rPr>
                    <w:rFonts w:ascii="Arial" w:hAnsi="Arial" w:cs="Arial"/>
                    <w:sz w:val="32"/>
                    <w:szCs w:val="32"/>
                  </w:rPr>
                </w:pPr>
                <w:r w:rsidRPr="00927D2A">
                  <w:rPr>
                    <w:rFonts w:ascii="Arial" w:hAnsi="Arial" w:cs="Arial"/>
                    <w:sz w:val="32"/>
                    <w:szCs w:val="32"/>
                  </w:rPr>
                  <w:t>Module Title:</w:t>
                </w:r>
              </w:p>
            </w:tc>
            <w:tc>
              <w:tcPr>
                <w:tcW w:w="6055" w:type="dxa"/>
              </w:tcPr>
              <w:p w14:paraId="1BAE5D53" w14:textId="77777777" w:rsidR="000A605A" w:rsidRDefault="000A605A" w:rsidP="000A605A">
                <w:pPr>
                  <w:spacing w:before="120" w:after="120" w:line="360" w:lineRule="auto"/>
                  <w:rPr>
                    <w:rFonts w:ascii="Arial" w:hAnsi="Arial" w:cs="Arial"/>
                    <w:color w:val="FF0000"/>
                    <w:sz w:val="24"/>
                    <w:szCs w:val="24"/>
                  </w:rPr>
                </w:pPr>
                <w:r w:rsidRPr="000A605A">
                  <w:rPr>
                    <w:rFonts w:ascii="Arial" w:hAnsi="Arial" w:cs="Arial"/>
                    <w:color w:val="000000" w:themeColor="text1"/>
                    <w:sz w:val="28"/>
                    <w:szCs w:val="28"/>
                  </w:rPr>
                  <w:t>Understanding and Engaging in the Customer Experience</w:t>
                </w:r>
                <w:r>
                  <w:rPr>
                    <w:rFonts w:ascii="Arial" w:hAnsi="Arial" w:cs="Arial"/>
                    <w:color w:val="000000" w:themeColor="text1"/>
                    <w:sz w:val="28"/>
                    <w:szCs w:val="28"/>
                  </w:rPr>
                  <w:t xml:space="preserve"> </w:t>
                </w:r>
              </w:p>
              <w:p w14:paraId="1DA80314" w14:textId="77777777" w:rsidR="000A605A" w:rsidRPr="00927D2A" w:rsidRDefault="000A605A" w:rsidP="000A605A">
                <w:pPr>
                  <w:pStyle w:val="Heading2"/>
                  <w:rPr>
                    <w:rFonts w:ascii="Arial" w:hAnsi="Arial" w:cs="Arial"/>
                    <w:color w:val="000000" w:themeColor="text1"/>
                    <w:sz w:val="28"/>
                    <w:szCs w:val="28"/>
                  </w:rPr>
                </w:pPr>
              </w:p>
            </w:tc>
          </w:tr>
        </w:tbl>
        <w:p w14:paraId="0A0EA5DB" w14:textId="77777777" w:rsidR="000A605A" w:rsidRPr="00927D2A" w:rsidRDefault="000A605A" w:rsidP="00A930CB">
          <w:pPr>
            <w:spacing w:before="120" w:after="120" w:line="360" w:lineRule="auto"/>
            <w:rPr>
              <w:rFonts w:ascii="Arial" w:hAnsi="Arial" w:cs="Arial"/>
              <w:color w:val="FF0000"/>
              <w:sz w:val="24"/>
              <w:szCs w:val="24"/>
            </w:rPr>
          </w:pPr>
        </w:p>
        <w:p w14:paraId="225E9DEB" w14:textId="77777777" w:rsidR="00A930CB" w:rsidRPr="00927D2A" w:rsidRDefault="00A930CB" w:rsidP="00A930CB">
          <w:pPr>
            <w:spacing w:before="120" w:after="120" w:line="360" w:lineRule="auto"/>
            <w:rPr>
              <w:rFonts w:ascii="Arial" w:hAnsi="Arial" w:cs="Arial"/>
              <w:b/>
              <w:color w:val="000000"/>
              <w:sz w:val="24"/>
              <w:szCs w:val="24"/>
            </w:rPr>
          </w:pPr>
          <w:r w:rsidRPr="00927D2A">
            <w:rPr>
              <w:rFonts w:ascii="Arial" w:hAnsi="Arial" w:cs="Arial"/>
              <w:b/>
              <w:color w:val="000000"/>
              <w:sz w:val="24"/>
              <w:szCs w:val="24"/>
            </w:rPr>
            <w:t>Statement of Confirmation of Authenticity</w:t>
          </w:r>
        </w:p>
        <w:p w14:paraId="22DD05FB" w14:textId="77777777" w:rsidR="00A930CB" w:rsidRPr="00927D2A" w:rsidRDefault="00A930CB" w:rsidP="00A930CB">
          <w:pPr>
            <w:spacing w:before="120" w:after="120" w:line="360" w:lineRule="auto"/>
            <w:rPr>
              <w:rFonts w:ascii="Arial" w:hAnsi="Arial" w:cs="Arial"/>
              <w:color w:val="000000"/>
              <w:sz w:val="24"/>
              <w:szCs w:val="24"/>
            </w:rPr>
          </w:pPr>
          <w:r w:rsidRPr="00927D2A">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Pr="00927D2A" w:rsidRDefault="00A930CB" w:rsidP="008346D5">
          <w:pPr>
            <w:spacing w:before="120" w:after="120" w:line="360" w:lineRule="auto"/>
            <w:rPr>
              <w:rFonts w:ascii="Arial" w:hAnsi="Arial" w:cs="Arial"/>
              <w:color w:val="000000"/>
              <w:sz w:val="24"/>
              <w:szCs w:val="24"/>
            </w:rPr>
          </w:pPr>
          <w:r w:rsidRPr="00927D2A">
            <w:rPr>
              <w:rFonts w:ascii="Arial" w:hAnsi="Arial" w:cs="Arial"/>
              <w:color w:val="000000"/>
              <w:sz w:val="24"/>
              <w:szCs w:val="24"/>
            </w:rPr>
            <w:t>Attention is drawn to the plagiarism and unfair practice policies of the University</w:t>
          </w:r>
          <w:r w:rsidR="00F91F18" w:rsidRPr="00927D2A">
            <w:rPr>
              <w:rFonts w:ascii="Arial" w:hAnsi="Arial" w:cs="Arial"/>
              <w:color w:val="000000"/>
              <w:sz w:val="24"/>
              <w:szCs w:val="24"/>
            </w:rPr>
            <w:t>.</w:t>
          </w:r>
          <w:r w:rsidRPr="00927D2A">
            <w:rPr>
              <w:rFonts w:ascii="Arial" w:hAnsi="Arial" w:cs="Arial"/>
              <w:color w:val="000000"/>
              <w:sz w:val="24"/>
              <w:szCs w:val="24"/>
            </w:rPr>
            <w:t xml:space="preserve"> </w:t>
          </w:r>
        </w:p>
        <w:p w14:paraId="625660F1" w14:textId="77777777" w:rsidR="00A45277" w:rsidRPr="00927D2A" w:rsidRDefault="00A45277" w:rsidP="008346D5">
          <w:pPr>
            <w:spacing w:before="120" w:after="120" w:line="360" w:lineRule="auto"/>
            <w:rPr>
              <w:rFonts w:ascii="Arial" w:hAnsi="Arial" w:cs="Arial"/>
              <w:color w:val="000000"/>
              <w:sz w:val="24"/>
              <w:szCs w:val="24"/>
            </w:rPr>
          </w:pPr>
        </w:p>
        <w:p w14:paraId="1E8CE651" w14:textId="625B1631" w:rsidR="00885114" w:rsidRPr="00927D2A" w:rsidRDefault="00885114" w:rsidP="00A45277">
          <w:pPr>
            <w:rPr>
              <w:rFonts w:ascii="Arial" w:hAnsi="Arial" w:cs="Arial"/>
              <w:color w:val="000000"/>
              <w:sz w:val="24"/>
              <w:szCs w:val="24"/>
            </w:rPr>
          </w:pPr>
        </w:p>
        <w:p w14:paraId="5B6F418C" w14:textId="56327957" w:rsidR="00F91F18" w:rsidRPr="00927D2A" w:rsidRDefault="00F91F18" w:rsidP="00A45277">
          <w:pPr>
            <w:rPr>
              <w:rFonts w:ascii="Arial" w:hAnsi="Arial" w:cs="Arial"/>
              <w:color w:val="000000"/>
              <w:sz w:val="24"/>
              <w:szCs w:val="24"/>
            </w:rPr>
          </w:pPr>
        </w:p>
        <w:p w14:paraId="6965E481" w14:textId="04FC2A45" w:rsidR="00F91F18" w:rsidRPr="00927D2A" w:rsidRDefault="00F91F18" w:rsidP="00A45277">
          <w:pPr>
            <w:rPr>
              <w:rFonts w:ascii="Arial" w:hAnsi="Arial" w:cs="Arial"/>
              <w:color w:val="000000"/>
              <w:sz w:val="24"/>
              <w:szCs w:val="24"/>
            </w:rPr>
          </w:pPr>
        </w:p>
        <w:p w14:paraId="58EE40C7" w14:textId="4737F679" w:rsidR="00F91F18" w:rsidRPr="00927D2A" w:rsidRDefault="00F91F18" w:rsidP="00A45277">
          <w:pPr>
            <w:rPr>
              <w:rFonts w:ascii="Arial" w:hAnsi="Arial" w:cs="Arial"/>
              <w:color w:val="000000"/>
              <w:sz w:val="24"/>
              <w:szCs w:val="24"/>
            </w:rPr>
          </w:pPr>
        </w:p>
        <w:p w14:paraId="48F7542D" w14:textId="77777777" w:rsidR="00F91F18" w:rsidRPr="00927D2A" w:rsidRDefault="00F91F18" w:rsidP="00A45277">
          <w:pPr>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C746B42" w:rsidR="00885114" w:rsidRPr="002F2E27" w:rsidRDefault="00885114">
              <w:pPr>
                <w:pStyle w:val="TOCHeading"/>
                <w:rPr>
                  <w:rFonts w:ascii="Arial" w:hAnsi="Arial" w:cs="Arial"/>
                  <w:color w:val="5B9BD5" w:themeColor="accent1"/>
                </w:rPr>
              </w:pPr>
              <w:r w:rsidRPr="002F2E27">
                <w:rPr>
                  <w:rFonts w:ascii="Arial" w:hAnsi="Arial" w:cs="Arial"/>
                  <w:color w:val="5B9BD5" w:themeColor="accent1"/>
                </w:rPr>
                <w:t>Table of Contents</w:t>
              </w:r>
            </w:p>
            <w:p w14:paraId="4943C68D" w14:textId="4824E790" w:rsidR="00674BCE" w:rsidRPr="00927D2A" w:rsidRDefault="00674BCE" w:rsidP="00674BCE">
              <w:pPr>
                <w:rPr>
                  <w:rFonts w:ascii="Arial" w:hAnsi="Arial" w:cs="Arial"/>
                  <w:lang w:val="en-US"/>
                </w:rPr>
              </w:pPr>
            </w:p>
            <w:p w14:paraId="4AD45F12" w14:textId="77777777" w:rsidR="00674BCE" w:rsidRPr="00927D2A" w:rsidRDefault="00674BCE" w:rsidP="00674BCE">
              <w:pPr>
                <w:rPr>
                  <w:rFonts w:ascii="Arial" w:hAnsi="Arial" w:cs="Arial"/>
                  <w:lang w:val="en-US"/>
                </w:rPr>
              </w:pPr>
            </w:p>
            <w:p w14:paraId="63EF2C39" w14:textId="4E4F3A80" w:rsidR="00134BC8" w:rsidRDefault="00885114">
              <w:pPr>
                <w:pStyle w:val="TOC1"/>
                <w:tabs>
                  <w:tab w:val="right" w:leader="dot" w:pos="9350"/>
                </w:tabs>
                <w:rPr>
                  <w:rFonts w:eastAsiaTheme="minorEastAsia"/>
                  <w:noProof/>
                  <w:lang w:eastAsia="en-GB"/>
                </w:rPr>
              </w:pPr>
              <w:r w:rsidRPr="00927D2A">
                <w:rPr>
                  <w:rFonts w:ascii="Arial" w:hAnsi="Arial" w:cs="Arial"/>
                </w:rPr>
                <w:fldChar w:fldCharType="begin"/>
              </w:r>
              <w:r w:rsidRPr="00927D2A">
                <w:rPr>
                  <w:rFonts w:ascii="Arial" w:hAnsi="Arial" w:cs="Arial"/>
                </w:rPr>
                <w:instrText xml:space="preserve"> TOC \o "1-3" \h \z \u </w:instrText>
              </w:r>
              <w:r w:rsidRPr="00927D2A">
                <w:rPr>
                  <w:rFonts w:ascii="Arial" w:hAnsi="Arial" w:cs="Arial"/>
                </w:rPr>
                <w:fldChar w:fldCharType="separate"/>
              </w:r>
              <w:hyperlink w:anchor="_Toc121050361" w:history="1">
                <w:r w:rsidR="00134BC8" w:rsidRPr="00BB47D4">
                  <w:rPr>
                    <w:rStyle w:val="Hyperlink"/>
                    <w:rFonts w:ascii="Arial" w:hAnsi="Arial" w:cs="Arial"/>
                    <w:noProof/>
                  </w:rPr>
                  <w:t>Introduction</w:t>
                </w:r>
                <w:r w:rsidR="00134BC8">
                  <w:rPr>
                    <w:noProof/>
                    <w:webHidden/>
                  </w:rPr>
                  <w:tab/>
                </w:r>
                <w:r w:rsidR="00134BC8">
                  <w:rPr>
                    <w:noProof/>
                    <w:webHidden/>
                  </w:rPr>
                  <w:fldChar w:fldCharType="begin"/>
                </w:r>
                <w:r w:rsidR="00134BC8">
                  <w:rPr>
                    <w:noProof/>
                    <w:webHidden/>
                  </w:rPr>
                  <w:instrText xml:space="preserve"> PAGEREF _Toc121050361 \h </w:instrText>
                </w:r>
                <w:r w:rsidR="00134BC8">
                  <w:rPr>
                    <w:noProof/>
                    <w:webHidden/>
                  </w:rPr>
                </w:r>
                <w:r w:rsidR="00134BC8">
                  <w:rPr>
                    <w:noProof/>
                    <w:webHidden/>
                  </w:rPr>
                  <w:fldChar w:fldCharType="separate"/>
                </w:r>
                <w:r w:rsidR="00134BC8">
                  <w:rPr>
                    <w:noProof/>
                    <w:webHidden/>
                  </w:rPr>
                  <w:t>2</w:t>
                </w:r>
                <w:r w:rsidR="00134BC8">
                  <w:rPr>
                    <w:noProof/>
                    <w:webHidden/>
                  </w:rPr>
                  <w:fldChar w:fldCharType="end"/>
                </w:r>
              </w:hyperlink>
            </w:p>
            <w:p w14:paraId="69806557" w14:textId="74F6842A" w:rsidR="00134BC8" w:rsidRDefault="00134BC8" w:rsidP="00134BC8">
              <w:pPr>
                <w:pStyle w:val="TOC2"/>
                <w:tabs>
                  <w:tab w:val="right" w:leader="dot" w:pos="9350"/>
                </w:tabs>
                <w:ind w:left="0"/>
                <w:rPr>
                  <w:rFonts w:eastAsiaTheme="minorEastAsia"/>
                  <w:noProof/>
                  <w:lang w:eastAsia="en-GB"/>
                </w:rPr>
              </w:pPr>
              <w:hyperlink w:anchor="_Toc121050362" w:history="1">
                <w:r w:rsidRPr="00BB47D4">
                  <w:rPr>
                    <w:rStyle w:val="Hyperlink"/>
                    <w:rFonts w:ascii="Arial" w:hAnsi="Arial" w:cs="Arial"/>
                    <w:b/>
                    <w:bCs/>
                    <w:noProof/>
                  </w:rPr>
                  <w:t>Critical understanding of your organisation’s quality processes and its effectiveness in meeting customer requirements.</w:t>
                </w:r>
                <w:r>
                  <w:rPr>
                    <w:noProof/>
                    <w:webHidden/>
                  </w:rPr>
                  <w:tab/>
                </w:r>
                <w:r>
                  <w:rPr>
                    <w:noProof/>
                    <w:webHidden/>
                  </w:rPr>
                  <w:fldChar w:fldCharType="begin"/>
                </w:r>
                <w:r>
                  <w:rPr>
                    <w:noProof/>
                    <w:webHidden/>
                  </w:rPr>
                  <w:instrText xml:space="preserve"> PAGEREF _Toc121050362 \h </w:instrText>
                </w:r>
                <w:r>
                  <w:rPr>
                    <w:noProof/>
                    <w:webHidden/>
                  </w:rPr>
                </w:r>
                <w:r>
                  <w:rPr>
                    <w:noProof/>
                    <w:webHidden/>
                  </w:rPr>
                  <w:fldChar w:fldCharType="separate"/>
                </w:r>
                <w:r>
                  <w:rPr>
                    <w:noProof/>
                    <w:webHidden/>
                  </w:rPr>
                  <w:t>2</w:t>
                </w:r>
                <w:r>
                  <w:rPr>
                    <w:noProof/>
                    <w:webHidden/>
                  </w:rPr>
                  <w:fldChar w:fldCharType="end"/>
                </w:r>
              </w:hyperlink>
            </w:p>
            <w:p w14:paraId="7DBCA440" w14:textId="1F474369" w:rsidR="00134BC8" w:rsidRDefault="00134BC8">
              <w:pPr>
                <w:pStyle w:val="TOC1"/>
                <w:tabs>
                  <w:tab w:val="right" w:leader="dot" w:pos="9350"/>
                </w:tabs>
                <w:rPr>
                  <w:rFonts w:eastAsiaTheme="minorEastAsia"/>
                  <w:noProof/>
                  <w:lang w:eastAsia="en-GB"/>
                </w:rPr>
              </w:pPr>
              <w:hyperlink w:anchor="_Toc121050363" w:history="1">
                <w:r w:rsidRPr="00BB47D4">
                  <w:rPr>
                    <w:rStyle w:val="Hyperlink"/>
                    <w:rFonts w:ascii="Arial" w:hAnsi="Arial" w:cs="Arial"/>
                    <w:noProof/>
                  </w:rPr>
                  <w:t>Organisation Overview</w:t>
                </w:r>
                <w:r>
                  <w:rPr>
                    <w:noProof/>
                    <w:webHidden/>
                  </w:rPr>
                  <w:tab/>
                </w:r>
                <w:r>
                  <w:rPr>
                    <w:noProof/>
                    <w:webHidden/>
                  </w:rPr>
                  <w:fldChar w:fldCharType="begin"/>
                </w:r>
                <w:r>
                  <w:rPr>
                    <w:noProof/>
                    <w:webHidden/>
                  </w:rPr>
                  <w:instrText xml:space="preserve"> PAGEREF _Toc121050363 \h </w:instrText>
                </w:r>
                <w:r>
                  <w:rPr>
                    <w:noProof/>
                    <w:webHidden/>
                  </w:rPr>
                </w:r>
                <w:r>
                  <w:rPr>
                    <w:noProof/>
                    <w:webHidden/>
                  </w:rPr>
                  <w:fldChar w:fldCharType="separate"/>
                </w:r>
                <w:r>
                  <w:rPr>
                    <w:noProof/>
                    <w:webHidden/>
                  </w:rPr>
                  <w:t>2</w:t>
                </w:r>
                <w:r>
                  <w:rPr>
                    <w:noProof/>
                    <w:webHidden/>
                  </w:rPr>
                  <w:fldChar w:fldCharType="end"/>
                </w:r>
              </w:hyperlink>
            </w:p>
            <w:p w14:paraId="48F62FCC" w14:textId="5A6DF91B" w:rsidR="00134BC8" w:rsidRDefault="00134BC8" w:rsidP="00134BC8">
              <w:pPr>
                <w:pStyle w:val="TOC2"/>
                <w:tabs>
                  <w:tab w:val="right" w:leader="dot" w:pos="9350"/>
                </w:tabs>
                <w:ind w:left="0"/>
                <w:rPr>
                  <w:rFonts w:eastAsiaTheme="minorEastAsia"/>
                  <w:noProof/>
                  <w:lang w:eastAsia="en-GB"/>
                </w:rPr>
              </w:pPr>
              <w:hyperlink w:anchor="_Toc121050364" w:history="1">
                <w:r w:rsidRPr="00BB47D4">
                  <w:rPr>
                    <w:rStyle w:val="Hyperlink"/>
                    <w:rFonts w:ascii="Arial" w:hAnsi="Arial" w:cs="Arial"/>
                    <w:noProof/>
                  </w:rPr>
                  <w:t>Organisation’s Customers</w:t>
                </w:r>
                <w:r>
                  <w:rPr>
                    <w:noProof/>
                    <w:webHidden/>
                  </w:rPr>
                  <w:tab/>
                </w:r>
                <w:r>
                  <w:rPr>
                    <w:noProof/>
                    <w:webHidden/>
                  </w:rPr>
                  <w:fldChar w:fldCharType="begin"/>
                </w:r>
                <w:r>
                  <w:rPr>
                    <w:noProof/>
                    <w:webHidden/>
                  </w:rPr>
                  <w:instrText xml:space="preserve"> PAGEREF _Toc121050364 \h </w:instrText>
                </w:r>
                <w:r>
                  <w:rPr>
                    <w:noProof/>
                    <w:webHidden/>
                  </w:rPr>
                </w:r>
                <w:r>
                  <w:rPr>
                    <w:noProof/>
                    <w:webHidden/>
                  </w:rPr>
                  <w:fldChar w:fldCharType="separate"/>
                </w:r>
                <w:r>
                  <w:rPr>
                    <w:noProof/>
                    <w:webHidden/>
                  </w:rPr>
                  <w:t>3</w:t>
                </w:r>
                <w:r>
                  <w:rPr>
                    <w:noProof/>
                    <w:webHidden/>
                  </w:rPr>
                  <w:fldChar w:fldCharType="end"/>
                </w:r>
              </w:hyperlink>
            </w:p>
            <w:p w14:paraId="27948B63" w14:textId="6D90A027" w:rsidR="00134BC8" w:rsidRDefault="00134BC8">
              <w:pPr>
                <w:pStyle w:val="TOC1"/>
                <w:tabs>
                  <w:tab w:val="right" w:leader="dot" w:pos="9350"/>
                </w:tabs>
                <w:rPr>
                  <w:rFonts w:eastAsiaTheme="minorEastAsia"/>
                  <w:noProof/>
                  <w:lang w:eastAsia="en-GB"/>
                </w:rPr>
              </w:pPr>
              <w:hyperlink w:anchor="_Toc121050365" w:history="1">
                <w:r w:rsidRPr="00BB47D4">
                  <w:rPr>
                    <w:rStyle w:val="Hyperlink"/>
                    <w:rFonts w:ascii="Arial" w:hAnsi="Arial" w:cs="Arial"/>
                    <w:noProof/>
                  </w:rPr>
                  <w:t>NHS Quality Care</w:t>
                </w:r>
                <w:r>
                  <w:rPr>
                    <w:noProof/>
                    <w:webHidden/>
                  </w:rPr>
                  <w:tab/>
                </w:r>
                <w:r>
                  <w:rPr>
                    <w:noProof/>
                    <w:webHidden/>
                  </w:rPr>
                  <w:fldChar w:fldCharType="begin"/>
                </w:r>
                <w:r>
                  <w:rPr>
                    <w:noProof/>
                    <w:webHidden/>
                  </w:rPr>
                  <w:instrText xml:space="preserve"> PAGEREF _Toc121050365 \h </w:instrText>
                </w:r>
                <w:r>
                  <w:rPr>
                    <w:noProof/>
                    <w:webHidden/>
                  </w:rPr>
                </w:r>
                <w:r>
                  <w:rPr>
                    <w:noProof/>
                    <w:webHidden/>
                  </w:rPr>
                  <w:fldChar w:fldCharType="separate"/>
                </w:r>
                <w:r>
                  <w:rPr>
                    <w:noProof/>
                    <w:webHidden/>
                  </w:rPr>
                  <w:t>3</w:t>
                </w:r>
                <w:r>
                  <w:rPr>
                    <w:noProof/>
                    <w:webHidden/>
                  </w:rPr>
                  <w:fldChar w:fldCharType="end"/>
                </w:r>
              </w:hyperlink>
            </w:p>
            <w:p w14:paraId="08B42C7C" w14:textId="65477928" w:rsidR="00134BC8" w:rsidRDefault="00134BC8" w:rsidP="00134BC8">
              <w:pPr>
                <w:pStyle w:val="TOC2"/>
                <w:tabs>
                  <w:tab w:val="right" w:leader="dot" w:pos="9350"/>
                </w:tabs>
                <w:ind w:left="0"/>
                <w:rPr>
                  <w:rFonts w:eastAsiaTheme="minorEastAsia"/>
                  <w:noProof/>
                  <w:lang w:eastAsia="en-GB"/>
                </w:rPr>
              </w:pPr>
              <w:hyperlink w:anchor="_Toc121050366" w:history="1">
                <w:r w:rsidRPr="00BB47D4">
                  <w:rPr>
                    <w:rStyle w:val="Hyperlink"/>
                    <w:rFonts w:ascii="Arial" w:hAnsi="Arial" w:cs="Arial"/>
                    <w:noProof/>
                  </w:rPr>
                  <w:t>Customer Relationship Management</w:t>
                </w:r>
                <w:r>
                  <w:rPr>
                    <w:noProof/>
                    <w:webHidden/>
                  </w:rPr>
                  <w:tab/>
                </w:r>
                <w:r>
                  <w:rPr>
                    <w:noProof/>
                    <w:webHidden/>
                  </w:rPr>
                  <w:fldChar w:fldCharType="begin"/>
                </w:r>
                <w:r>
                  <w:rPr>
                    <w:noProof/>
                    <w:webHidden/>
                  </w:rPr>
                  <w:instrText xml:space="preserve"> PAGEREF _Toc121050366 \h </w:instrText>
                </w:r>
                <w:r>
                  <w:rPr>
                    <w:noProof/>
                    <w:webHidden/>
                  </w:rPr>
                </w:r>
                <w:r>
                  <w:rPr>
                    <w:noProof/>
                    <w:webHidden/>
                  </w:rPr>
                  <w:fldChar w:fldCharType="separate"/>
                </w:r>
                <w:r>
                  <w:rPr>
                    <w:noProof/>
                    <w:webHidden/>
                  </w:rPr>
                  <w:t>6</w:t>
                </w:r>
                <w:r>
                  <w:rPr>
                    <w:noProof/>
                    <w:webHidden/>
                  </w:rPr>
                  <w:fldChar w:fldCharType="end"/>
                </w:r>
              </w:hyperlink>
            </w:p>
            <w:p w14:paraId="031B4A85" w14:textId="50BB018D" w:rsidR="00134BC8" w:rsidRDefault="00134BC8" w:rsidP="00134BC8">
              <w:pPr>
                <w:pStyle w:val="TOC2"/>
                <w:tabs>
                  <w:tab w:val="right" w:leader="dot" w:pos="9350"/>
                </w:tabs>
                <w:ind w:left="0"/>
                <w:rPr>
                  <w:rFonts w:eastAsiaTheme="minorEastAsia"/>
                  <w:noProof/>
                  <w:lang w:eastAsia="en-GB"/>
                </w:rPr>
              </w:pPr>
              <w:hyperlink w:anchor="_Toc121050367" w:history="1">
                <w:r w:rsidRPr="00BB47D4">
                  <w:rPr>
                    <w:rStyle w:val="Hyperlink"/>
                    <w:rFonts w:ascii="Arial" w:hAnsi="Arial" w:cs="Arial"/>
                    <w:noProof/>
                  </w:rPr>
                  <w:t>Quality Process (Systems and Control)</w:t>
                </w:r>
                <w:r>
                  <w:rPr>
                    <w:noProof/>
                    <w:webHidden/>
                  </w:rPr>
                  <w:tab/>
                </w:r>
                <w:r>
                  <w:rPr>
                    <w:noProof/>
                    <w:webHidden/>
                  </w:rPr>
                  <w:fldChar w:fldCharType="begin"/>
                </w:r>
                <w:r>
                  <w:rPr>
                    <w:noProof/>
                    <w:webHidden/>
                  </w:rPr>
                  <w:instrText xml:space="preserve"> PAGEREF _Toc121050367 \h </w:instrText>
                </w:r>
                <w:r>
                  <w:rPr>
                    <w:noProof/>
                    <w:webHidden/>
                  </w:rPr>
                </w:r>
                <w:r>
                  <w:rPr>
                    <w:noProof/>
                    <w:webHidden/>
                  </w:rPr>
                  <w:fldChar w:fldCharType="separate"/>
                </w:r>
                <w:r>
                  <w:rPr>
                    <w:noProof/>
                    <w:webHidden/>
                  </w:rPr>
                  <w:t>7</w:t>
                </w:r>
                <w:r>
                  <w:rPr>
                    <w:noProof/>
                    <w:webHidden/>
                  </w:rPr>
                  <w:fldChar w:fldCharType="end"/>
                </w:r>
              </w:hyperlink>
            </w:p>
            <w:p w14:paraId="49069001" w14:textId="31AAB877" w:rsidR="00134BC8" w:rsidRDefault="00134BC8">
              <w:pPr>
                <w:pStyle w:val="TOC1"/>
                <w:tabs>
                  <w:tab w:val="right" w:leader="dot" w:pos="9350"/>
                </w:tabs>
                <w:rPr>
                  <w:rFonts w:eastAsiaTheme="minorEastAsia"/>
                  <w:noProof/>
                  <w:lang w:eastAsia="en-GB"/>
                </w:rPr>
              </w:pPr>
              <w:hyperlink w:anchor="_Toc121050368" w:history="1">
                <w:r w:rsidRPr="00BB47D4">
                  <w:rPr>
                    <w:rStyle w:val="Hyperlink"/>
                    <w:rFonts w:ascii="Arial" w:hAnsi="Arial" w:cs="Arial"/>
                    <w:noProof/>
                  </w:rPr>
                  <w:t>Governance, Patient Safety and Quality</w:t>
                </w:r>
                <w:r>
                  <w:rPr>
                    <w:noProof/>
                    <w:webHidden/>
                  </w:rPr>
                  <w:tab/>
                </w:r>
                <w:r>
                  <w:rPr>
                    <w:noProof/>
                    <w:webHidden/>
                  </w:rPr>
                  <w:fldChar w:fldCharType="begin"/>
                </w:r>
                <w:r>
                  <w:rPr>
                    <w:noProof/>
                    <w:webHidden/>
                  </w:rPr>
                  <w:instrText xml:space="preserve"> PAGEREF _Toc121050368 \h </w:instrText>
                </w:r>
                <w:r>
                  <w:rPr>
                    <w:noProof/>
                    <w:webHidden/>
                  </w:rPr>
                </w:r>
                <w:r>
                  <w:rPr>
                    <w:noProof/>
                    <w:webHidden/>
                  </w:rPr>
                  <w:fldChar w:fldCharType="separate"/>
                </w:r>
                <w:r>
                  <w:rPr>
                    <w:noProof/>
                    <w:webHidden/>
                  </w:rPr>
                  <w:t>8</w:t>
                </w:r>
                <w:r>
                  <w:rPr>
                    <w:noProof/>
                    <w:webHidden/>
                  </w:rPr>
                  <w:fldChar w:fldCharType="end"/>
                </w:r>
              </w:hyperlink>
            </w:p>
            <w:p w14:paraId="1BCF5F58" w14:textId="523FE429" w:rsidR="00134BC8" w:rsidRDefault="00134BC8" w:rsidP="00134BC8">
              <w:pPr>
                <w:pStyle w:val="TOC2"/>
                <w:tabs>
                  <w:tab w:val="right" w:leader="dot" w:pos="9350"/>
                </w:tabs>
                <w:ind w:left="0"/>
                <w:rPr>
                  <w:rFonts w:eastAsiaTheme="minorEastAsia"/>
                  <w:noProof/>
                  <w:lang w:eastAsia="en-GB"/>
                </w:rPr>
              </w:pPr>
              <w:hyperlink w:anchor="_Toc121050369" w:history="1">
                <w:r w:rsidRPr="00BB47D4">
                  <w:rPr>
                    <w:rStyle w:val="Hyperlink"/>
                    <w:rFonts w:ascii="Arial" w:hAnsi="Arial" w:cs="Arial"/>
                    <w:noProof/>
                  </w:rPr>
                  <w:t>Audit and Monitoring</w:t>
                </w:r>
                <w:r>
                  <w:rPr>
                    <w:noProof/>
                    <w:webHidden/>
                  </w:rPr>
                  <w:tab/>
                </w:r>
                <w:r>
                  <w:rPr>
                    <w:noProof/>
                    <w:webHidden/>
                  </w:rPr>
                  <w:fldChar w:fldCharType="begin"/>
                </w:r>
                <w:r>
                  <w:rPr>
                    <w:noProof/>
                    <w:webHidden/>
                  </w:rPr>
                  <w:instrText xml:space="preserve"> PAGEREF _Toc121050369 \h </w:instrText>
                </w:r>
                <w:r>
                  <w:rPr>
                    <w:noProof/>
                    <w:webHidden/>
                  </w:rPr>
                </w:r>
                <w:r>
                  <w:rPr>
                    <w:noProof/>
                    <w:webHidden/>
                  </w:rPr>
                  <w:fldChar w:fldCharType="separate"/>
                </w:r>
                <w:r>
                  <w:rPr>
                    <w:noProof/>
                    <w:webHidden/>
                  </w:rPr>
                  <w:t>8</w:t>
                </w:r>
                <w:r>
                  <w:rPr>
                    <w:noProof/>
                    <w:webHidden/>
                  </w:rPr>
                  <w:fldChar w:fldCharType="end"/>
                </w:r>
              </w:hyperlink>
            </w:p>
            <w:p w14:paraId="7D896970" w14:textId="20802E1B" w:rsidR="00134BC8" w:rsidRDefault="00134BC8" w:rsidP="00134BC8">
              <w:pPr>
                <w:pStyle w:val="TOC2"/>
                <w:tabs>
                  <w:tab w:val="right" w:leader="dot" w:pos="9350"/>
                </w:tabs>
                <w:ind w:left="0"/>
                <w:rPr>
                  <w:rFonts w:eastAsiaTheme="minorEastAsia"/>
                  <w:noProof/>
                  <w:lang w:eastAsia="en-GB"/>
                </w:rPr>
              </w:pPr>
              <w:hyperlink w:anchor="_Toc121050370" w:history="1">
                <w:r w:rsidRPr="00BB47D4">
                  <w:rPr>
                    <w:rStyle w:val="Hyperlink"/>
                    <w:rFonts w:ascii="Arial" w:hAnsi="Arial" w:cs="Arial"/>
                    <w:noProof/>
                  </w:rPr>
                  <w:t>Quality and Safety Performance</w:t>
                </w:r>
                <w:r>
                  <w:rPr>
                    <w:noProof/>
                    <w:webHidden/>
                  </w:rPr>
                  <w:tab/>
                </w:r>
                <w:r>
                  <w:rPr>
                    <w:noProof/>
                    <w:webHidden/>
                  </w:rPr>
                  <w:fldChar w:fldCharType="begin"/>
                </w:r>
                <w:r>
                  <w:rPr>
                    <w:noProof/>
                    <w:webHidden/>
                  </w:rPr>
                  <w:instrText xml:space="preserve"> PAGEREF _Toc121050370 \h </w:instrText>
                </w:r>
                <w:r>
                  <w:rPr>
                    <w:noProof/>
                    <w:webHidden/>
                  </w:rPr>
                </w:r>
                <w:r>
                  <w:rPr>
                    <w:noProof/>
                    <w:webHidden/>
                  </w:rPr>
                  <w:fldChar w:fldCharType="separate"/>
                </w:r>
                <w:r>
                  <w:rPr>
                    <w:noProof/>
                    <w:webHidden/>
                  </w:rPr>
                  <w:t>8</w:t>
                </w:r>
                <w:r>
                  <w:rPr>
                    <w:noProof/>
                    <w:webHidden/>
                  </w:rPr>
                  <w:fldChar w:fldCharType="end"/>
                </w:r>
              </w:hyperlink>
            </w:p>
            <w:p w14:paraId="1B9EEFEA" w14:textId="680CA191" w:rsidR="00134BC8" w:rsidRDefault="00134BC8" w:rsidP="00134BC8">
              <w:pPr>
                <w:pStyle w:val="TOC2"/>
                <w:tabs>
                  <w:tab w:val="right" w:leader="dot" w:pos="9350"/>
                </w:tabs>
                <w:ind w:left="0"/>
                <w:rPr>
                  <w:rFonts w:eastAsiaTheme="minorEastAsia"/>
                  <w:noProof/>
                  <w:lang w:eastAsia="en-GB"/>
                </w:rPr>
              </w:pPr>
              <w:hyperlink w:anchor="_Toc121050371" w:history="1">
                <w:r w:rsidRPr="00BB47D4">
                  <w:rPr>
                    <w:rStyle w:val="Hyperlink"/>
                    <w:rFonts w:ascii="Arial" w:hAnsi="Arial" w:cs="Arial"/>
                    <w:noProof/>
                  </w:rPr>
                  <w:t>Patient Safety</w:t>
                </w:r>
                <w:r>
                  <w:rPr>
                    <w:noProof/>
                    <w:webHidden/>
                  </w:rPr>
                  <w:tab/>
                </w:r>
                <w:r>
                  <w:rPr>
                    <w:noProof/>
                    <w:webHidden/>
                  </w:rPr>
                  <w:fldChar w:fldCharType="begin"/>
                </w:r>
                <w:r>
                  <w:rPr>
                    <w:noProof/>
                    <w:webHidden/>
                  </w:rPr>
                  <w:instrText xml:space="preserve"> PAGEREF _Toc121050371 \h </w:instrText>
                </w:r>
                <w:r>
                  <w:rPr>
                    <w:noProof/>
                    <w:webHidden/>
                  </w:rPr>
                </w:r>
                <w:r>
                  <w:rPr>
                    <w:noProof/>
                    <w:webHidden/>
                  </w:rPr>
                  <w:fldChar w:fldCharType="separate"/>
                </w:r>
                <w:r>
                  <w:rPr>
                    <w:noProof/>
                    <w:webHidden/>
                  </w:rPr>
                  <w:t>9</w:t>
                </w:r>
                <w:r>
                  <w:rPr>
                    <w:noProof/>
                    <w:webHidden/>
                  </w:rPr>
                  <w:fldChar w:fldCharType="end"/>
                </w:r>
              </w:hyperlink>
            </w:p>
            <w:p w14:paraId="3B66B229" w14:textId="3CCBC27D" w:rsidR="00134BC8" w:rsidRDefault="00134BC8" w:rsidP="00134BC8">
              <w:pPr>
                <w:pStyle w:val="TOC2"/>
                <w:tabs>
                  <w:tab w:val="right" w:leader="dot" w:pos="9350"/>
                </w:tabs>
                <w:ind w:left="0"/>
                <w:rPr>
                  <w:rFonts w:eastAsiaTheme="minorEastAsia"/>
                  <w:noProof/>
                  <w:lang w:eastAsia="en-GB"/>
                </w:rPr>
              </w:pPr>
              <w:hyperlink w:anchor="_Toc121050372" w:history="1">
                <w:r w:rsidRPr="00BB47D4">
                  <w:rPr>
                    <w:rStyle w:val="Hyperlink"/>
                    <w:rFonts w:ascii="Arial" w:hAnsi="Arial" w:cs="Arial"/>
                    <w:b/>
                    <w:bCs/>
                    <w:noProof/>
                  </w:rPr>
                  <w:t>Critically analyse the factors that impact on your organisations ability to maximise customer value.</w:t>
                </w:r>
                <w:r>
                  <w:rPr>
                    <w:noProof/>
                    <w:webHidden/>
                  </w:rPr>
                  <w:tab/>
                </w:r>
                <w:r>
                  <w:rPr>
                    <w:noProof/>
                    <w:webHidden/>
                  </w:rPr>
                  <w:fldChar w:fldCharType="begin"/>
                </w:r>
                <w:r>
                  <w:rPr>
                    <w:noProof/>
                    <w:webHidden/>
                  </w:rPr>
                  <w:instrText xml:space="preserve"> PAGEREF _Toc121050372 \h </w:instrText>
                </w:r>
                <w:r>
                  <w:rPr>
                    <w:noProof/>
                    <w:webHidden/>
                  </w:rPr>
                </w:r>
                <w:r>
                  <w:rPr>
                    <w:noProof/>
                    <w:webHidden/>
                  </w:rPr>
                  <w:fldChar w:fldCharType="separate"/>
                </w:r>
                <w:r>
                  <w:rPr>
                    <w:noProof/>
                    <w:webHidden/>
                  </w:rPr>
                  <w:t>9</w:t>
                </w:r>
                <w:r>
                  <w:rPr>
                    <w:noProof/>
                    <w:webHidden/>
                  </w:rPr>
                  <w:fldChar w:fldCharType="end"/>
                </w:r>
              </w:hyperlink>
            </w:p>
            <w:p w14:paraId="6DCD93AD" w14:textId="0B4DB9AC" w:rsidR="00134BC8" w:rsidRDefault="00134BC8">
              <w:pPr>
                <w:pStyle w:val="TOC1"/>
                <w:tabs>
                  <w:tab w:val="right" w:leader="dot" w:pos="9350"/>
                </w:tabs>
                <w:rPr>
                  <w:rFonts w:eastAsiaTheme="minorEastAsia"/>
                  <w:noProof/>
                  <w:lang w:eastAsia="en-GB"/>
                </w:rPr>
              </w:pPr>
              <w:hyperlink w:anchor="_Toc121050373" w:history="1">
                <w:r w:rsidRPr="00BB47D4">
                  <w:rPr>
                    <w:rStyle w:val="Hyperlink"/>
                    <w:rFonts w:ascii="Arial" w:hAnsi="Arial" w:cs="Arial"/>
                    <w:noProof/>
                  </w:rPr>
                  <w:t>Customer Experience of NHS</w:t>
                </w:r>
                <w:r>
                  <w:rPr>
                    <w:noProof/>
                    <w:webHidden/>
                  </w:rPr>
                  <w:tab/>
                </w:r>
                <w:r>
                  <w:rPr>
                    <w:noProof/>
                    <w:webHidden/>
                  </w:rPr>
                  <w:fldChar w:fldCharType="begin"/>
                </w:r>
                <w:r>
                  <w:rPr>
                    <w:noProof/>
                    <w:webHidden/>
                  </w:rPr>
                  <w:instrText xml:space="preserve"> PAGEREF _Toc121050373 \h </w:instrText>
                </w:r>
                <w:r>
                  <w:rPr>
                    <w:noProof/>
                    <w:webHidden/>
                  </w:rPr>
                </w:r>
                <w:r>
                  <w:rPr>
                    <w:noProof/>
                    <w:webHidden/>
                  </w:rPr>
                  <w:fldChar w:fldCharType="separate"/>
                </w:r>
                <w:r>
                  <w:rPr>
                    <w:noProof/>
                    <w:webHidden/>
                  </w:rPr>
                  <w:t>9</w:t>
                </w:r>
                <w:r>
                  <w:rPr>
                    <w:noProof/>
                    <w:webHidden/>
                  </w:rPr>
                  <w:fldChar w:fldCharType="end"/>
                </w:r>
              </w:hyperlink>
            </w:p>
            <w:p w14:paraId="02A74A50" w14:textId="74FC7936" w:rsidR="00134BC8" w:rsidRDefault="00134BC8">
              <w:pPr>
                <w:pStyle w:val="TOC1"/>
                <w:tabs>
                  <w:tab w:val="right" w:leader="dot" w:pos="9350"/>
                </w:tabs>
                <w:rPr>
                  <w:rFonts w:eastAsiaTheme="minorEastAsia"/>
                  <w:noProof/>
                  <w:lang w:eastAsia="en-GB"/>
                </w:rPr>
              </w:pPr>
              <w:hyperlink w:anchor="_Toc121050374" w:history="1">
                <w:r w:rsidRPr="00BB47D4">
                  <w:rPr>
                    <w:rStyle w:val="Hyperlink"/>
                    <w:rFonts w:ascii="Arial" w:hAnsi="Arial" w:cs="Arial"/>
                    <w:noProof/>
                  </w:rPr>
                  <w:t>Factors Affecting the Quality of Healthcare</w:t>
                </w:r>
                <w:r>
                  <w:rPr>
                    <w:noProof/>
                    <w:webHidden/>
                  </w:rPr>
                  <w:tab/>
                </w:r>
                <w:r>
                  <w:rPr>
                    <w:noProof/>
                    <w:webHidden/>
                  </w:rPr>
                  <w:fldChar w:fldCharType="begin"/>
                </w:r>
                <w:r>
                  <w:rPr>
                    <w:noProof/>
                    <w:webHidden/>
                  </w:rPr>
                  <w:instrText xml:space="preserve"> PAGEREF _Toc121050374 \h </w:instrText>
                </w:r>
                <w:r>
                  <w:rPr>
                    <w:noProof/>
                    <w:webHidden/>
                  </w:rPr>
                </w:r>
                <w:r>
                  <w:rPr>
                    <w:noProof/>
                    <w:webHidden/>
                  </w:rPr>
                  <w:fldChar w:fldCharType="separate"/>
                </w:r>
                <w:r>
                  <w:rPr>
                    <w:noProof/>
                    <w:webHidden/>
                  </w:rPr>
                  <w:t>11</w:t>
                </w:r>
                <w:r>
                  <w:rPr>
                    <w:noProof/>
                    <w:webHidden/>
                  </w:rPr>
                  <w:fldChar w:fldCharType="end"/>
                </w:r>
              </w:hyperlink>
            </w:p>
            <w:p w14:paraId="66DA9948" w14:textId="1859F6DA" w:rsidR="00134BC8" w:rsidRDefault="00134BC8">
              <w:pPr>
                <w:pStyle w:val="TOC1"/>
                <w:tabs>
                  <w:tab w:val="right" w:leader="dot" w:pos="9350"/>
                </w:tabs>
                <w:rPr>
                  <w:rFonts w:eastAsiaTheme="minorEastAsia"/>
                  <w:noProof/>
                  <w:lang w:eastAsia="en-GB"/>
                </w:rPr>
              </w:pPr>
              <w:hyperlink w:anchor="_Toc121050375" w:history="1">
                <w:r w:rsidRPr="00BB47D4">
                  <w:rPr>
                    <w:rStyle w:val="Hyperlink"/>
                    <w:rFonts w:ascii="Arial" w:hAnsi="Arial" w:cs="Arial"/>
                    <w:noProof/>
                  </w:rPr>
                  <w:t>Benefits And Challenges of Maintaining Good Customer Relationships</w:t>
                </w:r>
                <w:r>
                  <w:rPr>
                    <w:noProof/>
                    <w:webHidden/>
                  </w:rPr>
                  <w:tab/>
                </w:r>
                <w:r>
                  <w:rPr>
                    <w:noProof/>
                    <w:webHidden/>
                  </w:rPr>
                  <w:fldChar w:fldCharType="begin"/>
                </w:r>
                <w:r>
                  <w:rPr>
                    <w:noProof/>
                    <w:webHidden/>
                  </w:rPr>
                  <w:instrText xml:space="preserve"> PAGEREF _Toc121050375 \h </w:instrText>
                </w:r>
                <w:r>
                  <w:rPr>
                    <w:noProof/>
                    <w:webHidden/>
                  </w:rPr>
                </w:r>
                <w:r>
                  <w:rPr>
                    <w:noProof/>
                    <w:webHidden/>
                  </w:rPr>
                  <w:fldChar w:fldCharType="separate"/>
                </w:r>
                <w:r>
                  <w:rPr>
                    <w:noProof/>
                    <w:webHidden/>
                  </w:rPr>
                  <w:t>13</w:t>
                </w:r>
                <w:r>
                  <w:rPr>
                    <w:noProof/>
                    <w:webHidden/>
                  </w:rPr>
                  <w:fldChar w:fldCharType="end"/>
                </w:r>
              </w:hyperlink>
            </w:p>
            <w:p w14:paraId="6B373E2A" w14:textId="4A9C3B3B" w:rsidR="00134BC8" w:rsidRDefault="00134BC8">
              <w:pPr>
                <w:pStyle w:val="TOC1"/>
                <w:tabs>
                  <w:tab w:val="right" w:leader="dot" w:pos="9350"/>
                </w:tabs>
                <w:rPr>
                  <w:rFonts w:eastAsiaTheme="minorEastAsia"/>
                  <w:noProof/>
                  <w:lang w:eastAsia="en-GB"/>
                </w:rPr>
              </w:pPr>
              <w:hyperlink w:anchor="_Toc121050376" w:history="1">
                <w:r w:rsidRPr="00BB47D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_Toc121050376 \h </w:instrText>
                </w:r>
                <w:r>
                  <w:rPr>
                    <w:noProof/>
                    <w:webHidden/>
                  </w:rPr>
                </w:r>
                <w:r>
                  <w:rPr>
                    <w:noProof/>
                    <w:webHidden/>
                  </w:rPr>
                  <w:fldChar w:fldCharType="separate"/>
                </w:r>
                <w:r>
                  <w:rPr>
                    <w:noProof/>
                    <w:webHidden/>
                  </w:rPr>
                  <w:t>15</w:t>
                </w:r>
                <w:r>
                  <w:rPr>
                    <w:noProof/>
                    <w:webHidden/>
                  </w:rPr>
                  <w:fldChar w:fldCharType="end"/>
                </w:r>
              </w:hyperlink>
            </w:p>
            <w:p w14:paraId="4158CE63" w14:textId="1EC7E8F4" w:rsidR="00134BC8" w:rsidRDefault="00134BC8" w:rsidP="00134BC8">
              <w:pPr>
                <w:pStyle w:val="TOC2"/>
                <w:tabs>
                  <w:tab w:val="right" w:leader="dot" w:pos="9350"/>
                </w:tabs>
                <w:ind w:left="0"/>
                <w:rPr>
                  <w:rFonts w:eastAsiaTheme="minorEastAsia"/>
                  <w:noProof/>
                  <w:lang w:eastAsia="en-GB"/>
                </w:rPr>
              </w:pPr>
              <w:hyperlink w:anchor="_Toc121050377" w:history="1">
                <w:r w:rsidRPr="00BB47D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_Toc121050377 \h </w:instrText>
                </w:r>
                <w:r>
                  <w:rPr>
                    <w:noProof/>
                    <w:webHidden/>
                  </w:rPr>
                </w:r>
                <w:r>
                  <w:rPr>
                    <w:noProof/>
                    <w:webHidden/>
                  </w:rPr>
                  <w:fldChar w:fldCharType="separate"/>
                </w:r>
                <w:r>
                  <w:rPr>
                    <w:noProof/>
                    <w:webHidden/>
                  </w:rPr>
                  <w:t>16</w:t>
                </w:r>
                <w:r>
                  <w:rPr>
                    <w:noProof/>
                    <w:webHidden/>
                  </w:rPr>
                  <w:fldChar w:fldCharType="end"/>
                </w:r>
              </w:hyperlink>
            </w:p>
            <w:p w14:paraId="06F292FF" w14:textId="2703F8C9" w:rsidR="00134BC8" w:rsidRDefault="00134BC8" w:rsidP="00134BC8">
              <w:pPr>
                <w:pStyle w:val="TOC2"/>
                <w:tabs>
                  <w:tab w:val="right" w:leader="dot" w:pos="9350"/>
                </w:tabs>
                <w:ind w:left="0"/>
                <w:rPr>
                  <w:rFonts w:eastAsiaTheme="minorEastAsia"/>
                  <w:noProof/>
                  <w:lang w:eastAsia="en-GB"/>
                </w:rPr>
              </w:pPr>
              <w:hyperlink w:anchor="_Toc121050378" w:history="1">
                <w:r w:rsidRPr="00BB47D4">
                  <w:rPr>
                    <w:rStyle w:val="Hyperlink"/>
                    <w:rFonts w:ascii="Arial" w:hAnsi="Arial" w:cs="Arial"/>
                    <w:noProof/>
                  </w:rPr>
                  <w:t>Appendix 1</w:t>
                </w:r>
                <w:r>
                  <w:rPr>
                    <w:noProof/>
                    <w:webHidden/>
                  </w:rPr>
                  <w:tab/>
                </w:r>
                <w:r>
                  <w:rPr>
                    <w:noProof/>
                    <w:webHidden/>
                  </w:rPr>
                  <w:fldChar w:fldCharType="begin"/>
                </w:r>
                <w:r>
                  <w:rPr>
                    <w:noProof/>
                    <w:webHidden/>
                  </w:rPr>
                  <w:instrText xml:space="preserve"> PAGEREF _Toc121050378 \h </w:instrText>
                </w:r>
                <w:r>
                  <w:rPr>
                    <w:noProof/>
                    <w:webHidden/>
                  </w:rPr>
                </w:r>
                <w:r>
                  <w:rPr>
                    <w:noProof/>
                    <w:webHidden/>
                  </w:rPr>
                  <w:fldChar w:fldCharType="separate"/>
                </w:r>
                <w:r>
                  <w:rPr>
                    <w:noProof/>
                    <w:webHidden/>
                  </w:rPr>
                  <w:t>20</w:t>
                </w:r>
                <w:r>
                  <w:rPr>
                    <w:noProof/>
                    <w:webHidden/>
                  </w:rPr>
                  <w:fldChar w:fldCharType="end"/>
                </w:r>
              </w:hyperlink>
            </w:p>
            <w:p w14:paraId="42394321" w14:textId="22FDEAC0" w:rsidR="00885114" w:rsidRPr="00927D2A" w:rsidRDefault="00885114">
              <w:pPr>
                <w:rPr>
                  <w:rFonts w:ascii="Arial" w:hAnsi="Arial" w:cs="Arial"/>
                </w:rPr>
              </w:pPr>
              <w:r w:rsidRPr="00927D2A">
                <w:rPr>
                  <w:rFonts w:ascii="Arial" w:hAnsi="Arial" w:cs="Arial"/>
                  <w:b/>
                  <w:bCs/>
                  <w:noProof/>
                </w:rPr>
                <w:fldChar w:fldCharType="end"/>
              </w:r>
            </w:p>
          </w:sdtContent>
        </w:sdt>
        <w:p w14:paraId="79077526" w14:textId="08A434DE" w:rsidR="00885114" w:rsidRPr="00927D2A" w:rsidRDefault="00885114" w:rsidP="00885114">
          <w:pPr>
            <w:pStyle w:val="TOCHeading"/>
            <w:rPr>
              <w:rFonts w:ascii="Arial" w:hAnsi="Arial" w:cs="Arial"/>
            </w:rPr>
          </w:pPr>
        </w:p>
        <w:p w14:paraId="68FE57E8" w14:textId="78CB06D9" w:rsidR="00715A8B" w:rsidRPr="00927D2A" w:rsidRDefault="00000000" w:rsidP="00885114">
          <w:pPr>
            <w:spacing w:before="120" w:after="120" w:line="360" w:lineRule="auto"/>
            <w:rPr>
              <w:rFonts w:ascii="Arial" w:hAnsi="Arial" w:cs="Arial"/>
              <w:color w:val="000000"/>
              <w:sz w:val="24"/>
              <w:szCs w:val="24"/>
            </w:rPr>
          </w:pPr>
        </w:p>
      </w:sdtContent>
    </w:sdt>
    <w:p w14:paraId="3B95FC03" w14:textId="4B2347F3" w:rsidR="002B5A93" w:rsidRPr="00927D2A" w:rsidRDefault="002B5A93" w:rsidP="00B23658">
      <w:pPr>
        <w:rPr>
          <w:rFonts w:ascii="Arial" w:hAnsi="Arial" w:cs="Arial"/>
        </w:rPr>
      </w:pPr>
      <w:bookmarkStart w:id="0" w:name="_Hlk110005347"/>
      <w:bookmarkEnd w:id="0"/>
    </w:p>
    <w:p w14:paraId="638AB411" w14:textId="169BA4F8" w:rsidR="00855421" w:rsidRPr="00927D2A" w:rsidRDefault="00855421" w:rsidP="00855421">
      <w:pPr>
        <w:shd w:val="clear" w:color="auto" w:fill="FFFFFF"/>
        <w:spacing w:before="100" w:beforeAutospacing="1" w:after="100" w:afterAutospacing="1" w:line="240" w:lineRule="auto"/>
        <w:jc w:val="both"/>
        <w:rPr>
          <w:rFonts w:ascii="Arial" w:eastAsia="Times New Roman" w:hAnsi="Arial" w:cs="Arial"/>
          <w:color w:val="000000"/>
          <w:lang w:eastAsia="en-GB"/>
        </w:rPr>
      </w:pPr>
      <w:r w:rsidRPr="00927D2A">
        <w:rPr>
          <w:rFonts w:ascii="Arial" w:eastAsia="Times New Roman" w:hAnsi="Arial" w:cs="Arial"/>
          <w:color w:val="000000"/>
          <w:lang w:eastAsia="en-GB"/>
        </w:rPr>
        <w:tab/>
      </w:r>
      <w:r w:rsidRPr="00927D2A">
        <w:rPr>
          <w:rFonts w:ascii="Arial" w:eastAsia="Times New Roman" w:hAnsi="Arial" w:cs="Arial"/>
          <w:color w:val="000000"/>
          <w:lang w:eastAsia="en-GB"/>
        </w:rPr>
        <w:tab/>
      </w:r>
      <w:r w:rsidRPr="00927D2A">
        <w:rPr>
          <w:rFonts w:ascii="Arial" w:eastAsia="Times New Roman" w:hAnsi="Arial" w:cs="Arial"/>
          <w:color w:val="000000"/>
          <w:lang w:eastAsia="en-GB"/>
        </w:rPr>
        <w:tab/>
      </w:r>
      <w:r w:rsidRPr="00927D2A">
        <w:rPr>
          <w:rFonts w:ascii="Arial" w:eastAsia="Times New Roman" w:hAnsi="Arial" w:cs="Arial"/>
          <w:color w:val="000000"/>
          <w:lang w:eastAsia="en-GB"/>
        </w:rPr>
        <w:tab/>
      </w:r>
      <w:r w:rsidRPr="00927D2A">
        <w:rPr>
          <w:rFonts w:ascii="Arial" w:eastAsia="Times New Roman" w:hAnsi="Arial" w:cs="Arial"/>
          <w:color w:val="000000"/>
          <w:lang w:eastAsia="en-GB"/>
        </w:rPr>
        <w:tab/>
      </w:r>
      <w:r w:rsidRPr="00927D2A">
        <w:rPr>
          <w:rFonts w:ascii="Arial" w:eastAsia="Times New Roman" w:hAnsi="Arial" w:cs="Arial"/>
          <w:color w:val="000000"/>
          <w:lang w:eastAsia="en-GB"/>
        </w:rPr>
        <w:tab/>
      </w:r>
      <w:r w:rsidRPr="00927D2A">
        <w:rPr>
          <w:rFonts w:ascii="Arial" w:eastAsia="Times New Roman" w:hAnsi="Arial" w:cs="Arial"/>
          <w:color w:val="000000"/>
          <w:lang w:eastAsia="en-GB"/>
        </w:rPr>
        <w:tab/>
      </w:r>
    </w:p>
    <w:p w14:paraId="06DCBAF5" w14:textId="4BA71291" w:rsidR="00927D2A" w:rsidRPr="00D86D2F" w:rsidRDefault="00927D2A" w:rsidP="00927D2A">
      <w:pPr>
        <w:pStyle w:val="Heading1"/>
        <w:rPr>
          <w:rFonts w:ascii="Arial" w:hAnsi="Arial" w:cs="Arial"/>
          <w:color w:val="5B9BD5" w:themeColor="accent1"/>
        </w:rPr>
      </w:pPr>
      <w:bookmarkStart w:id="1" w:name="_Toc120825230"/>
      <w:bookmarkStart w:id="2" w:name="_Toc121050361"/>
      <w:r w:rsidRPr="00D86D2F">
        <w:rPr>
          <w:rFonts w:ascii="Arial" w:hAnsi="Arial" w:cs="Arial"/>
          <w:color w:val="5B9BD5" w:themeColor="accent1"/>
        </w:rPr>
        <w:lastRenderedPageBreak/>
        <w:t>Introduction</w:t>
      </w:r>
      <w:bookmarkEnd w:id="1"/>
      <w:bookmarkEnd w:id="2"/>
    </w:p>
    <w:p w14:paraId="638018BE" w14:textId="77777777" w:rsidR="00927D2A" w:rsidRPr="00D86D2F" w:rsidRDefault="00927D2A" w:rsidP="00927D2A">
      <w:pPr>
        <w:rPr>
          <w:rFonts w:ascii="Arial" w:hAnsi="Arial" w:cs="Arial"/>
        </w:rPr>
      </w:pPr>
    </w:p>
    <w:p w14:paraId="5DF409CB" w14:textId="7580E756" w:rsidR="002E6C83" w:rsidRPr="00D86D2F" w:rsidRDefault="00927D2A" w:rsidP="00BD1966">
      <w:pPr>
        <w:spacing w:line="360" w:lineRule="auto"/>
        <w:jc w:val="both"/>
        <w:rPr>
          <w:rFonts w:ascii="Arial" w:hAnsi="Arial" w:cs="Arial"/>
          <w:szCs w:val="24"/>
        </w:rPr>
      </w:pPr>
      <w:r w:rsidRPr="00D86D2F">
        <w:rPr>
          <w:rFonts w:ascii="Arial" w:hAnsi="Arial" w:cs="Arial"/>
          <w:szCs w:val="24"/>
        </w:rPr>
        <w:t>The following assignment has focused on the quality systems and control determined by the healthcare setting for the facilitation of customers. The main purpose of the following assignment is to evaluate how and in what ways the healthcare setting (NHS) will be able to maintain quality care and prevent customer value from deterioration. The quality process has been determined in the following assignment in which the process-wise phases have been in the following assignment. Customer value is associated with the customer experience that is further linked with the way the customer has been treated in regard to the healthcare provisions within the healthcare setting. Managing the governance and realigning the policies and systems within the healthcare setting is associated with the provision of quality care. There are some factors due to which the quality of healthcare is impacted that ultimately result in declining healthcare outputs.</w:t>
      </w:r>
    </w:p>
    <w:p w14:paraId="6D37C1C7" w14:textId="77777777" w:rsidR="002F2E27" w:rsidRPr="00D86D2F" w:rsidRDefault="002F2E27" w:rsidP="002E6C83">
      <w:pPr>
        <w:jc w:val="both"/>
        <w:rPr>
          <w:rFonts w:ascii="Arial" w:hAnsi="Arial" w:cs="Arial"/>
          <w:szCs w:val="24"/>
        </w:rPr>
      </w:pPr>
    </w:p>
    <w:p w14:paraId="0CDDB6F5" w14:textId="77777777" w:rsidR="002E6C83" w:rsidRPr="00D86D2F" w:rsidRDefault="002E6C83" w:rsidP="002E6C83">
      <w:pPr>
        <w:jc w:val="both"/>
        <w:rPr>
          <w:rFonts w:ascii="Arial" w:hAnsi="Arial" w:cs="Arial"/>
          <w:color w:val="5B9BD5" w:themeColor="accent1"/>
          <w:szCs w:val="24"/>
        </w:rPr>
      </w:pPr>
    </w:p>
    <w:p w14:paraId="26A5EB7E" w14:textId="0F11F318" w:rsidR="002758B9" w:rsidRPr="00D86D2F" w:rsidRDefault="002758B9" w:rsidP="002758B9">
      <w:pPr>
        <w:pStyle w:val="Heading2"/>
        <w:rPr>
          <w:rFonts w:ascii="Arial" w:hAnsi="Arial" w:cs="Arial"/>
          <w:b/>
          <w:bCs/>
          <w:sz w:val="32"/>
          <w:szCs w:val="32"/>
        </w:rPr>
      </w:pPr>
      <w:bookmarkStart w:id="3" w:name="_Toc121050362"/>
      <w:r w:rsidRPr="00D86D2F">
        <w:rPr>
          <w:rFonts w:ascii="Arial" w:hAnsi="Arial" w:cs="Arial"/>
          <w:b/>
          <w:bCs/>
          <w:color w:val="5B9BD5" w:themeColor="accent1"/>
          <w:sz w:val="32"/>
          <w:szCs w:val="32"/>
        </w:rPr>
        <w:t>Critical understanding of your organisation’s quality processes and its effectiveness in meeting customer requirements</w:t>
      </w:r>
      <w:r w:rsidRPr="00D86D2F">
        <w:rPr>
          <w:rFonts w:ascii="Arial" w:hAnsi="Arial" w:cs="Arial"/>
          <w:b/>
          <w:bCs/>
          <w:sz w:val="32"/>
          <w:szCs w:val="32"/>
        </w:rPr>
        <w:t>.</w:t>
      </w:r>
      <w:bookmarkEnd w:id="3"/>
    </w:p>
    <w:p w14:paraId="3EA7A6AD" w14:textId="77777777" w:rsidR="002F2E27" w:rsidRPr="00D86D2F" w:rsidRDefault="002F2E27" w:rsidP="002F2E27">
      <w:pPr>
        <w:rPr>
          <w:rFonts w:ascii="Arial" w:hAnsi="Arial" w:cs="Arial"/>
        </w:rPr>
      </w:pPr>
    </w:p>
    <w:p w14:paraId="271412D6" w14:textId="77777777" w:rsidR="00927D2A" w:rsidRPr="00D86D2F" w:rsidRDefault="00927D2A" w:rsidP="00927D2A">
      <w:pPr>
        <w:jc w:val="both"/>
        <w:rPr>
          <w:rFonts w:ascii="Arial" w:hAnsi="Arial" w:cs="Arial"/>
          <w:szCs w:val="24"/>
        </w:rPr>
      </w:pPr>
    </w:p>
    <w:p w14:paraId="482356A3" w14:textId="385CD491" w:rsidR="00927D2A" w:rsidRPr="00D86D2F" w:rsidRDefault="00927D2A" w:rsidP="00927D2A">
      <w:pPr>
        <w:pStyle w:val="Heading1"/>
        <w:jc w:val="both"/>
        <w:rPr>
          <w:rFonts w:ascii="Arial" w:hAnsi="Arial" w:cs="Arial"/>
          <w:color w:val="5B9BD5" w:themeColor="accent1"/>
          <w:sz w:val="28"/>
          <w:szCs w:val="22"/>
        </w:rPr>
      </w:pPr>
      <w:bookmarkStart w:id="4" w:name="_Toc120825231"/>
      <w:bookmarkStart w:id="5" w:name="_Toc121050363"/>
      <w:r w:rsidRPr="00D86D2F">
        <w:rPr>
          <w:rFonts w:ascii="Arial" w:hAnsi="Arial" w:cs="Arial"/>
          <w:color w:val="5B9BD5" w:themeColor="accent1"/>
          <w:sz w:val="28"/>
          <w:szCs w:val="22"/>
        </w:rPr>
        <w:t>Organisation Overview</w:t>
      </w:r>
      <w:bookmarkEnd w:id="4"/>
      <w:bookmarkEnd w:id="5"/>
    </w:p>
    <w:p w14:paraId="0177773F" w14:textId="77777777" w:rsidR="00927D2A" w:rsidRPr="00D86D2F" w:rsidRDefault="00927D2A" w:rsidP="00927D2A">
      <w:pPr>
        <w:jc w:val="both"/>
        <w:rPr>
          <w:rFonts w:ascii="Arial" w:hAnsi="Arial" w:cs="Arial"/>
        </w:rPr>
      </w:pPr>
    </w:p>
    <w:p w14:paraId="1DF75476" w14:textId="03CFF822" w:rsidR="002F2E27" w:rsidRPr="00D86D2F" w:rsidRDefault="00927D2A" w:rsidP="00BD1966">
      <w:pPr>
        <w:spacing w:line="360" w:lineRule="auto"/>
        <w:jc w:val="both"/>
        <w:rPr>
          <w:rFonts w:ascii="Arial" w:hAnsi="Arial" w:cs="Arial"/>
          <w:szCs w:val="24"/>
        </w:rPr>
      </w:pPr>
      <w:r w:rsidRPr="00D86D2F">
        <w:rPr>
          <w:rFonts w:ascii="Arial" w:hAnsi="Arial" w:cs="Arial"/>
          <w:szCs w:val="24"/>
        </w:rPr>
        <w:t xml:space="preserve">NHS is the National Healthcare System that is publicly funded and aimed at providing a comprehensive service within the UK. The foremost purpose of NHS and the involved members is to offer services of profound quality for the facilitation of customers. NHS has endeavoured to establish quality to ensure safety, </w:t>
      </w:r>
      <w:r w:rsidR="002E6C83" w:rsidRPr="00D86D2F">
        <w:rPr>
          <w:rFonts w:ascii="Arial" w:hAnsi="Arial" w:cs="Arial"/>
          <w:szCs w:val="24"/>
        </w:rPr>
        <w:t>effectiveness,</w:t>
      </w:r>
      <w:r w:rsidRPr="00D86D2F">
        <w:rPr>
          <w:rFonts w:ascii="Arial" w:hAnsi="Arial" w:cs="Arial"/>
          <w:szCs w:val="24"/>
        </w:rPr>
        <w:t xml:space="preserve"> and positive patient experience (NHS</w:t>
      </w:r>
      <w:r w:rsidR="00136631" w:rsidRPr="00D86D2F">
        <w:rPr>
          <w:rFonts w:ascii="Arial" w:hAnsi="Arial" w:cs="Arial"/>
          <w:szCs w:val="24"/>
        </w:rPr>
        <w:t xml:space="preserve"> </w:t>
      </w:r>
      <w:r w:rsidRPr="00D86D2F">
        <w:rPr>
          <w:rFonts w:ascii="Arial" w:hAnsi="Arial" w:cs="Arial"/>
          <w:szCs w:val="24"/>
        </w:rPr>
        <w:t>England, 2022</w:t>
      </w:r>
      <w:r w:rsidR="00136631" w:rsidRPr="00D86D2F">
        <w:rPr>
          <w:rFonts w:ascii="Arial" w:hAnsi="Arial" w:cs="Arial"/>
          <w:szCs w:val="24"/>
        </w:rPr>
        <w:t>b</w:t>
      </w:r>
      <w:r w:rsidRPr="00D86D2F">
        <w:rPr>
          <w:rFonts w:ascii="Arial" w:hAnsi="Arial" w:cs="Arial"/>
          <w:szCs w:val="24"/>
        </w:rPr>
        <w:t xml:space="preserve">). Quality is a moving </w:t>
      </w:r>
      <w:r w:rsidR="002E6C83" w:rsidRPr="00D86D2F">
        <w:rPr>
          <w:rFonts w:ascii="Arial" w:hAnsi="Arial" w:cs="Arial"/>
          <w:szCs w:val="24"/>
        </w:rPr>
        <w:t>target,</w:t>
      </w:r>
      <w:r w:rsidRPr="00D86D2F">
        <w:rPr>
          <w:rFonts w:ascii="Arial" w:hAnsi="Arial" w:cs="Arial"/>
          <w:szCs w:val="24"/>
        </w:rPr>
        <w:t xml:space="preserve"> and the continuous quality enhancement is concerned with maintaining quality standards. NHS has designated individuals that are working in clinical teams, which comes under the frontline operations for ensuring the provision of quality care to the patients. However, the board and the top management are entirely responsible for the constant monitoring and regulation of the successful delivery of quality care. Effective governance, therefore, demands the board to pay attention to the quality of care to the patients as well as manage finances effectively</w:t>
      </w:r>
    </w:p>
    <w:p w14:paraId="066C8BC6" w14:textId="1172CBE9" w:rsidR="00927D2A" w:rsidRPr="00D86D2F" w:rsidRDefault="00927D2A" w:rsidP="00927D2A">
      <w:pPr>
        <w:pStyle w:val="Heading2"/>
        <w:jc w:val="both"/>
        <w:rPr>
          <w:rFonts w:ascii="Arial" w:hAnsi="Arial" w:cs="Arial"/>
          <w:color w:val="5B9BD5" w:themeColor="accent1"/>
          <w:sz w:val="28"/>
          <w:szCs w:val="28"/>
        </w:rPr>
      </w:pPr>
      <w:bookmarkStart w:id="6" w:name="_Toc120825232"/>
      <w:bookmarkStart w:id="7" w:name="_Toc121050364"/>
      <w:r w:rsidRPr="00D86D2F">
        <w:rPr>
          <w:rFonts w:ascii="Arial" w:hAnsi="Arial" w:cs="Arial"/>
          <w:color w:val="5B9BD5" w:themeColor="accent1"/>
          <w:sz w:val="28"/>
          <w:szCs w:val="28"/>
        </w:rPr>
        <w:lastRenderedPageBreak/>
        <w:t>Organisation’s Customers</w:t>
      </w:r>
      <w:bookmarkEnd w:id="6"/>
      <w:bookmarkEnd w:id="7"/>
    </w:p>
    <w:p w14:paraId="7ACD21B7" w14:textId="77777777" w:rsidR="00927D2A" w:rsidRPr="00D86D2F" w:rsidRDefault="00927D2A" w:rsidP="00927D2A">
      <w:pPr>
        <w:jc w:val="both"/>
        <w:rPr>
          <w:rFonts w:ascii="Arial" w:hAnsi="Arial" w:cs="Arial"/>
          <w:szCs w:val="24"/>
        </w:rPr>
      </w:pPr>
    </w:p>
    <w:p w14:paraId="0D3ACCF3" w14:textId="0CE9428A" w:rsidR="00927D2A" w:rsidRPr="00D86D2F" w:rsidRDefault="00927D2A" w:rsidP="00BD1966">
      <w:pPr>
        <w:spacing w:line="360" w:lineRule="auto"/>
        <w:jc w:val="both"/>
        <w:rPr>
          <w:rFonts w:ascii="Arial" w:hAnsi="Arial" w:cs="Arial"/>
          <w:szCs w:val="24"/>
        </w:rPr>
      </w:pPr>
      <w:r w:rsidRPr="00D86D2F">
        <w:rPr>
          <w:rFonts w:ascii="Arial" w:hAnsi="Arial" w:cs="Arial"/>
          <w:szCs w:val="24"/>
        </w:rPr>
        <w:t>Every organization has a specific targeted audience that has remained a crucial component for the progression of the organisation’s mission. When it comes to the healthcare sector, the use of the term customer is new because healthcare is the sector that is supposed to deal with patients (</w:t>
      </w:r>
      <w:r w:rsidRPr="00D86D2F">
        <w:rPr>
          <w:rFonts w:ascii="Arial" w:hAnsi="Arial" w:cs="Arial"/>
          <w:color w:val="222222"/>
          <w:szCs w:val="24"/>
          <w:shd w:val="clear" w:color="auto" w:fill="FFFFFF"/>
        </w:rPr>
        <w:t>Taylor et al., 2019)</w:t>
      </w:r>
      <w:r w:rsidRPr="00D86D2F">
        <w:rPr>
          <w:rFonts w:ascii="Arial" w:hAnsi="Arial" w:cs="Arial"/>
          <w:szCs w:val="24"/>
        </w:rPr>
        <w:t xml:space="preserve">. In the context of NHS, two types of customers are there internal and external. The internal customers are the stakeholders (Workplace employees) with whom NHS has established interaction through the course of operations. Internal customers possess a professional interest in the care offered by the NHS to the ones who are not the client, </w:t>
      </w:r>
      <w:r w:rsidR="00C67893" w:rsidRPr="00D86D2F">
        <w:rPr>
          <w:rFonts w:ascii="Arial" w:hAnsi="Arial" w:cs="Arial"/>
          <w:szCs w:val="24"/>
        </w:rPr>
        <w:t>patient,</w:t>
      </w:r>
      <w:r w:rsidRPr="00D86D2F">
        <w:rPr>
          <w:rFonts w:ascii="Arial" w:hAnsi="Arial" w:cs="Arial"/>
          <w:szCs w:val="24"/>
        </w:rPr>
        <w:t xml:space="preserve"> or family. The other group of customers are external that includes everyone that can be contacted during work such as visitors, </w:t>
      </w:r>
      <w:r w:rsidR="00C67893" w:rsidRPr="00D86D2F">
        <w:rPr>
          <w:rFonts w:ascii="Arial" w:hAnsi="Arial" w:cs="Arial"/>
          <w:szCs w:val="24"/>
        </w:rPr>
        <w:t>clients,</w:t>
      </w:r>
      <w:r w:rsidRPr="00D86D2F">
        <w:rPr>
          <w:rFonts w:ascii="Arial" w:hAnsi="Arial" w:cs="Arial"/>
          <w:szCs w:val="24"/>
        </w:rPr>
        <w:t xml:space="preserve"> and family members. The responsibility of NHS staff for meeting customer expectations is greater </w:t>
      </w:r>
      <w:r w:rsidR="00C67893" w:rsidRPr="00D86D2F">
        <w:rPr>
          <w:rFonts w:ascii="Arial" w:hAnsi="Arial" w:cs="Arial"/>
          <w:szCs w:val="24"/>
        </w:rPr>
        <w:t xml:space="preserve">than </w:t>
      </w:r>
      <w:r w:rsidRPr="00D86D2F">
        <w:rPr>
          <w:rFonts w:ascii="Arial" w:hAnsi="Arial" w:cs="Arial"/>
          <w:szCs w:val="24"/>
        </w:rPr>
        <w:t>in the private sector due to the complexity of NHS business.</w:t>
      </w:r>
    </w:p>
    <w:p w14:paraId="23D54B97" w14:textId="77777777" w:rsidR="00927D2A" w:rsidRPr="00D86D2F" w:rsidRDefault="00927D2A" w:rsidP="00927D2A">
      <w:pPr>
        <w:jc w:val="both"/>
        <w:rPr>
          <w:rFonts w:ascii="Arial" w:hAnsi="Arial" w:cs="Arial"/>
          <w:szCs w:val="24"/>
        </w:rPr>
      </w:pPr>
    </w:p>
    <w:p w14:paraId="48C19401" w14:textId="2A935C46" w:rsidR="00927D2A" w:rsidRPr="00D86D2F" w:rsidRDefault="00927D2A" w:rsidP="00927D2A">
      <w:pPr>
        <w:pStyle w:val="Heading1"/>
        <w:jc w:val="both"/>
        <w:rPr>
          <w:rFonts w:ascii="Arial" w:hAnsi="Arial" w:cs="Arial"/>
          <w:color w:val="5B9BD5" w:themeColor="accent1"/>
          <w:sz w:val="28"/>
          <w:szCs w:val="22"/>
        </w:rPr>
      </w:pPr>
      <w:bookmarkStart w:id="8" w:name="_Toc120825233"/>
      <w:bookmarkStart w:id="9" w:name="_Toc121050365"/>
      <w:r w:rsidRPr="00D86D2F">
        <w:rPr>
          <w:rFonts w:ascii="Arial" w:hAnsi="Arial" w:cs="Arial"/>
          <w:color w:val="5B9BD5" w:themeColor="accent1"/>
          <w:sz w:val="28"/>
          <w:szCs w:val="22"/>
        </w:rPr>
        <w:t>NHS Quality Care</w:t>
      </w:r>
      <w:bookmarkEnd w:id="8"/>
      <w:bookmarkEnd w:id="9"/>
    </w:p>
    <w:p w14:paraId="567FEFDF" w14:textId="77777777" w:rsidR="00927D2A" w:rsidRPr="00D86D2F" w:rsidRDefault="00927D2A" w:rsidP="00927D2A">
      <w:pPr>
        <w:jc w:val="both"/>
        <w:rPr>
          <w:rFonts w:ascii="Arial" w:hAnsi="Arial" w:cs="Arial"/>
        </w:rPr>
      </w:pPr>
    </w:p>
    <w:p w14:paraId="4557D463" w14:textId="41EDAFD9" w:rsidR="00927D2A" w:rsidRPr="00D86D2F" w:rsidRDefault="00927D2A" w:rsidP="00BD1966">
      <w:pPr>
        <w:spacing w:line="360" w:lineRule="auto"/>
        <w:jc w:val="both"/>
        <w:rPr>
          <w:rFonts w:ascii="Arial" w:hAnsi="Arial" w:cs="Arial"/>
          <w:szCs w:val="24"/>
        </w:rPr>
      </w:pPr>
      <w:r w:rsidRPr="00D86D2F">
        <w:rPr>
          <w:rFonts w:ascii="Arial" w:hAnsi="Arial" w:cs="Arial"/>
          <w:szCs w:val="24"/>
        </w:rPr>
        <w:t>The legislation has now enshrined the definition of quality through the Health and Social Care Act 2012 (</w:t>
      </w:r>
      <w:r w:rsidRPr="00D86D2F">
        <w:rPr>
          <w:rFonts w:ascii="Arial" w:hAnsi="Arial" w:cs="Arial"/>
          <w:color w:val="222222"/>
          <w:szCs w:val="24"/>
          <w:shd w:val="clear" w:color="auto" w:fill="FFFFFF"/>
        </w:rPr>
        <w:t>Pollock et al., 2020)</w:t>
      </w:r>
      <w:r w:rsidRPr="00D86D2F">
        <w:rPr>
          <w:rFonts w:ascii="Arial" w:hAnsi="Arial" w:cs="Arial"/>
          <w:szCs w:val="24"/>
        </w:rPr>
        <w:t xml:space="preserve">. The Act has emphasized the successful outcomes that are based on the succession of service users or patients. The national outcomes have been determined by the NHS Outcomes Framework taking the providers of NHS-funded care into consideration for further contributions. The framework of a healthcare service provider is established on the determination of quality by setting out five overarching outcomes. This framework has captured the NHS endeavours towards serving patients comprehensively and supported the movement of quality care. </w:t>
      </w:r>
    </w:p>
    <w:p w14:paraId="557BB4A1" w14:textId="77777777" w:rsidR="00927D2A" w:rsidRPr="00D86D2F" w:rsidRDefault="00927D2A" w:rsidP="00927D2A">
      <w:pPr>
        <w:jc w:val="both"/>
        <w:rPr>
          <w:rFonts w:ascii="Arial" w:hAnsi="Arial" w:cs="Arial"/>
          <w:szCs w:val="24"/>
        </w:rPr>
      </w:pPr>
    </w:p>
    <w:p w14:paraId="05CD5617" w14:textId="77777777" w:rsidR="00927D2A" w:rsidRPr="00D86D2F" w:rsidRDefault="00927D2A" w:rsidP="00927D2A">
      <w:pPr>
        <w:keepNext/>
        <w:jc w:val="center"/>
        <w:rPr>
          <w:rFonts w:ascii="Arial" w:hAnsi="Arial" w:cs="Arial"/>
          <w:szCs w:val="24"/>
        </w:rPr>
      </w:pPr>
      <w:r w:rsidRPr="00D86D2F">
        <w:rPr>
          <w:rFonts w:ascii="Arial" w:hAnsi="Arial" w:cs="Arial"/>
          <w:noProof/>
          <w:szCs w:val="24"/>
        </w:rPr>
        <w:lastRenderedPageBreak/>
        <w:drawing>
          <wp:inline distT="0" distB="0" distL="0" distR="0" wp14:anchorId="4B0D2FBC" wp14:editId="53ED2307">
            <wp:extent cx="4467225" cy="1962150"/>
            <wp:effectExtent l="0" t="0" r="952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stretch>
                      <a:fillRect/>
                    </a:stretch>
                  </pic:blipFill>
                  <pic:spPr>
                    <a:xfrm>
                      <a:off x="0" y="0"/>
                      <a:ext cx="4467225" cy="1962150"/>
                    </a:xfrm>
                    <a:prstGeom prst="rect">
                      <a:avLst/>
                    </a:prstGeom>
                  </pic:spPr>
                </pic:pic>
              </a:graphicData>
            </a:graphic>
          </wp:inline>
        </w:drawing>
      </w:r>
    </w:p>
    <w:p w14:paraId="316C5C6A" w14:textId="77777777" w:rsidR="00927D2A" w:rsidRPr="00D86D2F" w:rsidRDefault="00927D2A" w:rsidP="00927D2A">
      <w:pPr>
        <w:pStyle w:val="Caption"/>
        <w:spacing w:after="0" w:line="360" w:lineRule="auto"/>
        <w:jc w:val="center"/>
        <w:rPr>
          <w:rFonts w:ascii="Arial" w:hAnsi="Arial" w:cs="Arial"/>
          <w:color w:val="auto"/>
          <w:sz w:val="24"/>
          <w:szCs w:val="24"/>
        </w:rPr>
      </w:pPr>
      <w:r w:rsidRPr="00D86D2F">
        <w:rPr>
          <w:rFonts w:ascii="Arial" w:hAnsi="Arial" w:cs="Arial"/>
          <w:color w:val="auto"/>
          <w:sz w:val="24"/>
          <w:szCs w:val="24"/>
        </w:rPr>
        <w:t xml:space="preserve">Figure </w:t>
      </w:r>
      <w:r w:rsidRPr="00D86D2F">
        <w:rPr>
          <w:rFonts w:ascii="Arial" w:hAnsi="Arial" w:cs="Arial"/>
          <w:color w:val="auto"/>
          <w:sz w:val="24"/>
          <w:szCs w:val="24"/>
        </w:rPr>
        <w:fldChar w:fldCharType="begin"/>
      </w:r>
      <w:r w:rsidRPr="00D86D2F">
        <w:rPr>
          <w:rFonts w:ascii="Arial" w:hAnsi="Arial" w:cs="Arial"/>
          <w:color w:val="auto"/>
          <w:sz w:val="24"/>
          <w:szCs w:val="24"/>
        </w:rPr>
        <w:instrText xml:space="preserve"> SEQ Figure \* ARABIC </w:instrText>
      </w:r>
      <w:r w:rsidRPr="00D86D2F">
        <w:rPr>
          <w:rFonts w:ascii="Arial" w:hAnsi="Arial" w:cs="Arial"/>
          <w:color w:val="auto"/>
          <w:sz w:val="24"/>
          <w:szCs w:val="24"/>
        </w:rPr>
        <w:fldChar w:fldCharType="separate"/>
      </w:r>
      <w:r w:rsidRPr="00D86D2F">
        <w:rPr>
          <w:rFonts w:ascii="Arial" w:hAnsi="Arial" w:cs="Arial"/>
          <w:noProof/>
          <w:color w:val="auto"/>
          <w:sz w:val="24"/>
          <w:szCs w:val="24"/>
        </w:rPr>
        <w:t>1</w:t>
      </w:r>
      <w:r w:rsidRPr="00D86D2F">
        <w:rPr>
          <w:rFonts w:ascii="Arial" w:hAnsi="Arial" w:cs="Arial"/>
          <w:color w:val="auto"/>
          <w:sz w:val="24"/>
          <w:szCs w:val="24"/>
        </w:rPr>
        <w:fldChar w:fldCharType="end"/>
      </w:r>
      <w:r w:rsidRPr="00D86D2F">
        <w:rPr>
          <w:rFonts w:ascii="Arial" w:hAnsi="Arial" w:cs="Arial"/>
          <w:color w:val="auto"/>
          <w:sz w:val="24"/>
          <w:szCs w:val="24"/>
        </w:rPr>
        <w:t>: Understanding Quality Care</w:t>
      </w:r>
    </w:p>
    <w:p w14:paraId="252220DB" w14:textId="77777777" w:rsidR="00927D2A" w:rsidRPr="00D86D2F" w:rsidRDefault="00927D2A" w:rsidP="00927D2A">
      <w:pPr>
        <w:pStyle w:val="Caption"/>
        <w:spacing w:after="0" w:line="360" w:lineRule="auto"/>
        <w:jc w:val="center"/>
        <w:rPr>
          <w:rFonts w:ascii="Arial" w:hAnsi="Arial" w:cs="Arial"/>
          <w:color w:val="auto"/>
          <w:sz w:val="24"/>
          <w:szCs w:val="24"/>
        </w:rPr>
      </w:pPr>
      <w:r w:rsidRPr="00D86D2F">
        <w:rPr>
          <w:rFonts w:ascii="Arial" w:hAnsi="Arial" w:cs="Arial"/>
          <w:color w:val="auto"/>
          <w:sz w:val="24"/>
          <w:szCs w:val="24"/>
        </w:rPr>
        <w:t>Source: Daley et al. (2019)</w:t>
      </w:r>
    </w:p>
    <w:p w14:paraId="29533CF0" w14:textId="77777777" w:rsidR="00927D2A" w:rsidRPr="00D86D2F" w:rsidRDefault="00927D2A" w:rsidP="00927D2A">
      <w:pPr>
        <w:rPr>
          <w:rFonts w:ascii="Arial" w:hAnsi="Arial" w:cs="Arial"/>
        </w:rPr>
      </w:pPr>
    </w:p>
    <w:p w14:paraId="795592AF" w14:textId="6E85D8EB"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The above (Figure 1) is indicating three dimensions of quality care provisions, which have focused on the three parameters i.e., clinical effectiveness, </w:t>
      </w:r>
      <w:r w:rsidR="00C67893" w:rsidRPr="00D86D2F">
        <w:rPr>
          <w:rFonts w:ascii="Arial" w:hAnsi="Arial" w:cs="Arial"/>
          <w:szCs w:val="24"/>
        </w:rPr>
        <w:t>safety,</w:t>
      </w:r>
      <w:r w:rsidRPr="00D86D2F">
        <w:rPr>
          <w:rFonts w:ascii="Arial" w:hAnsi="Arial" w:cs="Arial"/>
          <w:szCs w:val="24"/>
        </w:rPr>
        <w:t xml:space="preserve"> and patient experience.</w:t>
      </w:r>
    </w:p>
    <w:p w14:paraId="62E9390F" w14:textId="77777777" w:rsidR="00927D2A" w:rsidRPr="00D86D2F" w:rsidRDefault="00927D2A" w:rsidP="00BD1966">
      <w:pPr>
        <w:spacing w:line="360" w:lineRule="auto"/>
        <w:jc w:val="both"/>
        <w:rPr>
          <w:rFonts w:ascii="Arial" w:hAnsi="Arial" w:cs="Arial"/>
          <w:szCs w:val="24"/>
        </w:rPr>
      </w:pPr>
    </w:p>
    <w:p w14:paraId="283EED76" w14:textId="77777777" w:rsidR="00927D2A" w:rsidRPr="00D86D2F" w:rsidRDefault="00927D2A" w:rsidP="00BD1966">
      <w:pPr>
        <w:spacing w:line="360" w:lineRule="auto"/>
        <w:jc w:val="both"/>
        <w:rPr>
          <w:rFonts w:ascii="Arial" w:hAnsi="Arial" w:cs="Arial"/>
          <w:szCs w:val="24"/>
        </w:rPr>
      </w:pPr>
      <w:r w:rsidRPr="00D86D2F">
        <w:rPr>
          <w:rFonts w:ascii="Arial" w:hAnsi="Arial" w:cs="Arial"/>
          <w:b/>
          <w:bCs/>
          <w:szCs w:val="24"/>
        </w:rPr>
        <w:t>Clinical Effectiveness –</w:t>
      </w:r>
      <w:r w:rsidRPr="00D86D2F">
        <w:rPr>
          <w:rFonts w:ascii="Arial" w:hAnsi="Arial" w:cs="Arial"/>
          <w:szCs w:val="24"/>
        </w:rPr>
        <w:t xml:space="preserve"> It refers to the determination of quality care that can be delivered in accordance with the understanding of what is clinically effective in enhancing the health outcomes of an individual (Dineen-Griffin et al., 2019).</w:t>
      </w:r>
    </w:p>
    <w:p w14:paraId="112888C2" w14:textId="77777777" w:rsidR="00927D2A" w:rsidRPr="00D86D2F" w:rsidRDefault="00927D2A" w:rsidP="00BD1966">
      <w:pPr>
        <w:spacing w:line="360" w:lineRule="auto"/>
        <w:jc w:val="both"/>
        <w:rPr>
          <w:rFonts w:ascii="Arial" w:hAnsi="Arial" w:cs="Arial"/>
          <w:szCs w:val="24"/>
        </w:rPr>
      </w:pPr>
    </w:p>
    <w:p w14:paraId="5B13397D" w14:textId="77777777" w:rsidR="00927D2A" w:rsidRPr="00D86D2F" w:rsidRDefault="00927D2A" w:rsidP="00BD1966">
      <w:pPr>
        <w:spacing w:line="360" w:lineRule="auto"/>
        <w:jc w:val="both"/>
        <w:rPr>
          <w:rFonts w:ascii="Arial" w:hAnsi="Arial" w:cs="Arial"/>
          <w:szCs w:val="24"/>
        </w:rPr>
      </w:pPr>
      <w:r w:rsidRPr="00D86D2F">
        <w:rPr>
          <w:rFonts w:ascii="Arial" w:hAnsi="Arial" w:cs="Arial"/>
          <w:b/>
          <w:bCs/>
          <w:szCs w:val="24"/>
        </w:rPr>
        <w:t>Safety –</w:t>
      </w:r>
      <w:r w:rsidRPr="00D86D2F">
        <w:rPr>
          <w:rFonts w:ascii="Arial" w:hAnsi="Arial" w:cs="Arial"/>
          <w:szCs w:val="24"/>
        </w:rPr>
        <w:t xml:space="preserve"> It indicates the quality of care that is provided while avoiding the risks and harm to safeguarding the safety of the individual demanding care.</w:t>
      </w:r>
    </w:p>
    <w:p w14:paraId="0B916766" w14:textId="77777777" w:rsidR="00927D2A" w:rsidRPr="00D86D2F" w:rsidRDefault="00927D2A" w:rsidP="00BD1966">
      <w:pPr>
        <w:spacing w:line="360" w:lineRule="auto"/>
        <w:jc w:val="both"/>
        <w:rPr>
          <w:rFonts w:ascii="Arial" w:hAnsi="Arial" w:cs="Arial"/>
          <w:szCs w:val="24"/>
        </w:rPr>
      </w:pPr>
    </w:p>
    <w:p w14:paraId="6438789D" w14:textId="77777777" w:rsidR="00927D2A" w:rsidRPr="00D86D2F" w:rsidRDefault="00927D2A" w:rsidP="00BD1966">
      <w:pPr>
        <w:spacing w:line="360" w:lineRule="auto"/>
        <w:jc w:val="both"/>
        <w:rPr>
          <w:rFonts w:ascii="Arial" w:hAnsi="Arial" w:cs="Arial"/>
          <w:szCs w:val="24"/>
        </w:rPr>
      </w:pPr>
      <w:r w:rsidRPr="00D86D2F">
        <w:rPr>
          <w:rFonts w:ascii="Arial" w:hAnsi="Arial" w:cs="Arial"/>
          <w:b/>
          <w:bCs/>
          <w:szCs w:val="24"/>
        </w:rPr>
        <w:t>Patient Experience –</w:t>
      </w:r>
      <w:r w:rsidRPr="00D86D2F">
        <w:rPr>
          <w:rFonts w:ascii="Arial" w:hAnsi="Arial" w:cs="Arial"/>
          <w:szCs w:val="24"/>
        </w:rPr>
        <w:t xml:space="preserve"> Quality care refers to the delivery of a positive experience to the patient that is concerned with recovering and receiving care that includes appropriate treatment by keeping the demand of individuals intact. The patient's experience can be enhanced only by ensuring that the patient is treated with respect, and compassion and in a dignified manner (Asmaningrum &amp; Tsai, 2018).</w:t>
      </w:r>
    </w:p>
    <w:p w14:paraId="65780097" w14:textId="77777777" w:rsidR="00927D2A" w:rsidRPr="00D86D2F" w:rsidRDefault="00927D2A" w:rsidP="00927D2A">
      <w:pPr>
        <w:jc w:val="both"/>
        <w:rPr>
          <w:rFonts w:ascii="Arial" w:hAnsi="Arial" w:cs="Arial"/>
          <w:szCs w:val="24"/>
        </w:rPr>
      </w:pPr>
    </w:p>
    <w:p w14:paraId="47BB8DBA" w14:textId="77777777" w:rsidR="00927D2A" w:rsidRPr="00D86D2F" w:rsidRDefault="00927D2A" w:rsidP="00927D2A">
      <w:pPr>
        <w:keepNext/>
        <w:jc w:val="center"/>
        <w:rPr>
          <w:rFonts w:ascii="Arial" w:hAnsi="Arial" w:cs="Arial"/>
          <w:szCs w:val="24"/>
        </w:rPr>
      </w:pPr>
      <w:r w:rsidRPr="00D86D2F">
        <w:rPr>
          <w:rFonts w:ascii="Arial" w:hAnsi="Arial" w:cs="Arial"/>
          <w:noProof/>
          <w:szCs w:val="24"/>
        </w:rPr>
        <w:lastRenderedPageBreak/>
        <w:drawing>
          <wp:inline distT="0" distB="0" distL="0" distR="0" wp14:anchorId="4B659451" wp14:editId="5D353117">
            <wp:extent cx="6245548" cy="2495550"/>
            <wp:effectExtent l="0" t="0" r="317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3"/>
                    <a:stretch>
                      <a:fillRect/>
                    </a:stretch>
                  </pic:blipFill>
                  <pic:spPr>
                    <a:xfrm>
                      <a:off x="0" y="0"/>
                      <a:ext cx="6249154" cy="2496991"/>
                    </a:xfrm>
                    <a:prstGeom prst="rect">
                      <a:avLst/>
                    </a:prstGeom>
                  </pic:spPr>
                </pic:pic>
              </a:graphicData>
            </a:graphic>
          </wp:inline>
        </w:drawing>
      </w:r>
    </w:p>
    <w:p w14:paraId="0138EF7E" w14:textId="77777777" w:rsidR="00927D2A" w:rsidRPr="00D86D2F" w:rsidRDefault="00927D2A" w:rsidP="00927D2A">
      <w:pPr>
        <w:pStyle w:val="Caption"/>
        <w:spacing w:after="0" w:line="360" w:lineRule="auto"/>
        <w:jc w:val="center"/>
        <w:rPr>
          <w:rFonts w:ascii="Arial" w:hAnsi="Arial" w:cs="Arial"/>
          <w:color w:val="auto"/>
          <w:sz w:val="24"/>
          <w:szCs w:val="24"/>
        </w:rPr>
      </w:pPr>
      <w:r w:rsidRPr="00D86D2F">
        <w:rPr>
          <w:rFonts w:ascii="Arial" w:hAnsi="Arial" w:cs="Arial"/>
          <w:color w:val="auto"/>
          <w:sz w:val="24"/>
          <w:szCs w:val="24"/>
        </w:rPr>
        <w:t xml:space="preserve">Figure </w:t>
      </w:r>
      <w:r w:rsidRPr="00D86D2F">
        <w:rPr>
          <w:rFonts w:ascii="Arial" w:hAnsi="Arial" w:cs="Arial"/>
          <w:color w:val="auto"/>
          <w:sz w:val="24"/>
          <w:szCs w:val="24"/>
        </w:rPr>
        <w:fldChar w:fldCharType="begin" w:fldLock="1"/>
      </w:r>
      <w:r w:rsidRPr="00D86D2F">
        <w:rPr>
          <w:rFonts w:ascii="Arial" w:hAnsi="Arial" w:cs="Arial"/>
          <w:color w:val="auto"/>
          <w:sz w:val="24"/>
          <w:szCs w:val="24"/>
        </w:rPr>
        <w:instrText xml:space="preserve"> SEQ Figure \* ARABIC </w:instrText>
      </w:r>
      <w:r w:rsidRPr="00D86D2F">
        <w:rPr>
          <w:rFonts w:ascii="Arial" w:hAnsi="Arial" w:cs="Arial"/>
          <w:color w:val="auto"/>
          <w:sz w:val="24"/>
          <w:szCs w:val="24"/>
        </w:rPr>
        <w:fldChar w:fldCharType="separate"/>
      </w:r>
      <w:r w:rsidRPr="00D86D2F">
        <w:rPr>
          <w:rFonts w:ascii="Arial" w:hAnsi="Arial" w:cs="Arial"/>
          <w:noProof/>
          <w:color w:val="auto"/>
          <w:sz w:val="24"/>
          <w:szCs w:val="24"/>
        </w:rPr>
        <w:t>2</w:t>
      </w:r>
      <w:r w:rsidRPr="00D86D2F">
        <w:rPr>
          <w:rFonts w:ascii="Arial" w:hAnsi="Arial" w:cs="Arial"/>
          <w:color w:val="auto"/>
          <w:sz w:val="24"/>
          <w:szCs w:val="24"/>
        </w:rPr>
        <w:fldChar w:fldCharType="end"/>
      </w:r>
      <w:r w:rsidRPr="00D86D2F">
        <w:rPr>
          <w:rFonts w:ascii="Arial" w:hAnsi="Arial" w:cs="Arial"/>
          <w:color w:val="auto"/>
          <w:sz w:val="24"/>
          <w:szCs w:val="24"/>
        </w:rPr>
        <w:t>: The domains of the NHS Outcomes Framework</w:t>
      </w:r>
    </w:p>
    <w:p w14:paraId="00485CDD" w14:textId="77777777" w:rsidR="00927D2A" w:rsidRPr="00D86D2F" w:rsidRDefault="00927D2A" w:rsidP="00927D2A">
      <w:pPr>
        <w:pStyle w:val="Caption"/>
        <w:spacing w:after="0" w:line="360" w:lineRule="auto"/>
        <w:jc w:val="center"/>
        <w:rPr>
          <w:rFonts w:ascii="Arial" w:hAnsi="Arial" w:cs="Arial"/>
          <w:color w:val="auto"/>
          <w:sz w:val="24"/>
          <w:szCs w:val="24"/>
        </w:rPr>
      </w:pPr>
      <w:r w:rsidRPr="00D86D2F">
        <w:rPr>
          <w:rFonts w:ascii="Arial" w:hAnsi="Arial" w:cs="Arial"/>
          <w:color w:val="auto"/>
          <w:sz w:val="24"/>
          <w:szCs w:val="24"/>
        </w:rPr>
        <w:t>Source: Junior et al. (2022)</w:t>
      </w:r>
    </w:p>
    <w:p w14:paraId="731F4494" w14:textId="77777777" w:rsidR="00927D2A" w:rsidRPr="00D86D2F" w:rsidRDefault="00927D2A" w:rsidP="00927D2A">
      <w:pPr>
        <w:rPr>
          <w:rFonts w:ascii="Arial" w:hAnsi="Arial" w:cs="Arial"/>
        </w:rPr>
      </w:pPr>
    </w:p>
    <w:p w14:paraId="5CA25C99" w14:textId="77777777" w:rsidR="002F2E27" w:rsidRPr="00D86D2F" w:rsidRDefault="002F2E27" w:rsidP="00927D2A">
      <w:pPr>
        <w:jc w:val="both"/>
        <w:rPr>
          <w:rFonts w:ascii="Arial" w:hAnsi="Arial" w:cs="Arial"/>
          <w:szCs w:val="24"/>
        </w:rPr>
      </w:pPr>
    </w:p>
    <w:p w14:paraId="07B59DC0" w14:textId="77777777" w:rsidR="002F2E27" w:rsidRPr="00D86D2F" w:rsidRDefault="002F2E27" w:rsidP="00927D2A">
      <w:pPr>
        <w:jc w:val="both"/>
        <w:rPr>
          <w:rFonts w:ascii="Arial" w:hAnsi="Arial" w:cs="Arial"/>
          <w:szCs w:val="24"/>
        </w:rPr>
      </w:pPr>
    </w:p>
    <w:p w14:paraId="1196D33F" w14:textId="5BC74BD9"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NHS Outcomes Framework has a threefold </w:t>
      </w:r>
      <w:r w:rsidR="00C67893" w:rsidRPr="00D86D2F">
        <w:rPr>
          <w:rFonts w:ascii="Arial" w:hAnsi="Arial" w:cs="Arial"/>
          <w:szCs w:val="24"/>
        </w:rPr>
        <w:t>purpose.</w:t>
      </w:r>
      <w:r w:rsidRPr="00D86D2F">
        <w:rPr>
          <w:rFonts w:ascii="Arial" w:hAnsi="Arial" w:cs="Arial"/>
          <w:szCs w:val="24"/>
        </w:rPr>
        <w:t xml:space="preserve"> </w:t>
      </w:r>
    </w:p>
    <w:p w14:paraId="6232CE0F" w14:textId="77777777" w:rsidR="00927D2A" w:rsidRPr="00D86D2F" w:rsidRDefault="00927D2A" w:rsidP="00BD1966">
      <w:pPr>
        <w:spacing w:line="360" w:lineRule="auto"/>
        <w:jc w:val="both"/>
        <w:rPr>
          <w:rFonts w:ascii="Arial" w:hAnsi="Arial" w:cs="Arial"/>
          <w:szCs w:val="24"/>
        </w:rPr>
      </w:pPr>
    </w:p>
    <w:p w14:paraId="5217FBCD" w14:textId="77777777" w:rsidR="00927D2A" w:rsidRPr="00D86D2F" w:rsidRDefault="00927D2A" w:rsidP="00BD1966">
      <w:pPr>
        <w:pStyle w:val="ListParagraph"/>
        <w:numPr>
          <w:ilvl w:val="0"/>
          <w:numId w:val="27"/>
        </w:numPr>
        <w:spacing w:after="0" w:line="360" w:lineRule="auto"/>
        <w:jc w:val="both"/>
        <w:rPr>
          <w:rFonts w:ascii="Arial" w:hAnsi="Arial" w:cs="Arial"/>
          <w:szCs w:val="24"/>
        </w:rPr>
      </w:pPr>
      <w:r w:rsidRPr="00D86D2F">
        <w:rPr>
          <w:rFonts w:ascii="Arial" w:hAnsi="Arial" w:cs="Arial"/>
          <w:b/>
          <w:bCs/>
          <w:szCs w:val="24"/>
        </w:rPr>
        <w:t>First</w:t>
      </w:r>
      <w:r w:rsidRPr="00D86D2F">
        <w:rPr>
          <w:rFonts w:ascii="Arial" w:hAnsi="Arial" w:cs="Arial"/>
          <w:szCs w:val="24"/>
        </w:rPr>
        <w:t xml:space="preserve"> – To offer a national-level overview indicating the way NHS performance is liable for reinforcing the public and Parliament for holding the Government accountable for the healthcare progression (Figure 2)</w:t>
      </w:r>
    </w:p>
    <w:p w14:paraId="7D23C5F4" w14:textId="77777777" w:rsidR="00927D2A" w:rsidRPr="00D86D2F" w:rsidRDefault="00927D2A" w:rsidP="00BD1966">
      <w:pPr>
        <w:pStyle w:val="ListParagraph"/>
        <w:numPr>
          <w:ilvl w:val="0"/>
          <w:numId w:val="27"/>
        </w:numPr>
        <w:spacing w:after="0" w:line="360" w:lineRule="auto"/>
        <w:jc w:val="both"/>
        <w:rPr>
          <w:rFonts w:ascii="Arial" w:hAnsi="Arial" w:cs="Arial"/>
          <w:szCs w:val="24"/>
        </w:rPr>
      </w:pPr>
      <w:r w:rsidRPr="00D86D2F">
        <w:rPr>
          <w:rFonts w:ascii="Arial" w:hAnsi="Arial" w:cs="Arial"/>
          <w:b/>
          <w:bCs/>
          <w:szCs w:val="24"/>
        </w:rPr>
        <w:t>Second</w:t>
      </w:r>
      <w:r w:rsidRPr="00D86D2F">
        <w:rPr>
          <w:rFonts w:ascii="Arial" w:hAnsi="Arial" w:cs="Arial"/>
          <w:szCs w:val="24"/>
        </w:rPr>
        <w:t xml:space="preserve"> – To perform as an accountability mechanism between the NHS Commission Board and the Secretary of the State for Health incorporated within the Mandate determined by the Board.</w:t>
      </w:r>
    </w:p>
    <w:p w14:paraId="606E23B7" w14:textId="77777777" w:rsidR="00927D2A" w:rsidRPr="00D86D2F" w:rsidRDefault="00927D2A" w:rsidP="00BD1966">
      <w:pPr>
        <w:pStyle w:val="ListParagraph"/>
        <w:numPr>
          <w:ilvl w:val="0"/>
          <w:numId w:val="27"/>
        </w:numPr>
        <w:spacing w:after="0" w:line="360" w:lineRule="auto"/>
        <w:jc w:val="both"/>
        <w:rPr>
          <w:rFonts w:ascii="Arial" w:hAnsi="Arial" w:cs="Arial"/>
          <w:szCs w:val="24"/>
        </w:rPr>
      </w:pPr>
      <w:r w:rsidRPr="00D86D2F">
        <w:rPr>
          <w:rFonts w:ascii="Arial" w:hAnsi="Arial" w:cs="Arial"/>
          <w:b/>
          <w:bCs/>
          <w:szCs w:val="24"/>
        </w:rPr>
        <w:t>Third</w:t>
      </w:r>
      <w:r w:rsidRPr="00D86D2F">
        <w:rPr>
          <w:rFonts w:ascii="Arial" w:hAnsi="Arial" w:cs="Arial"/>
          <w:szCs w:val="24"/>
        </w:rPr>
        <w:t xml:space="preserve"> – To act as a catalyst for measuring the outcomes and driving quality enhancement throughout the NHS.</w:t>
      </w:r>
    </w:p>
    <w:p w14:paraId="7C5D09E7" w14:textId="77777777" w:rsidR="00927D2A" w:rsidRPr="00D86D2F" w:rsidRDefault="00927D2A" w:rsidP="00BD1966">
      <w:pPr>
        <w:spacing w:line="360" w:lineRule="auto"/>
        <w:jc w:val="both"/>
        <w:rPr>
          <w:rFonts w:ascii="Arial" w:hAnsi="Arial" w:cs="Arial"/>
          <w:szCs w:val="24"/>
        </w:rPr>
      </w:pPr>
    </w:p>
    <w:p w14:paraId="1851EEBD" w14:textId="551A5CC7"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The NHS Outcomes Framework has established the Adult Social Care Framework and the Public Health Outcomes Framework which includes outcomes that are complementary and shared. </w:t>
      </w:r>
    </w:p>
    <w:p w14:paraId="6F6627F0" w14:textId="77777777" w:rsidR="00BD1966" w:rsidRPr="00D86D2F" w:rsidRDefault="00BD1966" w:rsidP="00BD1966">
      <w:pPr>
        <w:spacing w:line="360" w:lineRule="auto"/>
        <w:jc w:val="both"/>
        <w:rPr>
          <w:rFonts w:ascii="Arial" w:hAnsi="Arial" w:cs="Arial"/>
          <w:szCs w:val="24"/>
        </w:rPr>
      </w:pPr>
    </w:p>
    <w:p w14:paraId="1A407A0A" w14:textId="77777777" w:rsidR="00927D2A" w:rsidRPr="00D86D2F" w:rsidRDefault="00927D2A" w:rsidP="00927D2A">
      <w:pPr>
        <w:jc w:val="both"/>
        <w:rPr>
          <w:rFonts w:ascii="Arial" w:hAnsi="Arial" w:cs="Arial"/>
          <w:szCs w:val="24"/>
        </w:rPr>
      </w:pPr>
    </w:p>
    <w:p w14:paraId="791CBE02" w14:textId="77777777" w:rsidR="00465BD5" w:rsidRPr="00D86D2F" w:rsidRDefault="00465BD5" w:rsidP="00465BD5">
      <w:pPr>
        <w:pStyle w:val="Heading2"/>
        <w:rPr>
          <w:rFonts w:ascii="Arial" w:hAnsi="Arial" w:cs="Arial"/>
          <w:sz w:val="32"/>
          <w:szCs w:val="32"/>
        </w:rPr>
      </w:pPr>
      <w:bookmarkStart w:id="10" w:name="_Toc120825234"/>
      <w:bookmarkStart w:id="11" w:name="_Toc110079041"/>
      <w:bookmarkStart w:id="12" w:name="_Toc121050366"/>
      <w:r w:rsidRPr="00D86D2F">
        <w:rPr>
          <w:rFonts w:ascii="Arial" w:hAnsi="Arial" w:cs="Arial"/>
          <w:sz w:val="32"/>
          <w:szCs w:val="32"/>
        </w:rPr>
        <w:lastRenderedPageBreak/>
        <w:t>Customer Relationship Management</w:t>
      </w:r>
      <w:bookmarkEnd w:id="11"/>
      <w:bookmarkEnd w:id="12"/>
    </w:p>
    <w:p w14:paraId="5EB2407F" w14:textId="77777777" w:rsidR="00465BD5" w:rsidRPr="00D86D2F" w:rsidRDefault="00465BD5" w:rsidP="00465BD5">
      <w:pPr>
        <w:rPr>
          <w:rFonts w:ascii="Arial" w:hAnsi="Arial" w:cs="Arial"/>
        </w:rPr>
      </w:pPr>
    </w:p>
    <w:p w14:paraId="77612605" w14:textId="183BE91F" w:rsidR="00465BD5" w:rsidRPr="00D86D2F" w:rsidRDefault="00465BD5" w:rsidP="00465BD5">
      <w:pPr>
        <w:shd w:val="clear" w:color="auto" w:fill="FFFFFF"/>
        <w:spacing w:before="100" w:beforeAutospacing="1" w:after="100" w:afterAutospacing="1" w:line="360" w:lineRule="auto"/>
        <w:rPr>
          <w:rFonts w:ascii="Arial" w:hAnsi="Arial" w:cs="Arial"/>
          <w:shd w:val="clear" w:color="auto" w:fill="FFFFFF"/>
        </w:rPr>
      </w:pPr>
      <w:r w:rsidRPr="00D86D2F">
        <w:rPr>
          <w:rFonts w:ascii="Arial" w:hAnsi="Arial" w:cs="Arial"/>
          <w:shd w:val="clear" w:color="auto" w:fill="FFFFFF"/>
        </w:rPr>
        <w:t>Chen and Popovich (2003) define CRM (Customer Relationship Management) as the practice of developing and maintaining personal relationships with customers in order to increase profits. In contrast, Payne and Frow (2005) say maintaining a long-term and strong relationship is no longer the ultimate goal of CRM (Customer Relationship Management)</w:t>
      </w:r>
      <w:r w:rsidR="00D86D2F" w:rsidRPr="00D86D2F">
        <w:rPr>
          <w:rFonts w:ascii="Arial" w:hAnsi="Arial" w:cs="Arial"/>
          <w:shd w:val="clear" w:color="auto" w:fill="FFFFFF"/>
        </w:rPr>
        <w:t xml:space="preserve">. </w:t>
      </w:r>
      <w:r w:rsidRPr="00D86D2F">
        <w:rPr>
          <w:rFonts w:ascii="Arial" w:hAnsi="Arial" w:cs="Arial"/>
          <w:shd w:val="clear" w:color="auto" w:fill="FFFFFF"/>
        </w:rPr>
        <w:t>This concept is well established in specialized literature and business practice. By implementing a CRM strategy, organizations are able to quickly adapt their behaviour to changes in the market in order to better satisfy the demands of their customers. The goal of customer relationship management is to identify and analyse customer needs and behaviour in order to develop the strongest relationships possible.</w:t>
      </w:r>
      <w:r w:rsidR="00585A4A" w:rsidRPr="00D86D2F">
        <w:rPr>
          <w:rFonts w:ascii="Arial" w:hAnsi="Arial" w:cs="Arial"/>
          <w:shd w:val="clear" w:color="auto" w:fill="FFFFFF"/>
        </w:rPr>
        <w:t xml:space="preserve"> </w:t>
      </w:r>
      <w:r w:rsidR="00585A4A" w:rsidRPr="00D86D2F">
        <w:rPr>
          <w:rFonts w:ascii="Arial" w:hAnsi="Arial" w:cs="Arial"/>
          <w:shd w:val="clear" w:color="auto" w:fill="FFFFFF"/>
        </w:rPr>
        <w:t>Even though technology is a significant component of CRM, focusing only on technology may not result in a successful implementation. People, processes, and technology integration are necessary for successful CRM deployment. Many companies are having trouble implementing CRM due to misunderstanding what CRM is and how it works. (Chen &amp; Popovich ,2003</w:t>
      </w:r>
      <w:r w:rsidR="00585A4A" w:rsidRPr="00D86D2F">
        <w:rPr>
          <w:rFonts w:ascii="Arial" w:hAnsi="Arial" w:cs="Arial"/>
          <w:shd w:val="clear" w:color="auto" w:fill="FFFFFF"/>
        </w:rPr>
        <w:t xml:space="preserve">). </w:t>
      </w:r>
      <w:r w:rsidR="001A14B5" w:rsidRPr="00D86D2F">
        <w:rPr>
          <w:rFonts w:ascii="Arial" w:hAnsi="Arial" w:cs="Arial"/>
          <w:shd w:val="clear" w:color="auto" w:fill="FFFFFF"/>
        </w:rPr>
        <w:t>A CRM approach from a healthcare perspective can be defined by Benz and Paddison (2004) as a process of learning about patients, building strong relationships, delivering timely information to patients, and tracking patient results.</w:t>
      </w:r>
      <w:r w:rsidR="001A14B5" w:rsidRPr="00D86D2F">
        <w:rPr>
          <w:rFonts w:ascii="Arial" w:hAnsi="Arial" w:cs="Arial"/>
          <w:shd w:val="clear" w:color="auto" w:fill="FFFFFF"/>
        </w:rPr>
        <w:t xml:space="preserve"> </w:t>
      </w:r>
      <w:r w:rsidR="00585A4A" w:rsidRPr="00D86D2F">
        <w:rPr>
          <w:rFonts w:ascii="Arial" w:hAnsi="Arial" w:cs="Arial"/>
          <w:shd w:val="clear" w:color="auto" w:fill="FFFFFF"/>
        </w:rPr>
        <w:t>In</w:t>
      </w:r>
      <w:r w:rsidR="00E53A06" w:rsidRPr="00D86D2F">
        <w:rPr>
          <w:rFonts w:ascii="Arial" w:hAnsi="Arial" w:cs="Arial"/>
          <w:shd w:val="clear" w:color="auto" w:fill="FFFFFF"/>
        </w:rPr>
        <w:t xml:space="preserve"> the Health Service, the term customer must be clearly defined and should not be interchangeable with consumer. Organizations have customer/supplier </w:t>
      </w:r>
      <w:r w:rsidR="00585A4A" w:rsidRPr="00D86D2F">
        <w:rPr>
          <w:rFonts w:ascii="Arial" w:hAnsi="Arial" w:cs="Arial"/>
          <w:shd w:val="clear" w:color="auto" w:fill="FFFFFF"/>
        </w:rPr>
        <w:t>chains and</w:t>
      </w:r>
      <w:r w:rsidR="00E53A06" w:rsidRPr="00D86D2F">
        <w:rPr>
          <w:rFonts w:ascii="Arial" w:hAnsi="Arial" w:cs="Arial"/>
          <w:shd w:val="clear" w:color="auto" w:fill="FFFFFF"/>
        </w:rPr>
        <w:t xml:space="preserve"> </w:t>
      </w:r>
      <w:r w:rsidR="00E53A06" w:rsidRPr="00D86D2F">
        <w:rPr>
          <w:rFonts w:ascii="Arial" w:hAnsi="Arial" w:cs="Arial"/>
          <w:shd w:val="clear" w:color="auto" w:fill="FFFFFF"/>
        </w:rPr>
        <w:t>analysing</w:t>
      </w:r>
      <w:r w:rsidR="00E53A06" w:rsidRPr="00D86D2F">
        <w:rPr>
          <w:rFonts w:ascii="Arial" w:hAnsi="Arial" w:cs="Arial"/>
          <w:shd w:val="clear" w:color="auto" w:fill="FFFFFF"/>
        </w:rPr>
        <w:t xml:space="preserve"> these chains can be a useful tool for assessing whether their services are effective. NHS employees are more responsible for meeting the needs and expectations of external customers due to the complexity of NHS business and the lack of choice they have</w:t>
      </w:r>
      <w:r w:rsidR="00E53A06" w:rsidRPr="00D86D2F">
        <w:rPr>
          <w:rFonts w:ascii="Arial" w:hAnsi="Arial" w:cs="Arial"/>
          <w:shd w:val="clear" w:color="auto" w:fill="FFFFFF"/>
        </w:rPr>
        <w:t xml:space="preserve"> (Sage,1991).</w:t>
      </w:r>
      <w:r w:rsidR="00585A4A" w:rsidRPr="00D86D2F">
        <w:rPr>
          <w:rFonts w:ascii="Arial" w:hAnsi="Arial" w:cs="Arial"/>
          <w:sz w:val="20"/>
          <w:szCs w:val="20"/>
        </w:rPr>
        <w:t xml:space="preserve"> </w:t>
      </w:r>
      <w:r w:rsidR="00585A4A" w:rsidRPr="00D86D2F">
        <w:rPr>
          <w:rFonts w:ascii="Arial" w:hAnsi="Arial" w:cs="Arial"/>
          <w:shd w:val="clear" w:color="auto" w:fill="FFFFFF"/>
        </w:rPr>
        <w:t xml:space="preserve">NHS Digital uses Microsoft Dynamics 365 customer relationship management (CRM) to support and respond to customers. In order for service delivery to continue to be exceptional, it is imperative that customers' needs are understood and met. Customer account management provides </w:t>
      </w:r>
      <w:r w:rsidR="00D86D2F" w:rsidRPr="00D86D2F">
        <w:rPr>
          <w:rFonts w:ascii="Arial" w:hAnsi="Arial" w:cs="Arial"/>
          <w:shd w:val="clear" w:color="auto" w:fill="FFFFFF"/>
        </w:rPr>
        <w:t>a crucial point</w:t>
      </w:r>
      <w:r w:rsidR="00585A4A" w:rsidRPr="00D86D2F">
        <w:rPr>
          <w:rFonts w:ascii="Arial" w:hAnsi="Arial" w:cs="Arial"/>
          <w:shd w:val="clear" w:color="auto" w:fill="FFFFFF"/>
        </w:rPr>
        <w:t xml:space="preserve"> of contact for digital service provision. Establishing service expectations and defining transparency through customized Service Level Agreement (SLA). Respond to customer support inquiries and feedback in a timely and effective manner as an escalation point. Assess areas for continuous improvement with customer contacts, including clinical and service representatives, and align service priorities accordingly.</w:t>
      </w:r>
    </w:p>
    <w:p w14:paraId="0F1D7BA2" w14:textId="79359B88" w:rsidR="00465BD5" w:rsidRPr="00D86D2F" w:rsidRDefault="00465BD5" w:rsidP="00927D2A">
      <w:pPr>
        <w:pStyle w:val="Heading2"/>
        <w:jc w:val="both"/>
        <w:rPr>
          <w:rFonts w:ascii="Arial" w:hAnsi="Arial" w:cs="Arial"/>
          <w:color w:val="5B9BD5" w:themeColor="accent1"/>
          <w:sz w:val="28"/>
          <w:szCs w:val="28"/>
        </w:rPr>
      </w:pPr>
    </w:p>
    <w:p w14:paraId="189C976F" w14:textId="4A6A4DDF" w:rsidR="00585A4A" w:rsidRPr="00D86D2F" w:rsidRDefault="00585A4A" w:rsidP="00585A4A">
      <w:pPr>
        <w:rPr>
          <w:rFonts w:ascii="Arial" w:hAnsi="Arial" w:cs="Arial"/>
        </w:rPr>
      </w:pPr>
    </w:p>
    <w:p w14:paraId="1500E65B" w14:textId="77777777" w:rsidR="00585A4A" w:rsidRPr="00D86D2F" w:rsidRDefault="00585A4A" w:rsidP="00585A4A">
      <w:pPr>
        <w:rPr>
          <w:rFonts w:ascii="Arial" w:hAnsi="Arial" w:cs="Arial"/>
        </w:rPr>
      </w:pPr>
    </w:p>
    <w:p w14:paraId="3696A002" w14:textId="02338FBA" w:rsidR="00927D2A" w:rsidRPr="00D86D2F" w:rsidRDefault="00927D2A" w:rsidP="00927D2A">
      <w:pPr>
        <w:pStyle w:val="Heading2"/>
        <w:jc w:val="both"/>
        <w:rPr>
          <w:rFonts w:ascii="Arial" w:hAnsi="Arial" w:cs="Arial"/>
          <w:color w:val="5B9BD5" w:themeColor="accent1"/>
          <w:sz w:val="28"/>
          <w:szCs w:val="28"/>
        </w:rPr>
      </w:pPr>
      <w:bookmarkStart w:id="13" w:name="_Toc121050367"/>
      <w:r w:rsidRPr="00D86D2F">
        <w:rPr>
          <w:rFonts w:ascii="Arial" w:hAnsi="Arial" w:cs="Arial"/>
          <w:color w:val="5B9BD5" w:themeColor="accent1"/>
          <w:sz w:val="28"/>
          <w:szCs w:val="28"/>
        </w:rPr>
        <w:lastRenderedPageBreak/>
        <w:t>Quality Process (Systems and Control)</w:t>
      </w:r>
      <w:bookmarkEnd w:id="10"/>
      <w:bookmarkEnd w:id="13"/>
    </w:p>
    <w:p w14:paraId="661F805F" w14:textId="77777777" w:rsidR="00BD1966" w:rsidRPr="00D86D2F" w:rsidRDefault="00BD1966" w:rsidP="00BD1966">
      <w:pPr>
        <w:rPr>
          <w:rFonts w:ascii="Arial" w:hAnsi="Arial" w:cs="Arial"/>
        </w:rPr>
      </w:pPr>
    </w:p>
    <w:p w14:paraId="6A5777CD" w14:textId="77777777" w:rsidR="00C67893" w:rsidRPr="00D86D2F" w:rsidRDefault="00C67893" w:rsidP="00C67893">
      <w:pPr>
        <w:rPr>
          <w:rFonts w:ascii="Arial" w:hAnsi="Arial" w:cs="Arial"/>
        </w:rPr>
      </w:pPr>
    </w:p>
    <w:p w14:paraId="4B85466A" w14:textId="77777777" w:rsidR="00927D2A" w:rsidRPr="00D86D2F" w:rsidRDefault="00927D2A" w:rsidP="00927D2A">
      <w:pPr>
        <w:jc w:val="both"/>
        <w:rPr>
          <w:rFonts w:ascii="Arial" w:hAnsi="Arial" w:cs="Arial"/>
          <w:szCs w:val="24"/>
        </w:rPr>
      </w:pPr>
      <w:r w:rsidRPr="00D86D2F">
        <w:rPr>
          <w:rFonts w:ascii="Arial" w:hAnsi="Arial" w:cs="Arial"/>
          <w:noProof/>
          <w:szCs w:val="24"/>
        </w:rPr>
        <w:drawing>
          <wp:inline distT="0" distB="0" distL="0" distR="0" wp14:anchorId="44A46C0D" wp14:editId="72D1F5FA">
            <wp:extent cx="5943600" cy="1014095"/>
            <wp:effectExtent l="0" t="0" r="0" b="0"/>
            <wp:docPr id="3" name="Picture 3"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application&#10;&#10;Description automatically generated"/>
                    <pic:cNvPicPr/>
                  </pic:nvPicPr>
                  <pic:blipFill>
                    <a:blip r:embed="rId14"/>
                    <a:stretch>
                      <a:fillRect/>
                    </a:stretch>
                  </pic:blipFill>
                  <pic:spPr>
                    <a:xfrm>
                      <a:off x="0" y="0"/>
                      <a:ext cx="5943600" cy="1014095"/>
                    </a:xfrm>
                    <a:prstGeom prst="rect">
                      <a:avLst/>
                    </a:prstGeom>
                  </pic:spPr>
                </pic:pic>
              </a:graphicData>
            </a:graphic>
          </wp:inline>
        </w:drawing>
      </w:r>
    </w:p>
    <w:p w14:paraId="52EB3A9B" w14:textId="77777777" w:rsidR="00927D2A" w:rsidRPr="00D86D2F" w:rsidRDefault="00927D2A" w:rsidP="00927D2A">
      <w:pPr>
        <w:jc w:val="both"/>
        <w:rPr>
          <w:rFonts w:ascii="Arial" w:hAnsi="Arial" w:cs="Arial"/>
          <w:szCs w:val="24"/>
        </w:rPr>
      </w:pPr>
    </w:p>
    <w:p w14:paraId="25342DF1" w14:textId="77777777" w:rsidR="00927D2A" w:rsidRPr="00D86D2F" w:rsidRDefault="00927D2A" w:rsidP="00BD1966">
      <w:pPr>
        <w:pStyle w:val="ListParagraph"/>
        <w:numPr>
          <w:ilvl w:val="0"/>
          <w:numId w:val="28"/>
        </w:numPr>
        <w:spacing w:after="0" w:line="240" w:lineRule="auto"/>
        <w:ind w:hanging="720"/>
        <w:jc w:val="both"/>
        <w:rPr>
          <w:rFonts w:ascii="Arial" w:hAnsi="Arial" w:cs="Arial"/>
          <w:b/>
          <w:bCs/>
          <w:szCs w:val="24"/>
        </w:rPr>
      </w:pPr>
      <w:r w:rsidRPr="00D86D2F">
        <w:rPr>
          <w:rFonts w:ascii="Arial" w:hAnsi="Arial" w:cs="Arial"/>
          <w:b/>
          <w:bCs/>
          <w:szCs w:val="24"/>
        </w:rPr>
        <w:t xml:space="preserve">Bring Clarity to Quality – </w:t>
      </w:r>
      <w:r w:rsidRPr="00D86D2F">
        <w:rPr>
          <w:rFonts w:ascii="Arial" w:hAnsi="Arial" w:cs="Arial"/>
          <w:szCs w:val="24"/>
        </w:rPr>
        <w:t>For the assessment of the quality of patient care, it is primarily important to first clarify the standards indicating high-quality care. The NICE (National Institute for Health and Care Excellence) has been commissioned by the NHS Commissioning Board for producing the NICE Quality Standards.</w:t>
      </w:r>
    </w:p>
    <w:p w14:paraId="5DD34406" w14:textId="77777777" w:rsidR="00927D2A" w:rsidRPr="00D86D2F" w:rsidRDefault="00927D2A" w:rsidP="00BD1966">
      <w:pPr>
        <w:pStyle w:val="ListParagraph"/>
        <w:spacing w:line="240" w:lineRule="auto"/>
        <w:jc w:val="both"/>
        <w:rPr>
          <w:rFonts w:ascii="Arial" w:hAnsi="Arial" w:cs="Arial"/>
          <w:b/>
          <w:bCs/>
          <w:szCs w:val="24"/>
        </w:rPr>
      </w:pPr>
    </w:p>
    <w:p w14:paraId="0CE59358" w14:textId="2E002FFD" w:rsidR="00927D2A" w:rsidRPr="00D86D2F" w:rsidRDefault="00927D2A" w:rsidP="00BD1966">
      <w:pPr>
        <w:pStyle w:val="ListParagraph"/>
        <w:numPr>
          <w:ilvl w:val="0"/>
          <w:numId w:val="28"/>
        </w:numPr>
        <w:spacing w:after="0" w:line="240" w:lineRule="auto"/>
        <w:ind w:hanging="720"/>
        <w:jc w:val="both"/>
        <w:rPr>
          <w:rFonts w:ascii="Arial" w:hAnsi="Arial" w:cs="Arial"/>
          <w:b/>
          <w:bCs/>
          <w:szCs w:val="24"/>
        </w:rPr>
      </w:pPr>
      <w:r w:rsidRPr="00D86D2F">
        <w:rPr>
          <w:rFonts w:ascii="Arial" w:hAnsi="Arial" w:cs="Arial"/>
          <w:b/>
          <w:bCs/>
          <w:szCs w:val="24"/>
        </w:rPr>
        <w:t xml:space="preserve">Measure Quality – </w:t>
      </w:r>
      <w:r w:rsidRPr="00D86D2F">
        <w:rPr>
          <w:rFonts w:ascii="Arial" w:hAnsi="Arial" w:cs="Arial"/>
          <w:szCs w:val="24"/>
        </w:rPr>
        <w:t xml:space="preserve">Improvement of the quality of the system will be only possible upon ascertaining measurement. In the context of quality care, there must be relevant, </w:t>
      </w:r>
      <w:r w:rsidR="00C67893" w:rsidRPr="00D86D2F">
        <w:rPr>
          <w:rFonts w:ascii="Arial" w:hAnsi="Arial" w:cs="Arial"/>
          <w:szCs w:val="24"/>
        </w:rPr>
        <w:t>robust,</w:t>
      </w:r>
      <w:r w:rsidRPr="00D86D2F">
        <w:rPr>
          <w:rFonts w:ascii="Arial" w:hAnsi="Arial" w:cs="Arial"/>
          <w:szCs w:val="24"/>
        </w:rPr>
        <w:t xml:space="preserve"> and timely information that should be available transparently at every level of the system (</w:t>
      </w:r>
      <w:r w:rsidRPr="00D86D2F">
        <w:rPr>
          <w:rFonts w:ascii="Arial" w:hAnsi="Arial" w:cs="Arial"/>
          <w:color w:val="222222"/>
          <w:szCs w:val="24"/>
          <w:shd w:val="clear" w:color="auto" w:fill="FFFFFF"/>
        </w:rPr>
        <w:t>Friebel et al., 2018)</w:t>
      </w:r>
      <w:r w:rsidRPr="00D86D2F">
        <w:rPr>
          <w:rFonts w:ascii="Arial" w:hAnsi="Arial" w:cs="Arial"/>
          <w:szCs w:val="24"/>
        </w:rPr>
        <w:t>. Such information is effective and essential for driving quality enhancement at the front line to support patient choice.</w:t>
      </w:r>
    </w:p>
    <w:p w14:paraId="5E523F6E" w14:textId="77777777" w:rsidR="00927D2A" w:rsidRPr="00D86D2F" w:rsidRDefault="00927D2A" w:rsidP="00BD1966">
      <w:pPr>
        <w:spacing w:line="240" w:lineRule="auto"/>
        <w:jc w:val="both"/>
        <w:rPr>
          <w:rFonts w:ascii="Arial" w:hAnsi="Arial" w:cs="Arial"/>
          <w:b/>
          <w:bCs/>
          <w:szCs w:val="24"/>
        </w:rPr>
      </w:pPr>
    </w:p>
    <w:p w14:paraId="14583C1A" w14:textId="77777777" w:rsidR="00927D2A" w:rsidRPr="00D86D2F" w:rsidRDefault="00927D2A" w:rsidP="00BD1966">
      <w:pPr>
        <w:pStyle w:val="ListParagraph"/>
        <w:numPr>
          <w:ilvl w:val="0"/>
          <w:numId w:val="28"/>
        </w:numPr>
        <w:spacing w:after="0" w:line="240" w:lineRule="auto"/>
        <w:ind w:hanging="720"/>
        <w:jc w:val="both"/>
        <w:rPr>
          <w:rFonts w:ascii="Arial" w:hAnsi="Arial" w:cs="Arial"/>
          <w:b/>
          <w:bCs/>
          <w:szCs w:val="24"/>
        </w:rPr>
      </w:pPr>
      <w:r w:rsidRPr="00D86D2F">
        <w:rPr>
          <w:rFonts w:ascii="Arial" w:hAnsi="Arial" w:cs="Arial"/>
          <w:b/>
          <w:bCs/>
          <w:szCs w:val="24"/>
        </w:rPr>
        <w:t xml:space="preserve">Publish Quality – </w:t>
      </w:r>
      <w:r w:rsidRPr="00D86D2F">
        <w:rPr>
          <w:rFonts w:ascii="Arial" w:hAnsi="Arial" w:cs="Arial"/>
          <w:szCs w:val="24"/>
        </w:rPr>
        <w:t>The national quality goals are published by the NHS Outcomes Framework to deliver and will further be used to hold the NHS Commissioning Board accountable by the Secretary of State through the Mandate.</w:t>
      </w:r>
    </w:p>
    <w:p w14:paraId="18065C75" w14:textId="77777777" w:rsidR="00927D2A" w:rsidRPr="00D86D2F" w:rsidRDefault="00927D2A" w:rsidP="00BD1966">
      <w:pPr>
        <w:spacing w:line="240" w:lineRule="auto"/>
        <w:jc w:val="both"/>
        <w:rPr>
          <w:rFonts w:ascii="Arial" w:hAnsi="Arial" w:cs="Arial"/>
          <w:b/>
          <w:bCs/>
          <w:szCs w:val="24"/>
        </w:rPr>
      </w:pPr>
    </w:p>
    <w:p w14:paraId="4715B205" w14:textId="77777777" w:rsidR="00927D2A" w:rsidRPr="00D86D2F" w:rsidRDefault="00927D2A" w:rsidP="00BD1966">
      <w:pPr>
        <w:pStyle w:val="ListParagraph"/>
        <w:numPr>
          <w:ilvl w:val="0"/>
          <w:numId w:val="28"/>
        </w:numPr>
        <w:spacing w:after="0" w:line="240" w:lineRule="auto"/>
        <w:ind w:hanging="720"/>
        <w:jc w:val="both"/>
        <w:rPr>
          <w:rFonts w:ascii="Arial" w:hAnsi="Arial" w:cs="Arial"/>
          <w:b/>
          <w:bCs/>
          <w:szCs w:val="24"/>
        </w:rPr>
      </w:pPr>
      <w:r w:rsidRPr="00D86D2F">
        <w:rPr>
          <w:rFonts w:ascii="Arial" w:hAnsi="Arial" w:cs="Arial"/>
          <w:b/>
          <w:bCs/>
          <w:szCs w:val="24"/>
        </w:rPr>
        <w:t xml:space="preserve">Reward Quality – </w:t>
      </w:r>
      <w:r w:rsidRPr="00D86D2F">
        <w:rPr>
          <w:rFonts w:ascii="Arial" w:hAnsi="Arial" w:cs="Arial"/>
          <w:szCs w:val="24"/>
        </w:rPr>
        <w:t xml:space="preserve">For encouraging quality improvement, payments and incentives must be structured. Standard contracts, the Quality and Outcomes Framework and CQUINs should be established for incentivizing providers by the NHS Commissioning Board. </w:t>
      </w:r>
    </w:p>
    <w:p w14:paraId="265B4887" w14:textId="77777777" w:rsidR="00927D2A" w:rsidRPr="00D86D2F" w:rsidRDefault="00927D2A" w:rsidP="00BD1966">
      <w:pPr>
        <w:spacing w:line="240" w:lineRule="auto"/>
        <w:jc w:val="both"/>
        <w:rPr>
          <w:rFonts w:ascii="Arial" w:hAnsi="Arial" w:cs="Arial"/>
          <w:b/>
          <w:bCs/>
          <w:szCs w:val="24"/>
        </w:rPr>
      </w:pPr>
    </w:p>
    <w:p w14:paraId="16FA2D4D" w14:textId="0ED55E1B" w:rsidR="00927D2A" w:rsidRPr="00D86D2F" w:rsidRDefault="00927D2A" w:rsidP="00BD1966">
      <w:pPr>
        <w:pStyle w:val="ListParagraph"/>
        <w:numPr>
          <w:ilvl w:val="0"/>
          <w:numId w:val="28"/>
        </w:numPr>
        <w:spacing w:after="0" w:line="240" w:lineRule="auto"/>
        <w:ind w:hanging="720"/>
        <w:jc w:val="both"/>
        <w:rPr>
          <w:rFonts w:ascii="Arial" w:hAnsi="Arial" w:cs="Arial"/>
          <w:b/>
          <w:bCs/>
          <w:szCs w:val="24"/>
        </w:rPr>
      </w:pPr>
      <w:r w:rsidRPr="00D86D2F">
        <w:rPr>
          <w:rFonts w:ascii="Arial" w:hAnsi="Arial" w:cs="Arial"/>
          <w:b/>
          <w:bCs/>
          <w:szCs w:val="24"/>
        </w:rPr>
        <w:t xml:space="preserve">Leadership for Quality – </w:t>
      </w:r>
      <w:r w:rsidRPr="00D86D2F">
        <w:rPr>
          <w:rFonts w:ascii="Arial" w:hAnsi="Arial" w:cs="Arial"/>
          <w:szCs w:val="24"/>
        </w:rPr>
        <w:t xml:space="preserve">Different parts of the system should be brought together by The National Quality Board to ensure the nationwide provision of leadership for quality to ensure how well healthcare responsibilities have been </w:t>
      </w:r>
      <w:r w:rsidR="00D86D2F" w:rsidRPr="00D86D2F">
        <w:rPr>
          <w:rFonts w:ascii="Arial" w:hAnsi="Arial" w:cs="Arial"/>
          <w:szCs w:val="24"/>
        </w:rPr>
        <w:t>conducted</w:t>
      </w:r>
      <w:r w:rsidRPr="00D86D2F">
        <w:rPr>
          <w:rFonts w:ascii="Arial" w:hAnsi="Arial" w:cs="Arial"/>
          <w:szCs w:val="24"/>
        </w:rPr>
        <w:t xml:space="preserve"> by different organisations. Clinical Networks and Clinical Senates will offer leadership regionally and locally for ensuring a quality enhancement to the healthcare professionals and commissioners (</w:t>
      </w:r>
      <w:r w:rsidRPr="00D86D2F">
        <w:rPr>
          <w:rFonts w:ascii="Arial" w:hAnsi="Arial" w:cs="Arial"/>
          <w:color w:val="222222"/>
          <w:szCs w:val="24"/>
          <w:shd w:val="clear" w:color="auto" w:fill="FFFFFF"/>
        </w:rPr>
        <w:t>Waring &amp; Martin, 2018)</w:t>
      </w:r>
      <w:r w:rsidRPr="00D86D2F">
        <w:rPr>
          <w:rFonts w:ascii="Arial" w:hAnsi="Arial" w:cs="Arial"/>
          <w:szCs w:val="24"/>
        </w:rPr>
        <w:t>.</w:t>
      </w:r>
    </w:p>
    <w:p w14:paraId="16A896AD" w14:textId="77777777" w:rsidR="00927D2A" w:rsidRPr="00D86D2F" w:rsidRDefault="00927D2A" w:rsidP="00BD1966">
      <w:pPr>
        <w:spacing w:line="240" w:lineRule="auto"/>
        <w:jc w:val="both"/>
        <w:rPr>
          <w:rFonts w:ascii="Arial" w:hAnsi="Arial" w:cs="Arial"/>
          <w:b/>
          <w:bCs/>
          <w:szCs w:val="24"/>
        </w:rPr>
      </w:pPr>
    </w:p>
    <w:p w14:paraId="5CA92B0F" w14:textId="77777777" w:rsidR="00927D2A" w:rsidRPr="00D86D2F" w:rsidRDefault="00927D2A" w:rsidP="00BD1966">
      <w:pPr>
        <w:pStyle w:val="ListParagraph"/>
        <w:numPr>
          <w:ilvl w:val="0"/>
          <w:numId w:val="28"/>
        </w:numPr>
        <w:spacing w:after="0" w:line="240" w:lineRule="auto"/>
        <w:ind w:hanging="720"/>
        <w:jc w:val="both"/>
        <w:rPr>
          <w:rFonts w:ascii="Arial" w:hAnsi="Arial" w:cs="Arial"/>
          <w:b/>
          <w:bCs/>
          <w:szCs w:val="24"/>
        </w:rPr>
      </w:pPr>
      <w:r w:rsidRPr="00D86D2F">
        <w:rPr>
          <w:rFonts w:ascii="Arial" w:hAnsi="Arial" w:cs="Arial"/>
          <w:b/>
          <w:bCs/>
          <w:szCs w:val="24"/>
        </w:rPr>
        <w:t xml:space="preserve">Innovate for Quality – </w:t>
      </w:r>
      <w:r w:rsidRPr="00D86D2F">
        <w:rPr>
          <w:rFonts w:ascii="Arial" w:hAnsi="Arial" w:cs="Arial"/>
          <w:szCs w:val="24"/>
        </w:rPr>
        <w:t xml:space="preserve">For ensuring constant and uninterrupted improvement in the quality enhancement in the healthcare sector, NHS is required for implementing innovative approaches for delivering healthcare across the system comprehensively. </w:t>
      </w:r>
    </w:p>
    <w:p w14:paraId="60E5D1D6" w14:textId="77777777" w:rsidR="00927D2A" w:rsidRPr="00D86D2F" w:rsidRDefault="00927D2A" w:rsidP="00BD1966">
      <w:pPr>
        <w:spacing w:line="240" w:lineRule="auto"/>
        <w:jc w:val="both"/>
        <w:rPr>
          <w:rFonts w:ascii="Arial" w:hAnsi="Arial" w:cs="Arial"/>
          <w:b/>
          <w:bCs/>
          <w:szCs w:val="24"/>
        </w:rPr>
      </w:pPr>
    </w:p>
    <w:p w14:paraId="5841EDB1" w14:textId="1C3B9730" w:rsidR="00927D2A" w:rsidRPr="00D86D2F" w:rsidRDefault="00927D2A" w:rsidP="00927D2A">
      <w:pPr>
        <w:pStyle w:val="ListParagraph"/>
        <w:numPr>
          <w:ilvl w:val="0"/>
          <w:numId w:val="28"/>
        </w:numPr>
        <w:spacing w:after="0" w:line="240" w:lineRule="auto"/>
        <w:ind w:hanging="720"/>
        <w:jc w:val="both"/>
        <w:rPr>
          <w:rFonts w:ascii="Arial" w:hAnsi="Arial" w:cs="Arial"/>
          <w:b/>
          <w:bCs/>
          <w:szCs w:val="24"/>
        </w:rPr>
      </w:pPr>
      <w:r w:rsidRPr="00D86D2F">
        <w:rPr>
          <w:rFonts w:ascii="Arial" w:hAnsi="Arial" w:cs="Arial"/>
          <w:b/>
          <w:bCs/>
          <w:szCs w:val="24"/>
        </w:rPr>
        <w:t xml:space="preserve">Safeguard Quality – </w:t>
      </w:r>
      <w:r w:rsidRPr="00D86D2F">
        <w:rPr>
          <w:rFonts w:ascii="Arial" w:hAnsi="Arial" w:cs="Arial"/>
          <w:szCs w:val="24"/>
        </w:rPr>
        <w:t>Systems and control within the quality process must ensure the maintenance of the essential standards of quality and safety (</w:t>
      </w:r>
      <w:r w:rsidRPr="00D86D2F">
        <w:rPr>
          <w:rFonts w:ascii="Arial" w:hAnsi="Arial" w:cs="Arial"/>
          <w:color w:val="222222"/>
          <w:szCs w:val="24"/>
          <w:shd w:val="clear" w:color="auto" w:fill="FFFFFF"/>
        </w:rPr>
        <w:t>O'Sullivan et al., 2020)</w:t>
      </w:r>
      <w:r w:rsidRPr="00D86D2F">
        <w:rPr>
          <w:rFonts w:ascii="Arial" w:hAnsi="Arial" w:cs="Arial"/>
          <w:szCs w:val="24"/>
        </w:rPr>
        <w:t>. Clear standards of conduct and competence must be updated, while the healthcare system must meet its distinct responsibilities within the collaborative culture.</w:t>
      </w:r>
    </w:p>
    <w:p w14:paraId="74487A56" w14:textId="33A33926" w:rsidR="00927D2A" w:rsidRPr="00D86D2F" w:rsidRDefault="00927D2A" w:rsidP="00927D2A">
      <w:pPr>
        <w:pStyle w:val="Heading1"/>
        <w:jc w:val="both"/>
        <w:rPr>
          <w:rFonts w:ascii="Arial" w:hAnsi="Arial" w:cs="Arial"/>
          <w:color w:val="5B9BD5" w:themeColor="accent1"/>
          <w:sz w:val="28"/>
          <w:szCs w:val="22"/>
        </w:rPr>
      </w:pPr>
      <w:bookmarkStart w:id="14" w:name="_Toc120825235"/>
      <w:bookmarkStart w:id="15" w:name="_Toc121050368"/>
      <w:r w:rsidRPr="00D86D2F">
        <w:rPr>
          <w:rFonts w:ascii="Arial" w:hAnsi="Arial" w:cs="Arial"/>
          <w:color w:val="5B9BD5" w:themeColor="accent1"/>
          <w:sz w:val="28"/>
          <w:szCs w:val="22"/>
        </w:rPr>
        <w:lastRenderedPageBreak/>
        <w:t>Governance, Patient Safety and Quality</w:t>
      </w:r>
      <w:bookmarkEnd w:id="14"/>
      <w:bookmarkEnd w:id="15"/>
    </w:p>
    <w:p w14:paraId="125F68CF" w14:textId="77777777" w:rsidR="00927D2A" w:rsidRPr="00D86D2F" w:rsidRDefault="00927D2A" w:rsidP="00927D2A">
      <w:pPr>
        <w:jc w:val="both"/>
        <w:rPr>
          <w:rFonts w:ascii="Arial" w:hAnsi="Arial" w:cs="Arial"/>
        </w:rPr>
      </w:pPr>
    </w:p>
    <w:p w14:paraId="1B8A29AF" w14:textId="4187D0BB"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Governance within the healthcare sector is determined as clinical governance. It is further concerned with the system through which the NHS organisations have remained accountable for constantly enhancing service quality. Safeguarding high standards of care is ensured by establishing an environment where excellence associated with clinical care will establish (Aquilia et al., 2020). Governance further undertakes to monitor processes and systems to ensure assurance of patient safety and quality care throughout the healthcare organization. </w:t>
      </w:r>
    </w:p>
    <w:p w14:paraId="1E6DDC8B" w14:textId="77777777" w:rsidR="00927D2A" w:rsidRPr="00D86D2F" w:rsidRDefault="00927D2A" w:rsidP="00927D2A">
      <w:pPr>
        <w:jc w:val="both"/>
        <w:rPr>
          <w:rFonts w:ascii="Arial" w:hAnsi="Arial" w:cs="Arial"/>
          <w:szCs w:val="24"/>
        </w:rPr>
      </w:pPr>
    </w:p>
    <w:p w14:paraId="77B27C49" w14:textId="77777777" w:rsidR="00927D2A" w:rsidRPr="00D86D2F" w:rsidRDefault="00927D2A" w:rsidP="00927D2A">
      <w:pPr>
        <w:pStyle w:val="Heading2"/>
        <w:jc w:val="both"/>
        <w:rPr>
          <w:rFonts w:ascii="Arial" w:hAnsi="Arial" w:cs="Arial"/>
          <w:color w:val="5B9BD5" w:themeColor="accent1"/>
          <w:sz w:val="28"/>
          <w:szCs w:val="28"/>
        </w:rPr>
      </w:pPr>
      <w:bookmarkStart w:id="16" w:name="_Toc120825236"/>
      <w:bookmarkStart w:id="17" w:name="_Toc121050369"/>
      <w:r w:rsidRPr="00D86D2F">
        <w:rPr>
          <w:rFonts w:ascii="Arial" w:hAnsi="Arial" w:cs="Arial"/>
          <w:color w:val="5B9BD5" w:themeColor="accent1"/>
          <w:sz w:val="28"/>
          <w:szCs w:val="28"/>
        </w:rPr>
        <w:t>Audit and Monitoring</w:t>
      </w:r>
      <w:bookmarkEnd w:id="16"/>
      <w:bookmarkEnd w:id="17"/>
    </w:p>
    <w:p w14:paraId="6B6E0580" w14:textId="77777777" w:rsidR="00927D2A" w:rsidRPr="00D86D2F" w:rsidRDefault="00927D2A" w:rsidP="00927D2A">
      <w:pPr>
        <w:jc w:val="both"/>
        <w:rPr>
          <w:rFonts w:ascii="Arial" w:hAnsi="Arial" w:cs="Arial"/>
          <w:szCs w:val="24"/>
        </w:rPr>
      </w:pPr>
    </w:p>
    <w:p w14:paraId="1556FAC7" w14:textId="270F14DE"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This involves the assurance of the healthcare service providers towards the management and supervision of wards, </w:t>
      </w:r>
      <w:r w:rsidR="00C67893" w:rsidRPr="00D86D2F">
        <w:rPr>
          <w:rFonts w:ascii="Arial" w:hAnsi="Arial" w:cs="Arial"/>
          <w:szCs w:val="24"/>
        </w:rPr>
        <w:t>services,</w:t>
      </w:r>
      <w:r w:rsidRPr="00D86D2F">
        <w:rPr>
          <w:rFonts w:ascii="Arial" w:hAnsi="Arial" w:cs="Arial"/>
          <w:szCs w:val="24"/>
        </w:rPr>
        <w:t xml:space="preserve"> and departments for delivering safe and optimum care. NHS has ensured that the environment in which the healthcare services are offered is under constant audit and monitoring for ensuring the satisfactory experience of the internal and external customers (</w:t>
      </w:r>
      <w:r w:rsidRPr="00D86D2F">
        <w:rPr>
          <w:rFonts w:ascii="Arial" w:hAnsi="Arial" w:cs="Arial"/>
          <w:color w:val="222222"/>
          <w:szCs w:val="24"/>
          <w:shd w:val="clear" w:color="auto" w:fill="FFFFFF"/>
        </w:rPr>
        <w:t>McSherry et al., 2018)</w:t>
      </w:r>
      <w:r w:rsidRPr="00D86D2F">
        <w:rPr>
          <w:rFonts w:ascii="Arial" w:hAnsi="Arial" w:cs="Arial"/>
          <w:szCs w:val="24"/>
        </w:rPr>
        <w:t xml:space="preserve">. The audit includes quality enhancement, ward environment, assurance, patient experience, prevention and control of infection including other metrics. Healthcare service providers offer factual feedback and share incidental learning experiences while developing, </w:t>
      </w:r>
      <w:r w:rsidR="00D72FA4" w:rsidRPr="00D86D2F">
        <w:rPr>
          <w:rFonts w:ascii="Arial" w:hAnsi="Arial" w:cs="Arial"/>
          <w:szCs w:val="24"/>
        </w:rPr>
        <w:t>maintaining,</w:t>
      </w:r>
      <w:r w:rsidRPr="00D86D2F">
        <w:rPr>
          <w:rFonts w:ascii="Arial" w:hAnsi="Arial" w:cs="Arial"/>
          <w:szCs w:val="24"/>
        </w:rPr>
        <w:t xml:space="preserve"> and monitoring action plans under investigation. A guide has recently been published for the healthcare units and wards by the NHS Improvement to ensure the local adoption of the accreditation tools for local incorporation and adoption. </w:t>
      </w:r>
    </w:p>
    <w:p w14:paraId="44DF5A51" w14:textId="77777777" w:rsidR="00927D2A" w:rsidRPr="00D86D2F" w:rsidRDefault="00927D2A" w:rsidP="00927D2A">
      <w:pPr>
        <w:jc w:val="both"/>
        <w:rPr>
          <w:rFonts w:ascii="Arial" w:hAnsi="Arial" w:cs="Arial"/>
          <w:szCs w:val="24"/>
        </w:rPr>
      </w:pPr>
    </w:p>
    <w:p w14:paraId="4798ADD7" w14:textId="77777777" w:rsidR="00927D2A" w:rsidRPr="00D86D2F" w:rsidRDefault="00927D2A" w:rsidP="00927D2A">
      <w:pPr>
        <w:pStyle w:val="Heading2"/>
        <w:jc w:val="both"/>
        <w:rPr>
          <w:rFonts w:ascii="Arial" w:hAnsi="Arial" w:cs="Arial"/>
          <w:color w:val="5B9BD5" w:themeColor="accent1"/>
          <w:sz w:val="28"/>
          <w:szCs w:val="28"/>
        </w:rPr>
      </w:pPr>
      <w:bookmarkStart w:id="18" w:name="_Toc120825237"/>
      <w:bookmarkStart w:id="19" w:name="_Toc121050370"/>
      <w:r w:rsidRPr="00D86D2F">
        <w:rPr>
          <w:rFonts w:ascii="Arial" w:hAnsi="Arial" w:cs="Arial"/>
          <w:color w:val="5B9BD5" w:themeColor="accent1"/>
          <w:sz w:val="28"/>
          <w:szCs w:val="28"/>
        </w:rPr>
        <w:t>Quality and Safety Performance</w:t>
      </w:r>
      <w:bookmarkEnd w:id="18"/>
      <w:bookmarkEnd w:id="19"/>
    </w:p>
    <w:p w14:paraId="6BA934E9" w14:textId="77777777" w:rsidR="00D86D2F" w:rsidRDefault="00D86D2F" w:rsidP="00BD1966">
      <w:pPr>
        <w:spacing w:line="360" w:lineRule="auto"/>
        <w:jc w:val="both"/>
        <w:rPr>
          <w:rFonts w:ascii="Arial" w:hAnsi="Arial" w:cs="Arial"/>
          <w:szCs w:val="24"/>
        </w:rPr>
      </w:pPr>
    </w:p>
    <w:p w14:paraId="4751F7D5" w14:textId="53833586"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Patient experience, clinical effectiveness and safety are the aspects included within the quality and is a </w:t>
      </w:r>
      <w:r w:rsidR="00D72FA4" w:rsidRPr="00D86D2F">
        <w:rPr>
          <w:rFonts w:ascii="Arial" w:hAnsi="Arial" w:cs="Arial"/>
          <w:szCs w:val="24"/>
        </w:rPr>
        <w:t>key indicator of operational performance</w:t>
      </w:r>
      <w:r w:rsidRPr="00D86D2F">
        <w:rPr>
          <w:rFonts w:ascii="Arial" w:hAnsi="Arial" w:cs="Arial"/>
          <w:szCs w:val="24"/>
        </w:rPr>
        <w:t>. The quality can be monitored by the healthcare providers based on the employment of a quality scorecard to focus on addressing improvement required within any of the areas by developing plans. Intervention outcomes should be monitored and addressed based on the CQC domain to the quality groups or committees. Performance improvement measures can be employed by the healthcare service providers at NHS for clear progression to assess the risk (</w:t>
      </w:r>
      <w:r w:rsidRPr="00D86D2F">
        <w:rPr>
          <w:rFonts w:ascii="Arial" w:hAnsi="Arial" w:cs="Arial"/>
          <w:color w:val="222222"/>
          <w:szCs w:val="24"/>
          <w:shd w:val="clear" w:color="auto" w:fill="FFFFFF"/>
        </w:rPr>
        <w:t>Fulop et al., 2020)</w:t>
      </w:r>
      <w:r w:rsidRPr="00D86D2F">
        <w:rPr>
          <w:rFonts w:ascii="Arial" w:hAnsi="Arial" w:cs="Arial"/>
          <w:szCs w:val="24"/>
        </w:rPr>
        <w:t xml:space="preserve">. Learning from risk, complaints and incidents must be reviewed by the process of escalating care provision. Local quality improvement (QI) </w:t>
      </w:r>
      <w:r w:rsidRPr="00D86D2F">
        <w:rPr>
          <w:rFonts w:ascii="Arial" w:hAnsi="Arial" w:cs="Arial"/>
          <w:szCs w:val="24"/>
        </w:rPr>
        <w:lastRenderedPageBreak/>
        <w:t>strategies must be employed by the healthcare service providers in reference to the QI section for driving local improvements.</w:t>
      </w:r>
    </w:p>
    <w:p w14:paraId="2E9D8158" w14:textId="77777777" w:rsidR="00927D2A" w:rsidRPr="00D86D2F" w:rsidRDefault="00927D2A" w:rsidP="00927D2A">
      <w:pPr>
        <w:jc w:val="both"/>
        <w:rPr>
          <w:rFonts w:ascii="Arial" w:hAnsi="Arial" w:cs="Arial"/>
          <w:szCs w:val="24"/>
        </w:rPr>
      </w:pPr>
    </w:p>
    <w:p w14:paraId="6B77D413" w14:textId="77777777" w:rsidR="00927D2A" w:rsidRPr="00D86D2F" w:rsidRDefault="00927D2A" w:rsidP="00927D2A">
      <w:pPr>
        <w:pStyle w:val="Heading2"/>
        <w:jc w:val="both"/>
        <w:rPr>
          <w:rFonts w:ascii="Arial" w:hAnsi="Arial" w:cs="Arial"/>
          <w:color w:val="5B9BD5" w:themeColor="accent1"/>
          <w:sz w:val="28"/>
          <w:szCs w:val="28"/>
        </w:rPr>
      </w:pPr>
      <w:bookmarkStart w:id="20" w:name="_Toc120825238"/>
      <w:bookmarkStart w:id="21" w:name="_Toc121050371"/>
      <w:r w:rsidRPr="00D86D2F">
        <w:rPr>
          <w:rFonts w:ascii="Arial" w:hAnsi="Arial" w:cs="Arial"/>
          <w:color w:val="5B9BD5" w:themeColor="accent1"/>
          <w:sz w:val="28"/>
          <w:szCs w:val="28"/>
        </w:rPr>
        <w:t>Patient Safety</w:t>
      </w:r>
      <w:bookmarkEnd w:id="20"/>
      <w:bookmarkEnd w:id="21"/>
    </w:p>
    <w:p w14:paraId="13934DFB" w14:textId="77777777" w:rsidR="00927D2A" w:rsidRPr="00D86D2F" w:rsidRDefault="00927D2A" w:rsidP="00927D2A">
      <w:pPr>
        <w:jc w:val="both"/>
        <w:rPr>
          <w:rFonts w:ascii="Arial" w:hAnsi="Arial" w:cs="Arial"/>
          <w:szCs w:val="24"/>
        </w:rPr>
      </w:pPr>
    </w:p>
    <w:p w14:paraId="6F0FC533" w14:textId="21637AA0" w:rsidR="00927D2A" w:rsidRPr="00D86D2F" w:rsidRDefault="00927D2A" w:rsidP="00BD1966">
      <w:pPr>
        <w:spacing w:line="360" w:lineRule="auto"/>
        <w:jc w:val="both"/>
        <w:rPr>
          <w:rFonts w:ascii="Arial" w:hAnsi="Arial" w:cs="Arial"/>
          <w:szCs w:val="24"/>
        </w:rPr>
      </w:pPr>
      <w:r w:rsidRPr="00D86D2F">
        <w:rPr>
          <w:rFonts w:ascii="Arial" w:hAnsi="Arial" w:cs="Arial"/>
          <w:szCs w:val="24"/>
        </w:rPr>
        <w:t>The safety of patients within healthcare is the foremost concern of every stakeholder while reducing the probability of making mistakes. Improving patient safety is concerned with minimizing mistakes and reducing the risk of dropping avoidable harm (</w:t>
      </w:r>
      <w:r w:rsidRPr="00D86D2F">
        <w:rPr>
          <w:rFonts w:ascii="Arial" w:hAnsi="Arial" w:cs="Arial"/>
          <w:color w:val="222222"/>
          <w:szCs w:val="24"/>
          <w:shd w:val="clear" w:color="auto" w:fill="FFFFFF"/>
        </w:rPr>
        <w:t>Domer et al., 2021)</w:t>
      </w:r>
      <w:r w:rsidRPr="00D86D2F">
        <w:rPr>
          <w:rFonts w:ascii="Arial" w:hAnsi="Arial" w:cs="Arial"/>
          <w:szCs w:val="24"/>
        </w:rPr>
        <w:t xml:space="preserve">. The national priority to ensure patient safety is to ensure a good understanding of the incident management system. This can be done by implementing the NHS patient safety strategy in response to the patient’s safety agenda. Patient safety improvement is supported by ensuring the NHS Safety Thermometers, based on the employment of the regulatory levers and CCG (clinical commissioning group). Patient safety can further be ensured by collaborating with risk management teams, other national </w:t>
      </w:r>
      <w:r w:rsidR="00D72FA4" w:rsidRPr="00D86D2F">
        <w:rPr>
          <w:rFonts w:ascii="Arial" w:hAnsi="Arial" w:cs="Arial"/>
          <w:szCs w:val="24"/>
        </w:rPr>
        <w:t>NHS,</w:t>
      </w:r>
      <w:r w:rsidRPr="00D86D2F">
        <w:rPr>
          <w:rFonts w:ascii="Arial" w:hAnsi="Arial" w:cs="Arial"/>
          <w:szCs w:val="24"/>
        </w:rPr>
        <w:t xml:space="preserve"> and provider organisations such as NHS Resolution, NHS Digital, Medicines and Healthcare products Regulatory Agency, HEE (Health Education England</w:t>
      </w:r>
      <w:r w:rsidR="00136631" w:rsidRPr="00D86D2F">
        <w:rPr>
          <w:rFonts w:ascii="Arial" w:hAnsi="Arial" w:cs="Arial"/>
        </w:rPr>
        <w:t>)</w:t>
      </w:r>
      <w:r w:rsidRPr="00D86D2F">
        <w:rPr>
          <w:rFonts w:ascii="Arial" w:hAnsi="Arial" w:cs="Arial"/>
          <w:szCs w:val="24"/>
        </w:rPr>
        <w:t>, royal colleges, independent sector and CQC.</w:t>
      </w:r>
      <w:r w:rsidR="00D72FA4" w:rsidRPr="00D86D2F">
        <w:rPr>
          <w:rFonts w:ascii="Arial" w:hAnsi="Arial" w:cs="Arial"/>
          <w:szCs w:val="24"/>
        </w:rPr>
        <w:t xml:space="preserve"> (Health Education England</w:t>
      </w:r>
      <w:r w:rsidR="00D72FA4" w:rsidRPr="00D86D2F">
        <w:rPr>
          <w:rFonts w:ascii="Arial" w:hAnsi="Arial" w:cs="Arial"/>
        </w:rPr>
        <w:t>,2022)</w:t>
      </w:r>
    </w:p>
    <w:p w14:paraId="461E40BF" w14:textId="77777777" w:rsidR="009E523C" w:rsidRPr="00D86D2F" w:rsidRDefault="009E523C" w:rsidP="00B23658">
      <w:pPr>
        <w:pStyle w:val="Heading2"/>
        <w:rPr>
          <w:rFonts w:ascii="Arial" w:hAnsi="Arial" w:cs="Arial"/>
          <w:sz w:val="32"/>
          <w:szCs w:val="32"/>
        </w:rPr>
      </w:pPr>
    </w:p>
    <w:p w14:paraId="5CB9DF97" w14:textId="7B033BE9" w:rsidR="00322C2E" w:rsidRPr="00D86D2F" w:rsidRDefault="00804842" w:rsidP="00B23658">
      <w:pPr>
        <w:pStyle w:val="Heading2"/>
        <w:rPr>
          <w:rFonts w:ascii="Arial" w:hAnsi="Arial" w:cs="Arial"/>
          <w:b/>
          <w:bCs/>
          <w:color w:val="5B9BD5" w:themeColor="accent1"/>
          <w:sz w:val="32"/>
          <w:szCs w:val="32"/>
        </w:rPr>
      </w:pPr>
      <w:bookmarkStart w:id="22" w:name="_Toc121050372"/>
      <w:r w:rsidRPr="00D86D2F">
        <w:rPr>
          <w:rFonts w:ascii="Arial" w:hAnsi="Arial" w:cs="Arial"/>
          <w:b/>
          <w:bCs/>
          <w:color w:val="5B9BD5" w:themeColor="accent1"/>
          <w:sz w:val="32"/>
          <w:szCs w:val="32"/>
        </w:rPr>
        <w:t>Critically analyse the factors that impact on your organisations ability to maximise customer value.</w:t>
      </w:r>
      <w:bookmarkEnd w:id="22"/>
    </w:p>
    <w:p w14:paraId="219CD5BC" w14:textId="77777777" w:rsidR="008045C7" w:rsidRPr="00D86D2F" w:rsidRDefault="008045C7" w:rsidP="00D2291D">
      <w:pPr>
        <w:spacing w:line="360" w:lineRule="auto"/>
        <w:rPr>
          <w:rFonts w:ascii="Arial" w:hAnsi="Arial" w:cs="Arial"/>
          <w:sz w:val="24"/>
          <w:szCs w:val="24"/>
        </w:rPr>
      </w:pPr>
    </w:p>
    <w:p w14:paraId="543A09D9" w14:textId="77777777" w:rsidR="00927D2A" w:rsidRPr="00D86D2F" w:rsidRDefault="00927D2A" w:rsidP="00927D2A">
      <w:pPr>
        <w:jc w:val="both"/>
        <w:rPr>
          <w:rFonts w:ascii="Arial" w:hAnsi="Arial" w:cs="Arial"/>
          <w:szCs w:val="24"/>
        </w:rPr>
      </w:pPr>
    </w:p>
    <w:p w14:paraId="5198B07C" w14:textId="77777777" w:rsidR="00927D2A" w:rsidRPr="00D86D2F" w:rsidRDefault="00927D2A" w:rsidP="00927D2A">
      <w:pPr>
        <w:pStyle w:val="Heading1"/>
        <w:jc w:val="both"/>
        <w:rPr>
          <w:rFonts w:ascii="Arial" w:hAnsi="Arial" w:cs="Arial"/>
          <w:color w:val="5B9BD5" w:themeColor="accent1"/>
          <w:sz w:val="28"/>
          <w:szCs w:val="22"/>
        </w:rPr>
      </w:pPr>
      <w:bookmarkStart w:id="23" w:name="_Toc120825239"/>
      <w:bookmarkStart w:id="24" w:name="_Toc121050373"/>
      <w:r w:rsidRPr="00D86D2F">
        <w:rPr>
          <w:rFonts w:ascii="Arial" w:hAnsi="Arial" w:cs="Arial"/>
          <w:color w:val="5B9BD5" w:themeColor="accent1"/>
          <w:sz w:val="28"/>
          <w:szCs w:val="22"/>
        </w:rPr>
        <w:t>Customer Experience of NHS</w:t>
      </w:r>
      <w:bookmarkEnd w:id="23"/>
      <w:bookmarkEnd w:id="24"/>
    </w:p>
    <w:p w14:paraId="0862CC53" w14:textId="77777777" w:rsidR="00927D2A" w:rsidRPr="00D86D2F" w:rsidRDefault="00927D2A" w:rsidP="00927D2A">
      <w:pPr>
        <w:jc w:val="both"/>
        <w:rPr>
          <w:rFonts w:ascii="Arial" w:hAnsi="Arial" w:cs="Arial"/>
          <w:szCs w:val="24"/>
        </w:rPr>
      </w:pPr>
    </w:p>
    <w:p w14:paraId="69B7590A" w14:textId="71EA50A7"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Patients and service users have a more central role concerning the scrutiny and oversight, </w:t>
      </w:r>
      <w:r w:rsidR="00D72FA4" w:rsidRPr="00D86D2F">
        <w:rPr>
          <w:rFonts w:ascii="Arial" w:hAnsi="Arial" w:cs="Arial"/>
          <w:szCs w:val="24"/>
        </w:rPr>
        <w:t>measurement,</w:t>
      </w:r>
      <w:r w:rsidRPr="00D86D2F">
        <w:rPr>
          <w:rFonts w:ascii="Arial" w:hAnsi="Arial" w:cs="Arial"/>
          <w:szCs w:val="24"/>
        </w:rPr>
        <w:t xml:space="preserve"> and design of offering services of high quality in the new systems of NHS (</w:t>
      </w:r>
      <w:r w:rsidRPr="00D86D2F">
        <w:rPr>
          <w:rFonts w:ascii="Arial" w:hAnsi="Arial" w:cs="Arial"/>
          <w:color w:val="222222"/>
          <w:szCs w:val="24"/>
          <w:shd w:val="clear" w:color="auto" w:fill="FFFFFF"/>
        </w:rPr>
        <w:t>Hasan et al., 2021)</w:t>
      </w:r>
      <w:r w:rsidRPr="00D86D2F">
        <w:rPr>
          <w:rFonts w:ascii="Arial" w:hAnsi="Arial" w:cs="Arial"/>
          <w:szCs w:val="24"/>
        </w:rPr>
        <w:t xml:space="preserve">. The customer experience can be enhanced by enabling the service users and patients to take more control in terms of the care offered to them. The customer experience (CX) is the lens through which the phase or step can be ascertained where change is required. NHS is more of an organization centred around the people, whereas ensuring the provision of a comprehensive service has remained at the core of the NHS Constitution. With the transformation of the healthcare system, the customer experience and delivery of healthcare have remained integral rather than optional in 2021. Due to such transformations in the healthcare provisions, </w:t>
      </w:r>
      <w:r w:rsidRPr="00D86D2F">
        <w:rPr>
          <w:rFonts w:ascii="Arial" w:hAnsi="Arial" w:cs="Arial"/>
          <w:szCs w:val="24"/>
        </w:rPr>
        <w:lastRenderedPageBreak/>
        <w:t xml:space="preserve">internal and external customers will be able to gain control of their matters while getting more involved in the decisions that are meant to be taken for their benefit. NHS has established a vision and channel strategy for the development of customer experience to ascertain that a personalized, </w:t>
      </w:r>
      <w:r w:rsidR="00D86D2F" w:rsidRPr="00D86D2F">
        <w:rPr>
          <w:rFonts w:ascii="Arial" w:hAnsi="Arial" w:cs="Arial"/>
          <w:szCs w:val="24"/>
        </w:rPr>
        <w:t>initiative-taking</w:t>
      </w:r>
      <w:r w:rsidR="00D72FA4" w:rsidRPr="00D86D2F">
        <w:rPr>
          <w:rFonts w:ascii="Arial" w:hAnsi="Arial" w:cs="Arial"/>
          <w:szCs w:val="24"/>
        </w:rPr>
        <w:t>,</w:t>
      </w:r>
      <w:r w:rsidRPr="00D86D2F">
        <w:rPr>
          <w:rFonts w:ascii="Arial" w:hAnsi="Arial" w:cs="Arial"/>
          <w:szCs w:val="24"/>
        </w:rPr>
        <w:t xml:space="preserve"> and easy-to-use digital experience has been witnessed by customers (</w:t>
      </w:r>
      <w:r w:rsidRPr="00D86D2F">
        <w:rPr>
          <w:rFonts w:ascii="Arial" w:hAnsi="Arial" w:cs="Arial"/>
          <w:color w:val="222222"/>
          <w:szCs w:val="24"/>
          <w:shd w:val="clear" w:color="auto" w:fill="FFFFFF"/>
        </w:rPr>
        <w:t>Mustaffa et al., 2020)</w:t>
      </w:r>
      <w:r w:rsidRPr="00D86D2F">
        <w:rPr>
          <w:rFonts w:ascii="Arial" w:hAnsi="Arial" w:cs="Arial"/>
          <w:szCs w:val="24"/>
        </w:rPr>
        <w:t xml:space="preserve">. </w:t>
      </w:r>
    </w:p>
    <w:p w14:paraId="39DFC63A" w14:textId="77777777" w:rsidR="00927D2A" w:rsidRPr="00D86D2F" w:rsidRDefault="00927D2A" w:rsidP="00BD1966">
      <w:pPr>
        <w:spacing w:line="360" w:lineRule="auto"/>
        <w:jc w:val="both"/>
        <w:rPr>
          <w:rFonts w:ascii="Arial" w:hAnsi="Arial" w:cs="Arial"/>
          <w:szCs w:val="24"/>
        </w:rPr>
      </w:pPr>
      <w:r w:rsidRPr="00D86D2F">
        <w:rPr>
          <w:rFonts w:ascii="Arial" w:hAnsi="Arial" w:cs="Arial"/>
          <w:szCs w:val="24"/>
        </w:rPr>
        <w:t>Customer experience has also undertaken patient and public participation as a significant comportment due to attaining support for improving the healthcare aspects including safety and health outcomes. It has become evident that satisfied customers and service users are inclined towards participation in the organization to reflect favourably on the services and care offered to the customers. Participation of the service users has enabled the NHS authorities to understand the needs of customers while responding accordingly towards the people having deprived health. The consumer experience towards NHS services will enable authorities to enhance access to services while reducing the healthcare differences across different communities (</w:t>
      </w:r>
      <w:r w:rsidRPr="00D86D2F">
        <w:rPr>
          <w:rFonts w:ascii="Arial" w:hAnsi="Arial" w:cs="Arial"/>
          <w:color w:val="222222"/>
          <w:szCs w:val="24"/>
          <w:shd w:val="clear" w:color="auto" w:fill="FFFFFF"/>
        </w:rPr>
        <w:t>Ogbonnaya &amp; Babalola, 2021)</w:t>
      </w:r>
      <w:r w:rsidRPr="00D86D2F">
        <w:rPr>
          <w:rFonts w:ascii="Arial" w:hAnsi="Arial" w:cs="Arial"/>
          <w:szCs w:val="24"/>
        </w:rPr>
        <w:t xml:space="preserve">. Customer complaints can be determined as another factor due to which the customer experience can be influenced. Therefore, the NHS authorities have been taking customer complaints on a serious note and undertaking approaches to cater to such complaints to the best of their aptitude for enhancing the customer experience. </w:t>
      </w:r>
    </w:p>
    <w:p w14:paraId="58C460A2" w14:textId="3EE89F8F"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According to </w:t>
      </w:r>
      <w:r w:rsidRPr="00D86D2F">
        <w:rPr>
          <w:rFonts w:ascii="Arial" w:hAnsi="Arial" w:cs="Arial"/>
          <w:color w:val="222222"/>
          <w:szCs w:val="24"/>
          <w:shd w:val="clear" w:color="auto" w:fill="FFFFFF"/>
        </w:rPr>
        <w:t>Bawa et al. (2019</w:t>
      </w:r>
      <w:r w:rsidRPr="00D86D2F">
        <w:rPr>
          <w:rFonts w:ascii="Arial" w:hAnsi="Arial" w:cs="Arial"/>
          <w:szCs w:val="24"/>
        </w:rPr>
        <w:t>), the quality of care offered by an organization is based on the level of expertise of the employed workforce. The professional standards and codes determined by the professional regulatory authorities demand healthcare professionals for prioritizing their patient’s care. Such standards put an obligation on healthcare professionals for raising concerns regarding the safety of patients and the public to ensure the prevention of risks to patients' safety. The healthcare professionals will be indicating the clinical leaders within the organization to reduce the customer risks while raising the patient’s safety measures (</w:t>
      </w:r>
      <w:r w:rsidRPr="00D86D2F">
        <w:rPr>
          <w:rFonts w:ascii="Arial" w:hAnsi="Arial" w:cs="Arial"/>
          <w:color w:val="222222"/>
          <w:szCs w:val="24"/>
          <w:shd w:val="clear" w:color="auto" w:fill="FFFFFF"/>
        </w:rPr>
        <w:t>Dawson, 2018)</w:t>
      </w:r>
      <w:r w:rsidRPr="00D86D2F">
        <w:rPr>
          <w:rFonts w:ascii="Arial" w:hAnsi="Arial" w:cs="Arial"/>
          <w:szCs w:val="24"/>
        </w:rPr>
        <w:t>. The clinical leaders in such circumstances will either be a Medical Director or at the equivalent level within the NHS Commissioning Board responsible for the local jurisdiction. For ensuring effective quality and clinical governance, clinical leaders possess a key responsibility. Because customers with timely resolved queries turn out to be more loyal and satisfied in comparison to the customer who has never complained.</w:t>
      </w:r>
    </w:p>
    <w:p w14:paraId="7D3E0C35" w14:textId="77777777" w:rsidR="00BD1966" w:rsidRPr="00D86D2F" w:rsidRDefault="00BD1966" w:rsidP="00BD1966">
      <w:pPr>
        <w:spacing w:line="360" w:lineRule="auto"/>
        <w:jc w:val="both"/>
        <w:rPr>
          <w:rFonts w:ascii="Arial" w:hAnsi="Arial" w:cs="Arial"/>
          <w:szCs w:val="24"/>
        </w:rPr>
      </w:pPr>
    </w:p>
    <w:p w14:paraId="00BBFE39" w14:textId="77777777" w:rsidR="00927D2A" w:rsidRPr="00D86D2F" w:rsidRDefault="00927D2A" w:rsidP="00927D2A">
      <w:pPr>
        <w:jc w:val="both"/>
        <w:rPr>
          <w:rFonts w:ascii="Arial" w:hAnsi="Arial" w:cs="Arial"/>
          <w:szCs w:val="24"/>
        </w:rPr>
      </w:pPr>
    </w:p>
    <w:p w14:paraId="47147C3E" w14:textId="62E7F915" w:rsidR="00927D2A" w:rsidRPr="00D86D2F" w:rsidRDefault="00927D2A" w:rsidP="00927D2A">
      <w:pPr>
        <w:pStyle w:val="Heading1"/>
        <w:jc w:val="both"/>
        <w:rPr>
          <w:rFonts w:ascii="Arial" w:hAnsi="Arial" w:cs="Arial"/>
          <w:color w:val="5B9BD5" w:themeColor="accent1"/>
          <w:sz w:val="28"/>
          <w:szCs w:val="22"/>
        </w:rPr>
      </w:pPr>
      <w:bookmarkStart w:id="25" w:name="_Toc120825240"/>
      <w:bookmarkStart w:id="26" w:name="_Toc121050374"/>
      <w:r w:rsidRPr="00D86D2F">
        <w:rPr>
          <w:rFonts w:ascii="Arial" w:hAnsi="Arial" w:cs="Arial"/>
          <w:color w:val="5B9BD5" w:themeColor="accent1"/>
          <w:sz w:val="28"/>
          <w:szCs w:val="22"/>
        </w:rPr>
        <w:lastRenderedPageBreak/>
        <w:t>Factors Affecting the Quality of Healthcare</w:t>
      </w:r>
      <w:bookmarkEnd w:id="25"/>
      <w:bookmarkEnd w:id="26"/>
    </w:p>
    <w:p w14:paraId="784B7B6F" w14:textId="77777777" w:rsidR="002F2E27" w:rsidRPr="00D86D2F" w:rsidRDefault="002F2E27" w:rsidP="002F2E27">
      <w:pPr>
        <w:rPr>
          <w:rFonts w:ascii="Arial" w:hAnsi="Arial" w:cs="Arial"/>
        </w:rPr>
      </w:pPr>
    </w:p>
    <w:p w14:paraId="77EF1E74" w14:textId="77777777" w:rsidR="00927D2A" w:rsidRPr="00D86D2F" w:rsidRDefault="00927D2A" w:rsidP="00927D2A">
      <w:pPr>
        <w:keepNext/>
        <w:jc w:val="center"/>
        <w:rPr>
          <w:rFonts w:ascii="Arial" w:hAnsi="Arial" w:cs="Arial"/>
          <w:szCs w:val="24"/>
        </w:rPr>
      </w:pPr>
      <w:r w:rsidRPr="00D86D2F">
        <w:rPr>
          <w:rFonts w:ascii="Arial" w:hAnsi="Arial" w:cs="Arial"/>
          <w:caps/>
          <w:noProof/>
          <w:szCs w:val="24"/>
        </w:rPr>
        <w:drawing>
          <wp:inline distT="0" distB="0" distL="0" distR="0" wp14:anchorId="73A00BA7" wp14:editId="5DEC01F9">
            <wp:extent cx="5486400" cy="4248150"/>
            <wp:effectExtent l="76200" t="57150" r="19050" b="1143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2B703BD5" w14:textId="77777777" w:rsidR="00927D2A" w:rsidRPr="00D86D2F" w:rsidRDefault="00927D2A" w:rsidP="00927D2A">
      <w:pPr>
        <w:pStyle w:val="Caption"/>
        <w:spacing w:after="0" w:line="360" w:lineRule="auto"/>
        <w:jc w:val="center"/>
        <w:rPr>
          <w:rFonts w:ascii="Arial" w:hAnsi="Arial" w:cs="Arial"/>
          <w:color w:val="auto"/>
          <w:sz w:val="24"/>
          <w:szCs w:val="24"/>
        </w:rPr>
      </w:pPr>
      <w:r w:rsidRPr="00D86D2F">
        <w:rPr>
          <w:rFonts w:ascii="Arial" w:hAnsi="Arial" w:cs="Arial"/>
          <w:color w:val="auto"/>
          <w:sz w:val="24"/>
          <w:szCs w:val="24"/>
        </w:rPr>
        <w:t xml:space="preserve">Figure </w:t>
      </w:r>
      <w:r w:rsidRPr="00D86D2F">
        <w:rPr>
          <w:rFonts w:ascii="Arial" w:hAnsi="Arial" w:cs="Arial"/>
          <w:color w:val="auto"/>
          <w:sz w:val="24"/>
          <w:szCs w:val="24"/>
        </w:rPr>
        <w:fldChar w:fldCharType="begin"/>
      </w:r>
      <w:r w:rsidRPr="00D86D2F">
        <w:rPr>
          <w:rFonts w:ascii="Arial" w:hAnsi="Arial" w:cs="Arial"/>
          <w:color w:val="auto"/>
          <w:sz w:val="24"/>
          <w:szCs w:val="24"/>
        </w:rPr>
        <w:instrText xml:space="preserve"> SEQ Figure \* ARABIC </w:instrText>
      </w:r>
      <w:r w:rsidRPr="00D86D2F">
        <w:rPr>
          <w:rFonts w:ascii="Arial" w:hAnsi="Arial" w:cs="Arial"/>
          <w:color w:val="auto"/>
          <w:sz w:val="24"/>
          <w:szCs w:val="24"/>
        </w:rPr>
        <w:fldChar w:fldCharType="separate"/>
      </w:r>
      <w:r w:rsidRPr="00D86D2F">
        <w:rPr>
          <w:rFonts w:ascii="Arial" w:hAnsi="Arial" w:cs="Arial"/>
          <w:noProof/>
          <w:color w:val="auto"/>
          <w:sz w:val="24"/>
          <w:szCs w:val="24"/>
        </w:rPr>
        <w:t>3</w:t>
      </w:r>
      <w:r w:rsidRPr="00D86D2F">
        <w:rPr>
          <w:rFonts w:ascii="Arial" w:hAnsi="Arial" w:cs="Arial"/>
          <w:color w:val="auto"/>
          <w:sz w:val="24"/>
          <w:szCs w:val="24"/>
        </w:rPr>
        <w:fldChar w:fldCharType="end"/>
      </w:r>
      <w:r w:rsidRPr="00D86D2F">
        <w:rPr>
          <w:rFonts w:ascii="Arial" w:hAnsi="Arial" w:cs="Arial"/>
          <w:color w:val="auto"/>
          <w:sz w:val="24"/>
          <w:szCs w:val="24"/>
        </w:rPr>
        <w:t>: Factors Affecting the Quality of Healthcare</w:t>
      </w:r>
    </w:p>
    <w:p w14:paraId="0BB41F3E" w14:textId="77777777" w:rsidR="00927D2A" w:rsidRPr="00D86D2F" w:rsidRDefault="00927D2A" w:rsidP="00927D2A">
      <w:pPr>
        <w:pStyle w:val="Caption"/>
        <w:spacing w:after="0" w:line="360" w:lineRule="auto"/>
        <w:jc w:val="center"/>
        <w:rPr>
          <w:rFonts w:ascii="Arial" w:hAnsi="Arial" w:cs="Arial"/>
          <w:color w:val="auto"/>
          <w:sz w:val="24"/>
          <w:szCs w:val="24"/>
        </w:rPr>
      </w:pPr>
      <w:r w:rsidRPr="00D86D2F">
        <w:rPr>
          <w:rFonts w:ascii="Arial" w:hAnsi="Arial" w:cs="Arial"/>
          <w:color w:val="auto"/>
          <w:sz w:val="24"/>
          <w:szCs w:val="24"/>
        </w:rPr>
        <w:t>Source: Gemine et al. (2021)</w:t>
      </w:r>
    </w:p>
    <w:p w14:paraId="181F3E3B" w14:textId="77777777" w:rsidR="00927D2A" w:rsidRPr="00D86D2F" w:rsidRDefault="00927D2A" w:rsidP="00927D2A">
      <w:pPr>
        <w:jc w:val="both"/>
        <w:rPr>
          <w:rFonts w:ascii="Arial" w:hAnsi="Arial" w:cs="Arial"/>
          <w:szCs w:val="24"/>
        </w:rPr>
      </w:pPr>
    </w:p>
    <w:p w14:paraId="01A31376" w14:textId="0D7B2885"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Customer value is dependent on the nature and quality of healthcare services offered to patients. When it comes to the healthcare setting (NHS), three major factors have been categorized for influencing healthcare operations and activities. These factors are patient-related factors, provider-related </w:t>
      </w:r>
      <w:r w:rsidR="00D72FA4" w:rsidRPr="00D86D2F">
        <w:rPr>
          <w:rFonts w:ascii="Arial" w:hAnsi="Arial" w:cs="Arial"/>
          <w:szCs w:val="24"/>
        </w:rPr>
        <w:t>factors,</w:t>
      </w:r>
      <w:r w:rsidRPr="00D86D2F">
        <w:rPr>
          <w:rFonts w:ascii="Arial" w:hAnsi="Arial" w:cs="Arial"/>
          <w:szCs w:val="24"/>
        </w:rPr>
        <w:t xml:space="preserve"> and environmental factors. The service quality within healthcare is influenced based on the interaction between the patient and the provider (</w:t>
      </w:r>
      <w:r w:rsidRPr="00D86D2F">
        <w:rPr>
          <w:rFonts w:ascii="Arial" w:hAnsi="Arial" w:cs="Arial"/>
          <w:color w:val="222222"/>
          <w:szCs w:val="24"/>
          <w:shd w:val="clear" w:color="auto" w:fill="FFFFFF"/>
        </w:rPr>
        <w:t>Gemine et al., 2021)</w:t>
      </w:r>
      <w:r w:rsidRPr="00D86D2F">
        <w:rPr>
          <w:rFonts w:ascii="Arial" w:hAnsi="Arial" w:cs="Arial"/>
          <w:szCs w:val="24"/>
        </w:rPr>
        <w:t xml:space="preserve">. Trust between the service provider and the patient is a significant element that has an integral role in influencing the quality of healthcare. The patient will not be able to attain satisfaction within the healthcare setting, unless and until understands the motive of the healthcare service provider and takes the suggestions and precautions seriously (Figure 3). Therefore, it has become the perception of various medical professionals that it is useless to collaborate with patients and </w:t>
      </w:r>
      <w:r w:rsidRPr="00D86D2F">
        <w:rPr>
          <w:rFonts w:ascii="Arial" w:hAnsi="Arial" w:cs="Arial"/>
          <w:szCs w:val="24"/>
        </w:rPr>
        <w:lastRenderedPageBreak/>
        <w:t>describe the process of service provision due to their vague understanding of healthcare. Contrasting to the previous argument, patient cooperation and involvement are other aspects that have been highlighted for affecting the quality of healthcare services (</w:t>
      </w:r>
      <w:r w:rsidRPr="00D86D2F">
        <w:rPr>
          <w:rFonts w:ascii="Arial" w:hAnsi="Arial" w:cs="Arial"/>
          <w:color w:val="222222"/>
          <w:szCs w:val="24"/>
          <w:shd w:val="clear" w:color="auto" w:fill="FFFFFF"/>
        </w:rPr>
        <w:t>O’donovan &amp; Mcauliffe, 2020)</w:t>
      </w:r>
      <w:r w:rsidRPr="00D86D2F">
        <w:rPr>
          <w:rFonts w:ascii="Arial" w:hAnsi="Arial" w:cs="Arial"/>
          <w:szCs w:val="24"/>
        </w:rPr>
        <w:t xml:space="preserve">. </w:t>
      </w:r>
    </w:p>
    <w:p w14:paraId="682E47EB" w14:textId="3886F661" w:rsidR="00927D2A" w:rsidRPr="00D86D2F" w:rsidRDefault="00927D2A" w:rsidP="00BD1966">
      <w:pPr>
        <w:spacing w:line="360" w:lineRule="auto"/>
        <w:jc w:val="both"/>
        <w:rPr>
          <w:rFonts w:ascii="Arial" w:hAnsi="Arial" w:cs="Arial"/>
          <w:szCs w:val="24"/>
        </w:rPr>
      </w:pPr>
      <w:r w:rsidRPr="00D86D2F">
        <w:rPr>
          <w:rFonts w:ascii="Arial" w:hAnsi="Arial" w:cs="Arial"/>
          <w:szCs w:val="24"/>
        </w:rPr>
        <w:t>Clinical outcomes are based on the patient's ability for providing information and showing cooperation with clinicians. Healthcare service providers misperceive patients due to their dishonest attitude and not responding accurately (Figure 3). On the other hand, patients in various scenarios remain consistent in compelling physicians to prescribe a certain medicine that influences the quality of healthcare. The desired outcomes can only be obtained ever since the patients have established trust in the physicians (</w:t>
      </w:r>
      <w:r w:rsidRPr="00D86D2F">
        <w:rPr>
          <w:rFonts w:ascii="Arial" w:hAnsi="Arial" w:cs="Arial"/>
          <w:color w:val="222222"/>
          <w:szCs w:val="24"/>
          <w:shd w:val="clear" w:color="auto" w:fill="FFFFFF"/>
        </w:rPr>
        <w:t>Asthana et al., 2019)</w:t>
      </w:r>
      <w:r w:rsidRPr="00D86D2F">
        <w:rPr>
          <w:rFonts w:ascii="Arial" w:hAnsi="Arial" w:cs="Arial"/>
          <w:szCs w:val="24"/>
        </w:rPr>
        <w:t xml:space="preserve">. The type and severity of the patient illness have </w:t>
      </w:r>
      <w:r w:rsidR="00D86D2F" w:rsidRPr="00D86D2F">
        <w:rPr>
          <w:rFonts w:ascii="Arial" w:hAnsi="Arial" w:cs="Arial"/>
          <w:szCs w:val="24"/>
        </w:rPr>
        <w:t>a key role</w:t>
      </w:r>
      <w:r w:rsidRPr="00D86D2F">
        <w:rPr>
          <w:rFonts w:ascii="Arial" w:hAnsi="Arial" w:cs="Arial"/>
          <w:szCs w:val="24"/>
        </w:rPr>
        <w:t xml:space="preserve"> in influencing the personnel's job stress that in turn has impacted the overall quality of healthcare services. This indicates that no matter how better the healthcare authorities have implemented the measures and approaches and developed harmonized environment, the stress and anxiety has impacted the psychological state of the physicians. The provider's socio-demographic factors indicate the provider's perspective in impacting the quality of healthcare. The quality of healthcare services is further impacted by the character and personality of the healthcare providers (</w:t>
      </w:r>
      <w:r w:rsidRPr="00D86D2F">
        <w:rPr>
          <w:rFonts w:ascii="Arial" w:hAnsi="Arial" w:cs="Arial"/>
          <w:color w:val="222222"/>
          <w:szCs w:val="24"/>
          <w:shd w:val="clear" w:color="auto" w:fill="FFFFFF"/>
        </w:rPr>
        <w:t>Chmielewska et al., 2020)</w:t>
      </w:r>
      <w:r w:rsidRPr="00D86D2F">
        <w:rPr>
          <w:rFonts w:ascii="Arial" w:hAnsi="Arial" w:cs="Arial"/>
          <w:szCs w:val="24"/>
        </w:rPr>
        <w:t xml:space="preserve">. </w:t>
      </w:r>
    </w:p>
    <w:p w14:paraId="5289E919" w14:textId="77777777" w:rsidR="00927D2A" w:rsidRPr="00D86D2F" w:rsidRDefault="00927D2A" w:rsidP="00BD1966">
      <w:pPr>
        <w:spacing w:line="360" w:lineRule="auto"/>
        <w:jc w:val="both"/>
        <w:rPr>
          <w:rFonts w:ascii="Arial" w:hAnsi="Arial" w:cs="Arial"/>
          <w:szCs w:val="24"/>
        </w:rPr>
      </w:pPr>
      <w:r w:rsidRPr="00D86D2F">
        <w:rPr>
          <w:rFonts w:ascii="Arial" w:hAnsi="Arial" w:cs="Arial"/>
          <w:szCs w:val="24"/>
        </w:rPr>
        <w:t>A good rapport has been established between the patients and the medical care providers by using personality characteristics such as helpfulness, intelligence, respect, confidence, and reliability. The communication and interaction between the patients and healthcare service providers are further based on their level of compensation. Healthcare providers will be able to enhance their communication and interaction with patients due to income-based motivation (</w:t>
      </w:r>
      <w:r w:rsidRPr="00D86D2F">
        <w:rPr>
          <w:rFonts w:ascii="Arial" w:hAnsi="Arial" w:cs="Arial"/>
          <w:color w:val="222222"/>
          <w:szCs w:val="24"/>
          <w:shd w:val="clear" w:color="auto" w:fill="FFFFFF"/>
        </w:rPr>
        <w:t>Lalani et al., 2018)</w:t>
      </w:r>
      <w:r w:rsidRPr="00D86D2F">
        <w:rPr>
          <w:rFonts w:ascii="Arial" w:hAnsi="Arial" w:cs="Arial"/>
          <w:szCs w:val="24"/>
        </w:rPr>
        <w:t>. Simultaneously, the behaviour of healthcare providers is further influenced by personal and family problems that adversely impact the quality of healthcare. The level of competency and technical knowledge of the healthcare provider also influence the quality of healthcare. High-quality services can be delivered by healthcare professionals by improving their knowledge and competency scale. The knowledge and level of competency of the healthcare providers are not established due to less exposure to the more practical education and training offered to them (</w:t>
      </w:r>
      <w:r w:rsidRPr="00D86D2F">
        <w:rPr>
          <w:rFonts w:ascii="Arial" w:hAnsi="Arial" w:cs="Arial"/>
          <w:color w:val="222222"/>
          <w:szCs w:val="24"/>
          <w:shd w:val="clear" w:color="auto" w:fill="FFFFFF"/>
        </w:rPr>
        <w:t>Battineni et al., 2020)</w:t>
      </w:r>
      <w:r w:rsidRPr="00D86D2F">
        <w:rPr>
          <w:rFonts w:ascii="Arial" w:hAnsi="Arial" w:cs="Arial"/>
          <w:szCs w:val="24"/>
        </w:rPr>
        <w:t xml:space="preserve">. </w:t>
      </w:r>
    </w:p>
    <w:p w14:paraId="0FC04A83" w14:textId="3501B7D0" w:rsidR="00927D2A" w:rsidRPr="00D86D2F" w:rsidRDefault="00927D2A" w:rsidP="00BD1966">
      <w:pPr>
        <w:spacing w:line="360" w:lineRule="auto"/>
        <w:jc w:val="both"/>
        <w:rPr>
          <w:rFonts w:ascii="Arial" w:hAnsi="Arial" w:cs="Arial"/>
          <w:szCs w:val="24"/>
        </w:rPr>
      </w:pPr>
      <w:r w:rsidRPr="00D86D2F">
        <w:rPr>
          <w:rFonts w:ascii="Arial" w:hAnsi="Arial" w:cs="Arial"/>
          <w:szCs w:val="24"/>
        </w:rPr>
        <w:t xml:space="preserve">In the context of NHS, the medical services environment is required to train service providers and make them aware of the determined standard of healthcare meant to be offered to the patient. This will prevent the quality of healthcare from deteriorating while stabilizing customer value. The motivation and satisfaction of the healthcare provider are crucial and significant in delivering </w:t>
      </w:r>
      <w:r w:rsidRPr="00D86D2F">
        <w:rPr>
          <w:rFonts w:ascii="Arial" w:hAnsi="Arial" w:cs="Arial"/>
          <w:szCs w:val="24"/>
        </w:rPr>
        <w:lastRenderedPageBreak/>
        <w:t>services of high quality to the patients. When it comes to the motivation and satisfaction of the healthcare providers, nine factors have been highlighted by them within the organization responsible for impacting the healthcare provisions. The environmental paradigm has also remained significant in impacting the quality of care offered to patients (</w:t>
      </w:r>
      <w:r w:rsidR="00136631" w:rsidRPr="00D86D2F">
        <w:rPr>
          <w:rFonts w:ascii="Arial" w:hAnsi="Arial" w:cs="Arial"/>
          <w:szCs w:val="24"/>
        </w:rPr>
        <w:t xml:space="preserve">NHS </w:t>
      </w:r>
      <w:r w:rsidRPr="00D86D2F">
        <w:rPr>
          <w:rFonts w:ascii="Arial" w:hAnsi="Arial" w:cs="Arial"/>
          <w:color w:val="222222"/>
          <w:szCs w:val="24"/>
          <w:shd w:val="clear" w:color="auto" w:fill="FFFFFF"/>
        </w:rPr>
        <w:t>England</w:t>
      </w:r>
      <w:r w:rsidR="00136631" w:rsidRPr="00D86D2F">
        <w:rPr>
          <w:rFonts w:ascii="Arial" w:hAnsi="Arial" w:cs="Arial"/>
          <w:color w:val="222222"/>
          <w:szCs w:val="24"/>
          <w:shd w:val="clear" w:color="auto" w:fill="FFFFFF"/>
        </w:rPr>
        <w:t>, 2022a</w:t>
      </w:r>
      <w:r w:rsidRPr="00D86D2F">
        <w:rPr>
          <w:rFonts w:ascii="Arial" w:hAnsi="Arial" w:cs="Arial"/>
          <w:color w:val="222222"/>
          <w:szCs w:val="24"/>
          <w:shd w:val="clear" w:color="auto" w:fill="FFFFFF"/>
        </w:rPr>
        <w:t>)</w:t>
      </w:r>
      <w:r w:rsidRPr="00D86D2F">
        <w:rPr>
          <w:rFonts w:ascii="Arial" w:hAnsi="Arial" w:cs="Arial"/>
          <w:szCs w:val="24"/>
        </w:rPr>
        <w:t>. The exposure to health insurance across the UK has made it convenient for patients to consult healthcare providers across NHS. Though, such convenience has increased competition between a GP (General Practitioner) and MC (Medical Consultant). Providers in the healthcare environment have complained about serving for hours more than their shifts which has significantly impacted the healthcare provisions. The quality of healthcare services is further impacted by the availability of resources and facilities. High-quality outputs (services) can be obtained based on the high-quality inputs, which has indicated the declined productivity of the employees due to working with the material of the deprived quality. Effective leadership and management can be understood as important enablers indicating the quality of healthcare (</w:t>
      </w:r>
      <w:r w:rsidRPr="00D86D2F">
        <w:rPr>
          <w:rFonts w:ascii="Arial" w:hAnsi="Arial" w:cs="Arial"/>
          <w:color w:val="222222"/>
          <w:szCs w:val="24"/>
          <w:shd w:val="clear" w:color="auto" w:fill="FFFFFF"/>
        </w:rPr>
        <w:t>Regmi &amp; Jones, 2020)</w:t>
      </w:r>
      <w:r w:rsidRPr="00D86D2F">
        <w:rPr>
          <w:rFonts w:ascii="Arial" w:hAnsi="Arial" w:cs="Arial"/>
          <w:szCs w:val="24"/>
        </w:rPr>
        <w:t>. Managers in a public sector healthcare setting are deprived of decision-making authority. National policies have become extremely prescriptive while not allowing sufficient flexibility towards adaption in accordance with the local circumstances.</w:t>
      </w:r>
    </w:p>
    <w:p w14:paraId="5EF742AE" w14:textId="77777777" w:rsidR="00927D2A" w:rsidRPr="00D86D2F" w:rsidRDefault="00927D2A" w:rsidP="00927D2A">
      <w:pPr>
        <w:jc w:val="both"/>
        <w:rPr>
          <w:rFonts w:ascii="Arial" w:hAnsi="Arial" w:cs="Arial"/>
          <w:szCs w:val="24"/>
        </w:rPr>
      </w:pPr>
    </w:p>
    <w:p w14:paraId="4EC5E4CD" w14:textId="77777777" w:rsidR="00927D2A" w:rsidRPr="00D86D2F" w:rsidRDefault="00927D2A" w:rsidP="00927D2A">
      <w:pPr>
        <w:pStyle w:val="Heading1"/>
        <w:jc w:val="both"/>
        <w:rPr>
          <w:rFonts w:ascii="Arial" w:hAnsi="Arial" w:cs="Arial"/>
          <w:color w:val="5B9BD5" w:themeColor="accent1"/>
          <w:sz w:val="28"/>
          <w:szCs w:val="22"/>
        </w:rPr>
      </w:pPr>
      <w:bookmarkStart w:id="27" w:name="_Toc120825241"/>
      <w:bookmarkStart w:id="28" w:name="_Toc121050375"/>
      <w:r w:rsidRPr="00D86D2F">
        <w:rPr>
          <w:rFonts w:ascii="Arial" w:hAnsi="Arial" w:cs="Arial"/>
          <w:color w:val="5B9BD5" w:themeColor="accent1"/>
          <w:sz w:val="28"/>
          <w:szCs w:val="22"/>
        </w:rPr>
        <w:t>Benefits And Challenges of Maintaining Good Customer Relationships</w:t>
      </w:r>
      <w:bookmarkEnd w:id="27"/>
      <w:bookmarkEnd w:id="28"/>
    </w:p>
    <w:p w14:paraId="6A44C289" w14:textId="77777777" w:rsidR="00927D2A" w:rsidRPr="00D86D2F" w:rsidRDefault="00927D2A" w:rsidP="00927D2A">
      <w:pPr>
        <w:jc w:val="both"/>
        <w:rPr>
          <w:rFonts w:ascii="Arial" w:hAnsi="Arial" w:cs="Arial"/>
          <w:szCs w:val="24"/>
        </w:rPr>
      </w:pPr>
    </w:p>
    <w:p w14:paraId="5EDD5EF1" w14:textId="7CAAD5D1" w:rsidR="00927D2A" w:rsidRPr="00D86D2F" w:rsidRDefault="00927D2A" w:rsidP="00BD1966">
      <w:pPr>
        <w:spacing w:line="360" w:lineRule="auto"/>
        <w:jc w:val="both"/>
        <w:rPr>
          <w:rFonts w:ascii="Arial" w:hAnsi="Arial" w:cs="Arial"/>
          <w:szCs w:val="24"/>
        </w:rPr>
      </w:pPr>
      <w:r w:rsidRPr="00D86D2F">
        <w:rPr>
          <w:rFonts w:ascii="Arial" w:hAnsi="Arial" w:cs="Arial"/>
          <w:szCs w:val="24"/>
        </w:rPr>
        <w:t>The healthcare setting (NHS) has witnessed the association of mental well-being with the healthy relationships between patients and healthcare providers. Taking small steps to the improvement of the patient's relationships can influence the mental well-being of the patients and the healthcare providers (</w:t>
      </w:r>
      <w:r w:rsidRPr="00D86D2F">
        <w:rPr>
          <w:rFonts w:ascii="Arial" w:hAnsi="Arial" w:cs="Arial"/>
          <w:color w:val="222222"/>
          <w:szCs w:val="24"/>
          <w:shd w:val="clear" w:color="auto" w:fill="FFFFFF"/>
        </w:rPr>
        <w:t>Bird et al., 2020)</w:t>
      </w:r>
      <w:r w:rsidRPr="00D86D2F">
        <w:rPr>
          <w:rFonts w:ascii="Arial" w:hAnsi="Arial" w:cs="Arial"/>
          <w:szCs w:val="24"/>
        </w:rPr>
        <w:t xml:space="preserve">. In the same sense, maintaining the doctor-patient relationship involves trust and vulnerability that can be a consensual association. The benefit of the development of the relationship between the doctor and the patient is that </w:t>
      </w:r>
      <w:r w:rsidR="00425C1A" w:rsidRPr="00D86D2F">
        <w:rPr>
          <w:rFonts w:ascii="Arial" w:hAnsi="Arial" w:cs="Arial"/>
          <w:szCs w:val="24"/>
        </w:rPr>
        <w:t>both</w:t>
      </w:r>
      <w:r w:rsidRPr="00D86D2F">
        <w:rPr>
          <w:rFonts w:ascii="Arial" w:hAnsi="Arial" w:cs="Arial"/>
          <w:szCs w:val="24"/>
        </w:rPr>
        <w:t xml:space="preserve"> accept each other for the provision of healthcare services. In this way, the healthcare setting (NHS) will be able to raise the value of customer care and raise the quality of healthcare. Also, the core benefits of the doctor-patient relationship indicate the development of a fiduciary relationship in which the physician agrees upon respecting the autonomy of the patient while maintaining confidentiality by entering into the relationship (</w:t>
      </w:r>
      <w:r w:rsidRPr="00D86D2F">
        <w:rPr>
          <w:rFonts w:ascii="Arial" w:hAnsi="Arial" w:cs="Arial"/>
          <w:color w:val="222222"/>
          <w:szCs w:val="24"/>
          <w:shd w:val="clear" w:color="auto" w:fill="FFFFFF"/>
        </w:rPr>
        <w:t>Donaghy et al., 2019)</w:t>
      </w:r>
      <w:r w:rsidRPr="00D86D2F">
        <w:rPr>
          <w:rFonts w:ascii="Arial" w:hAnsi="Arial" w:cs="Arial"/>
          <w:szCs w:val="24"/>
        </w:rPr>
        <w:t xml:space="preserve">. The essence of the development of the relationship between the patient and the healthcare provider within the healthcare setting is that the healthcare provider will explain treatment options to the patients and make sure that their informed consent must be obtained for providing quality care. </w:t>
      </w:r>
    </w:p>
    <w:p w14:paraId="023E265D" w14:textId="489333C3" w:rsidR="00927D2A" w:rsidRPr="00D86D2F" w:rsidRDefault="00927D2A" w:rsidP="00BD1966">
      <w:pPr>
        <w:spacing w:line="360" w:lineRule="auto"/>
        <w:jc w:val="both"/>
        <w:rPr>
          <w:rFonts w:ascii="Arial" w:hAnsi="Arial" w:cs="Arial"/>
          <w:szCs w:val="24"/>
        </w:rPr>
      </w:pPr>
      <w:r w:rsidRPr="00D86D2F">
        <w:rPr>
          <w:rFonts w:ascii="Arial" w:hAnsi="Arial" w:cs="Arial"/>
          <w:szCs w:val="24"/>
        </w:rPr>
        <w:lastRenderedPageBreak/>
        <w:t xml:space="preserve">In this way, the healthcare provider will be able to prevent customer value from declining. Knowledge, trust, </w:t>
      </w:r>
      <w:r w:rsidR="00425C1A" w:rsidRPr="00D86D2F">
        <w:rPr>
          <w:rFonts w:ascii="Arial" w:hAnsi="Arial" w:cs="Arial"/>
          <w:szCs w:val="24"/>
        </w:rPr>
        <w:t>regard,</w:t>
      </w:r>
      <w:r w:rsidRPr="00D86D2F">
        <w:rPr>
          <w:rFonts w:ascii="Arial" w:hAnsi="Arial" w:cs="Arial"/>
          <w:szCs w:val="24"/>
        </w:rPr>
        <w:t xml:space="preserve"> and loyalty are the elements that are encompassed within the unique relationship between doctor and patient (</w:t>
      </w:r>
      <w:r w:rsidRPr="00D86D2F">
        <w:rPr>
          <w:rFonts w:ascii="Arial" w:hAnsi="Arial" w:cs="Arial"/>
          <w:color w:val="222222"/>
          <w:szCs w:val="24"/>
          <w:shd w:val="clear" w:color="auto" w:fill="FFFFFF"/>
        </w:rPr>
        <w:t>Rudebeck, 2019)</w:t>
      </w:r>
      <w:r w:rsidRPr="00D86D2F">
        <w:rPr>
          <w:rFonts w:ascii="Arial" w:hAnsi="Arial" w:cs="Arial"/>
          <w:szCs w:val="24"/>
        </w:rPr>
        <w:t>. In contrast to the above benefits, there are some challenges that prevail in the healthcare setting (NHS) impacting the doctor-patient relationship. The foremost challenge that is faced by healthcare providers while establishing relations with patients is that they become liable for delivering what is promised to patients. Patients on the other hand develop expectations from the healthcare providers in regard to attaining healthcare services. This is the point where trust and integrity issues develop within the healthcare setting. Lack of trust is the element due to which the physicians experience stress and burnout within the healthcare settings that further prevent them from ensuring the provision of quality care (</w:t>
      </w:r>
      <w:r w:rsidRPr="00D86D2F">
        <w:rPr>
          <w:rFonts w:ascii="Arial" w:hAnsi="Arial" w:cs="Arial"/>
          <w:color w:val="222222"/>
          <w:szCs w:val="24"/>
          <w:shd w:val="clear" w:color="auto" w:fill="FFFFFF"/>
        </w:rPr>
        <w:t>Makhni et al., 2020)</w:t>
      </w:r>
      <w:r w:rsidRPr="00D86D2F">
        <w:rPr>
          <w:rFonts w:ascii="Arial" w:hAnsi="Arial" w:cs="Arial"/>
          <w:szCs w:val="24"/>
        </w:rPr>
        <w:t xml:space="preserve">. </w:t>
      </w:r>
    </w:p>
    <w:p w14:paraId="255280C6" w14:textId="6D902D46" w:rsidR="00927D2A" w:rsidRPr="00D86D2F" w:rsidRDefault="00927D2A" w:rsidP="00BD1966">
      <w:pPr>
        <w:spacing w:line="360" w:lineRule="auto"/>
        <w:jc w:val="both"/>
        <w:rPr>
          <w:rFonts w:ascii="Arial" w:hAnsi="Arial" w:cs="Arial"/>
          <w:szCs w:val="24"/>
        </w:rPr>
      </w:pPr>
      <w:r w:rsidRPr="00D86D2F">
        <w:rPr>
          <w:rFonts w:ascii="Arial" w:hAnsi="Arial" w:cs="Arial"/>
          <w:szCs w:val="24"/>
        </w:rPr>
        <w:t>In association with the above statement, it becomes harder for exhausted physicians to show affection towards patients which results in patients' complaints about the nonempathetic behaviour of the healthcare providers. This further impacts the emotional and psychological state of the healthcare providers due to the conflicts in care provisions while maintaining relations with patients. Due to such situations, patients do not prefer to avail of services from healthcare providers that have been failing to recognize their healthcare needs. Another challenge in the healthcare setting is that the patients are no longer willing to reflect trust in the healthcare providers that are either under training or possess less experience (</w:t>
      </w:r>
      <w:r w:rsidRPr="00D86D2F">
        <w:rPr>
          <w:rFonts w:ascii="Arial" w:hAnsi="Arial" w:cs="Arial"/>
          <w:color w:val="222222"/>
          <w:szCs w:val="24"/>
          <w:shd w:val="clear" w:color="auto" w:fill="FFFFFF"/>
        </w:rPr>
        <w:t>Shen et al., 2019)</w:t>
      </w:r>
      <w:r w:rsidRPr="00D86D2F">
        <w:rPr>
          <w:rFonts w:ascii="Arial" w:hAnsi="Arial" w:cs="Arial"/>
          <w:szCs w:val="24"/>
        </w:rPr>
        <w:t>. This situation within the healthcare setting prevents healthcare providers from ensuring optimum care to the patients.</w:t>
      </w:r>
    </w:p>
    <w:p w14:paraId="42B8CA47" w14:textId="2982E46B" w:rsidR="00927D2A" w:rsidRPr="00D86D2F" w:rsidRDefault="00927D2A" w:rsidP="00927D2A">
      <w:pPr>
        <w:jc w:val="both"/>
        <w:rPr>
          <w:rFonts w:ascii="Arial" w:hAnsi="Arial" w:cs="Arial"/>
          <w:szCs w:val="24"/>
        </w:rPr>
      </w:pPr>
    </w:p>
    <w:p w14:paraId="1D8194FF" w14:textId="0F3DAFFD" w:rsidR="00BD1966" w:rsidRPr="00D86D2F" w:rsidRDefault="00BD1966" w:rsidP="00927D2A">
      <w:pPr>
        <w:jc w:val="both"/>
        <w:rPr>
          <w:rFonts w:ascii="Arial" w:hAnsi="Arial" w:cs="Arial"/>
          <w:szCs w:val="24"/>
        </w:rPr>
      </w:pPr>
    </w:p>
    <w:p w14:paraId="4C953CF9" w14:textId="145101EA" w:rsidR="00BD1966" w:rsidRPr="00D86D2F" w:rsidRDefault="00BD1966" w:rsidP="00927D2A">
      <w:pPr>
        <w:jc w:val="both"/>
        <w:rPr>
          <w:rFonts w:ascii="Arial" w:hAnsi="Arial" w:cs="Arial"/>
          <w:szCs w:val="24"/>
        </w:rPr>
      </w:pPr>
    </w:p>
    <w:p w14:paraId="02C31F3D" w14:textId="1292279A" w:rsidR="00BD1966" w:rsidRPr="00D86D2F" w:rsidRDefault="00BD1966" w:rsidP="00927D2A">
      <w:pPr>
        <w:jc w:val="both"/>
        <w:rPr>
          <w:rFonts w:ascii="Arial" w:hAnsi="Arial" w:cs="Arial"/>
          <w:szCs w:val="24"/>
        </w:rPr>
      </w:pPr>
    </w:p>
    <w:p w14:paraId="0C05FA85" w14:textId="5C6873F1" w:rsidR="00BD1966" w:rsidRPr="00D86D2F" w:rsidRDefault="00BD1966" w:rsidP="00927D2A">
      <w:pPr>
        <w:jc w:val="both"/>
        <w:rPr>
          <w:rFonts w:ascii="Arial" w:hAnsi="Arial" w:cs="Arial"/>
          <w:szCs w:val="24"/>
        </w:rPr>
      </w:pPr>
    </w:p>
    <w:p w14:paraId="2E34C429" w14:textId="39562A0B" w:rsidR="00BD1966" w:rsidRPr="00D86D2F" w:rsidRDefault="00BD1966" w:rsidP="00927D2A">
      <w:pPr>
        <w:jc w:val="both"/>
        <w:rPr>
          <w:rFonts w:ascii="Arial" w:hAnsi="Arial" w:cs="Arial"/>
          <w:szCs w:val="24"/>
        </w:rPr>
      </w:pPr>
    </w:p>
    <w:p w14:paraId="3997B6F9" w14:textId="0C53332B" w:rsidR="00BD1966" w:rsidRPr="00D86D2F" w:rsidRDefault="00BD1966" w:rsidP="00927D2A">
      <w:pPr>
        <w:jc w:val="both"/>
        <w:rPr>
          <w:rFonts w:ascii="Arial" w:hAnsi="Arial" w:cs="Arial"/>
          <w:szCs w:val="24"/>
        </w:rPr>
      </w:pPr>
    </w:p>
    <w:p w14:paraId="6EDEC1C0" w14:textId="72BBC760" w:rsidR="00BD1966" w:rsidRPr="00D86D2F" w:rsidRDefault="00BD1966" w:rsidP="00927D2A">
      <w:pPr>
        <w:jc w:val="both"/>
        <w:rPr>
          <w:rFonts w:ascii="Arial" w:hAnsi="Arial" w:cs="Arial"/>
          <w:szCs w:val="24"/>
        </w:rPr>
      </w:pPr>
    </w:p>
    <w:p w14:paraId="28DCABFB" w14:textId="77777777" w:rsidR="00BD1966" w:rsidRPr="00D86D2F" w:rsidRDefault="00BD1966" w:rsidP="00927D2A">
      <w:pPr>
        <w:jc w:val="both"/>
        <w:rPr>
          <w:rFonts w:ascii="Arial" w:hAnsi="Arial" w:cs="Arial"/>
          <w:szCs w:val="24"/>
        </w:rPr>
      </w:pPr>
    </w:p>
    <w:p w14:paraId="6922EE3E" w14:textId="7AA262E4" w:rsidR="00927D2A" w:rsidRPr="00D86D2F" w:rsidRDefault="00927D2A" w:rsidP="00927D2A">
      <w:pPr>
        <w:jc w:val="both"/>
        <w:rPr>
          <w:rFonts w:ascii="Arial" w:hAnsi="Arial" w:cs="Arial"/>
          <w:szCs w:val="24"/>
        </w:rPr>
      </w:pPr>
      <w:r w:rsidRPr="00D86D2F">
        <w:rPr>
          <w:rFonts w:ascii="Arial" w:hAnsi="Arial" w:cs="Arial"/>
          <w:szCs w:val="24"/>
        </w:rPr>
        <w:tab/>
      </w:r>
    </w:p>
    <w:p w14:paraId="7C1AA7D9" w14:textId="77777777" w:rsidR="00927D2A" w:rsidRPr="00D86D2F" w:rsidRDefault="00927D2A" w:rsidP="00927D2A">
      <w:pPr>
        <w:pStyle w:val="Heading1"/>
        <w:jc w:val="both"/>
        <w:rPr>
          <w:rFonts w:ascii="Arial" w:hAnsi="Arial" w:cs="Arial"/>
          <w:color w:val="5B9BD5" w:themeColor="accent1"/>
          <w:szCs w:val="24"/>
        </w:rPr>
      </w:pPr>
      <w:bookmarkStart w:id="29" w:name="_Toc120825242"/>
      <w:bookmarkStart w:id="30" w:name="_Toc121050376"/>
      <w:r w:rsidRPr="00D86D2F">
        <w:rPr>
          <w:rFonts w:ascii="Arial" w:hAnsi="Arial" w:cs="Arial"/>
          <w:color w:val="5B9BD5" w:themeColor="accent1"/>
          <w:szCs w:val="24"/>
        </w:rPr>
        <w:lastRenderedPageBreak/>
        <w:t>Conclusion</w:t>
      </w:r>
      <w:bookmarkEnd w:id="29"/>
      <w:bookmarkEnd w:id="30"/>
    </w:p>
    <w:p w14:paraId="270EB780" w14:textId="77777777" w:rsidR="00927D2A" w:rsidRPr="00D86D2F" w:rsidRDefault="00927D2A" w:rsidP="00927D2A">
      <w:pPr>
        <w:jc w:val="both"/>
        <w:rPr>
          <w:rFonts w:ascii="Arial" w:hAnsi="Arial" w:cs="Arial"/>
          <w:szCs w:val="24"/>
        </w:rPr>
      </w:pPr>
    </w:p>
    <w:p w14:paraId="342510A0" w14:textId="74B9A96D" w:rsidR="002F2E27" w:rsidRPr="00D86D2F" w:rsidRDefault="00927D2A" w:rsidP="00BD1966">
      <w:pPr>
        <w:spacing w:line="360" w:lineRule="auto"/>
        <w:jc w:val="both"/>
        <w:rPr>
          <w:rFonts w:ascii="Arial" w:hAnsi="Arial" w:cs="Arial"/>
          <w:szCs w:val="24"/>
        </w:rPr>
      </w:pPr>
      <w:r w:rsidRPr="00D86D2F">
        <w:rPr>
          <w:rFonts w:ascii="Arial" w:hAnsi="Arial" w:cs="Arial"/>
          <w:szCs w:val="24"/>
        </w:rPr>
        <w:t xml:space="preserve">Managing the quality and control systems in the healthcare setting is significant for the determination of the quality care offered to the customers visiting the healthcare setting (NHS). For maintaining quality care, the healthcare setting is required to establish an association between the patients and healthcare providers with respect to establishing the environment of the healthcare setting. For ensuring the stability of the healthcare setting, NHS is required to </w:t>
      </w:r>
      <w:r w:rsidR="00425C1A" w:rsidRPr="00D86D2F">
        <w:rPr>
          <w:rFonts w:ascii="Arial" w:hAnsi="Arial" w:cs="Arial"/>
          <w:szCs w:val="24"/>
        </w:rPr>
        <w:t>innovate the process of quality care constantly and uninterruptedly</w:t>
      </w:r>
      <w:r w:rsidRPr="00D86D2F">
        <w:rPr>
          <w:rFonts w:ascii="Arial" w:hAnsi="Arial" w:cs="Arial"/>
          <w:szCs w:val="24"/>
        </w:rPr>
        <w:t>. Governance, patient safety and quality are interlinked for harmonizing the healthcare environment. It is important for the authorities to ensure the optimum care for their internal as well as external consumers. There are some factors that are impacting the customer experience and quality of healthcare across NHS. Maintaining good relationships between doctors and patients can have significant benefits but can be confronted by alternate challenge</w:t>
      </w:r>
      <w:r w:rsidR="00D86D2F">
        <w:rPr>
          <w:rFonts w:ascii="Arial" w:hAnsi="Arial" w:cs="Arial"/>
          <w:szCs w:val="24"/>
        </w:rPr>
        <w:t>.</w:t>
      </w:r>
    </w:p>
    <w:p w14:paraId="2ACB838E" w14:textId="77777777" w:rsidR="002F2E27" w:rsidRPr="00D86D2F" w:rsidRDefault="002F2E27" w:rsidP="002F2E27">
      <w:pPr>
        <w:jc w:val="both"/>
        <w:rPr>
          <w:rFonts w:ascii="Arial" w:hAnsi="Arial" w:cs="Arial"/>
          <w:szCs w:val="24"/>
        </w:rPr>
      </w:pPr>
    </w:p>
    <w:p w14:paraId="19695322" w14:textId="77777777" w:rsidR="002F2E27" w:rsidRPr="00D86D2F" w:rsidRDefault="002F2E27" w:rsidP="002F2E27">
      <w:pPr>
        <w:jc w:val="both"/>
        <w:rPr>
          <w:rFonts w:ascii="Arial" w:hAnsi="Arial" w:cs="Arial"/>
          <w:szCs w:val="24"/>
        </w:rPr>
      </w:pPr>
    </w:p>
    <w:p w14:paraId="381D5C6C" w14:textId="77777777" w:rsidR="002F2E27" w:rsidRPr="00D86D2F" w:rsidRDefault="002F2E27" w:rsidP="002F2E27">
      <w:pPr>
        <w:jc w:val="both"/>
        <w:rPr>
          <w:rFonts w:ascii="Arial" w:hAnsi="Arial" w:cs="Arial"/>
          <w:szCs w:val="24"/>
        </w:rPr>
      </w:pPr>
    </w:p>
    <w:p w14:paraId="20BAD04E" w14:textId="77777777" w:rsidR="002F2E27" w:rsidRPr="00D86D2F" w:rsidRDefault="002F2E27" w:rsidP="002F2E27">
      <w:pPr>
        <w:jc w:val="both"/>
        <w:rPr>
          <w:rFonts w:ascii="Arial" w:hAnsi="Arial" w:cs="Arial"/>
          <w:szCs w:val="24"/>
        </w:rPr>
      </w:pPr>
    </w:p>
    <w:p w14:paraId="62D16362" w14:textId="77777777" w:rsidR="002F2E27" w:rsidRPr="00D86D2F" w:rsidRDefault="002F2E27" w:rsidP="002F2E27">
      <w:pPr>
        <w:jc w:val="both"/>
        <w:rPr>
          <w:rFonts w:ascii="Arial" w:hAnsi="Arial" w:cs="Arial"/>
          <w:szCs w:val="24"/>
        </w:rPr>
      </w:pPr>
    </w:p>
    <w:p w14:paraId="17FD122B" w14:textId="77777777" w:rsidR="002F2E27" w:rsidRPr="00D86D2F" w:rsidRDefault="002F2E27" w:rsidP="002F2E27">
      <w:pPr>
        <w:jc w:val="both"/>
        <w:rPr>
          <w:rFonts w:ascii="Arial" w:hAnsi="Arial" w:cs="Arial"/>
          <w:szCs w:val="24"/>
        </w:rPr>
      </w:pPr>
    </w:p>
    <w:p w14:paraId="6451CECD" w14:textId="77777777" w:rsidR="002F2E27" w:rsidRPr="00D86D2F" w:rsidRDefault="002F2E27" w:rsidP="002F2E27">
      <w:pPr>
        <w:jc w:val="both"/>
        <w:rPr>
          <w:rFonts w:ascii="Arial" w:hAnsi="Arial" w:cs="Arial"/>
          <w:szCs w:val="24"/>
        </w:rPr>
      </w:pPr>
    </w:p>
    <w:p w14:paraId="5047EFF0" w14:textId="77777777" w:rsidR="002F2E27" w:rsidRPr="00D86D2F" w:rsidRDefault="002F2E27" w:rsidP="002F2E27">
      <w:pPr>
        <w:jc w:val="both"/>
        <w:rPr>
          <w:rFonts w:ascii="Arial" w:hAnsi="Arial" w:cs="Arial"/>
          <w:szCs w:val="24"/>
        </w:rPr>
      </w:pPr>
    </w:p>
    <w:p w14:paraId="2E5EC1FE" w14:textId="77777777" w:rsidR="002F2E27" w:rsidRPr="00D86D2F" w:rsidRDefault="002F2E27" w:rsidP="002F2E27">
      <w:pPr>
        <w:jc w:val="both"/>
        <w:rPr>
          <w:rFonts w:ascii="Arial" w:hAnsi="Arial" w:cs="Arial"/>
          <w:szCs w:val="24"/>
        </w:rPr>
      </w:pPr>
    </w:p>
    <w:p w14:paraId="67B8AEFF" w14:textId="77777777" w:rsidR="002F2E27" w:rsidRPr="00D86D2F" w:rsidRDefault="002F2E27" w:rsidP="002F2E27">
      <w:pPr>
        <w:jc w:val="both"/>
        <w:rPr>
          <w:rFonts w:ascii="Arial" w:hAnsi="Arial" w:cs="Arial"/>
          <w:szCs w:val="24"/>
        </w:rPr>
      </w:pPr>
    </w:p>
    <w:p w14:paraId="304B10E7" w14:textId="77777777" w:rsidR="002F2E27" w:rsidRPr="00D86D2F" w:rsidRDefault="002F2E27" w:rsidP="002F2E27">
      <w:pPr>
        <w:jc w:val="both"/>
        <w:rPr>
          <w:rFonts w:ascii="Arial" w:hAnsi="Arial" w:cs="Arial"/>
          <w:szCs w:val="24"/>
        </w:rPr>
      </w:pPr>
    </w:p>
    <w:p w14:paraId="485F625C" w14:textId="77777777" w:rsidR="002F2E27" w:rsidRPr="00D86D2F" w:rsidRDefault="002F2E27" w:rsidP="002F2E27">
      <w:pPr>
        <w:jc w:val="both"/>
        <w:rPr>
          <w:rFonts w:ascii="Arial" w:hAnsi="Arial" w:cs="Arial"/>
          <w:szCs w:val="24"/>
        </w:rPr>
      </w:pPr>
    </w:p>
    <w:p w14:paraId="473C2218" w14:textId="77777777" w:rsidR="002F2E27" w:rsidRPr="00D86D2F" w:rsidRDefault="002F2E27" w:rsidP="002F2E27">
      <w:pPr>
        <w:jc w:val="both"/>
        <w:rPr>
          <w:rFonts w:ascii="Arial" w:hAnsi="Arial" w:cs="Arial"/>
          <w:szCs w:val="24"/>
        </w:rPr>
      </w:pPr>
    </w:p>
    <w:p w14:paraId="12415CA9" w14:textId="77777777" w:rsidR="002F2E27" w:rsidRPr="00D86D2F" w:rsidRDefault="002F2E27" w:rsidP="002F2E27">
      <w:pPr>
        <w:jc w:val="both"/>
        <w:rPr>
          <w:rFonts w:ascii="Arial" w:hAnsi="Arial" w:cs="Arial"/>
          <w:szCs w:val="24"/>
        </w:rPr>
      </w:pPr>
    </w:p>
    <w:p w14:paraId="563F70C5" w14:textId="77777777" w:rsidR="002F2E27" w:rsidRPr="00D86D2F" w:rsidRDefault="002F2E27" w:rsidP="002F2E27">
      <w:pPr>
        <w:jc w:val="both"/>
        <w:rPr>
          <w:rFonts w:ascii="Arial" w:hAnsi="Arial" w:cs="Arial"/>
          <w:szCs w:val="24"/>
        </w:rPr>
      </w:pPr>
    </w:p>
    <w:p w14:paraId="2AABEADE" w14:textId="7988DCCF" w:rsidR="00BD1966" w:rsidRDefault="00BD1966" w:rsidP="002F2E27">
      <w:pPr>
        <w:jc w:val="both"/>
        <w:rPr>
          <w:rFonts w:ascii="Arial" w:hAnsi="Arial" w:cs="Arial"/>
          <w:szCs w:val="24"/>
        </w:rPr>
      </w:pPr>
    </w:p>
    <w:p w14:paraId="128BE365" w14:textId="77777777" w:rsidR="00D86D2F" w:rsidRPr="00D86D2F" w:rsidRDefault="00D86D2F" w:rsidP="002F2E27">
      <w:pPr>
        <w:jc w:val="both"/>
        <w:rPr>
          <w:rFonts w:ascii="Arial" w:hAnsi="Arial" w:cs="Arial"/>
          <w:szCs w:val="24"/>
        </w:rPr>
      </w:pPr>
    </w:p>
    <w:p w14:paraId="1BB9F038" w14:textId="75C85437" w:rsidR="00BD1966" w:rsidRPr="00D86D2F" w:rsidRDefault="00BD1966" w:rsidP="00BD1966">
      <w:pPr>
        <w:pStyle w:val="Heading2"/>
        <w:rPr>
          <w:rFonts w:ascii="Arial" w:hAnsi="Arial" w:cs="Arial"/>
          <w:color w:val="5B9BD5" w:themeColor="accent1"/>
        </w:rPr>
      </w:pPr>
      <w:bookmarkStart w:id="31" w:name="_Toc121050377"/>
      <w:r w:rsidRPr="00D86D2F">
        <w:rPr>
          <w:rFonts w:ascii="Arial" w:hAnsi="Arial" w:cs="Arial"/>
          <w:color w:val="5B9BD5" w:themeColor="accent1"/>
          <w:sz w:val="32"/>
          <w:szCs w:val="32"/>
        </w:rPr>
        <w:lastRenderedPageBreak/>
        <w:t>References</w:t>
      </w:r>
      <w:bookmarkEnd w:id="31"/>
    </w:p>
    <w:p w14:paraId="1B9F4647" w14:textId="77777777" w:rsidR="00D86D2F" w:rsidRPr="00111EB5" w:rsidRDefault="00D86D2F" w:rsidP="00D86D2F">
      <w:pPr>
        <w:spacing w:line="240" w:lineRule="auto"/>
      </w:pPr>
    </w:p>
    <w:p w14:paraId="4857C831"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Aquilia</w:t>
      </w:r>
      <w:proofErr w:type="spellEnd"/>
      <w:r w:rsidRPr="00D86D2F">
        <w:rPr>
          <w:rFonts w:ascii="Arial" w:hAnsi="Arial" w:cs="Arial"/>
        </w:rPr>
        <w:t xml:space="preserve">, A., Grimley, K., Jacobs, B., </w:t>
      </w:r>
      <w:proofErr w:type="spellStart"/>
      <w:r w:rsidRPr="00D86D2F">
        <w:rPr>
          <w:rFonts w:ascii="Arial" w:hAnsi="Arial" w:cs="Arial"/>
        </w:rPr>
        <w:t>Kosturko</w:t>
      </w:r>
      <w:proofErr w:type="spellEnd"/>
      <w:r w:rsidRPr="00D86D2F">
        <w:rPr>
          <w:rFonts w:ascii="Arial" w:hAnsi="Arial" w:cs="Arial"/>
        </w:rPr>
        <w:t xml:space="preserve">, M., Mansfield, J., Mathers, C., ... &amp; </w:t>
      </w:r>
      <w:proofErr w:type="spellStart"/>
      <w:r w:rsidRPr="00D86D2F">
        <w:rPr>
          <w:rFonts w:ascii="Arial" w:hAnsi="Arial" w:cs="Arial"/>
        </w:rPr>
        <w:t>Niederhauser</w:t>
      </w:r>
      <w:proofErr w:type="spellEnd"/>
      <w:r w:rsidRPr="00D86D2F">
        <w:rPr>
          <w:rFonts w:ascii="Arial" w:hAnsi="Arial" w:cs="Arial"/>
        </w:rPr>
        <w:t xml:space="preserve">, V. (2020). </w:t>
      </w:r>
      <w:r w:rsidRPr="00D86D2F">
        <w:rPr>
          <w:rFonts w:ascii="Arial" w:hAnsi="Arial" w:cs="Arial"/>
          <w:i/>
          <w:iCs/>
        </w:rPr>
        <w:t xml:space="preserve">Nursing leadership during COVID-19: Enhancing patient, </w:t>
      </w:r>
      <w:proofErr w:type="gramStart"/>
      <w:r w:rsidRPr="00D86D2F">
        <w:rPr>
          <w:rFonts w:ascii="Arial" w:hAnsi="Arial" w:cs="Arial"/>
          <w:i/>
          <w:iCs/>
        </w:rPr>
        <w:t>family</w:t>
      </w:r>
      <w:proofErr w:type="gramEnd"/>
      <w:r w:rsidRPr="00D86D2F">
        <w:rPr>
          <w:rFonts w:ascii="Arial" w:hAnsi="Arial" w:cs="Arial"/>
          <w:i/>
          <w:iCs/>
        </w:rPr>
        <w:t xml:space="preserve"> and workforce experience</w:t>
      </w:r>
      <w:r w:rsidRPr="00D86D2F">
        <w:rPr>
          <w:rFonts w:ascii="Arial" w:hAnsi="Arial" w:cs="Arial"/>
        </w:rPr>
        <w:t xml:space="preserve">. Patient Experience Journal, 7(2), 136-143. Retrieved November 12, 2022, from </w:t>
      </w:r>
      <w:hyperlink r:id="rId20" w:history="1">
        <w:r w:rsidRPr="00D86D2F">
          <w:rPr>
            <w:rStyle w:val="Hyperlink"/>
            <w:rFonts w:ascii="Arial" w:hAnsi="Arial" w:cs="Arial"/>
          </w:rPr>
          <w:t>https://pxjournal.org/journal/vol7/iss2/27/</w:t>
        </w:r>
      </w:hyperlink>
      <w:r w:rsidRPr="00D86D2F">
        <w:rPr>
          <w:rFonts w:ascii="Arial" w:hAnsi="Arial" w:cs="Arial"/>
        </w:rPr>
        <w:t xml:space="preserve">  </w:t>
      </w:r>
    </w:p>
    <w:p w14:paraId="6AA7D4B1"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Asmaningrum</w:t>
      </w:r>
      <w:proofErr w:type="spellEnd"/>
      <w:r w:rsidRPr="00D86D2F">
        <w:rPr>
          <w:rFonts w:ascii="Arial" w:hAnsi="Arial" w:cs="Arial"/>
        </w:rPr>
        <w:t xml:space="preserve">, N., &amp; Tsai, Y. F. (2018). </w:t>
      </w:r>
      <w:r w:rsidRPr="00D86D2F">
        <w:rPr>
          <w:rFonts w:ascii="Arial" w:hAnsi="Arial" w:cs="Arial"/>
          <w:i/>
          <w:iCs/>
        </w:rPr>
        <w:t xml:space="preserve">Nurse perspectives of maintaining patient dignity in Indonesian clinical care settings: a </w:t>
      </w:r>
      <w:proofErr w:type="spellStart"/>
      <w:r w:rsidRPr="00D86D2F">
        <w:rPr>
          <w:rFonts w:ascii="Arial" w:hAnsi="Arial" w:cs="Arial"/>
          <w:i/>
          <w:iCs/>
        </w:rPr>
        <w:t>multicenter</w:t>
      </w:r>
      <w:proofErr w:type="spellEnd"/>
      <w:r w:rsidRPr="00D86D2F">
        <w:rPr>
          <w:rFonts w:ascii="Arial" w:hAnsi="Arial" w:cs="Arial"/>
          <w:i/>
          <w:iCs/>
        </w:rPr>
        <w:t xml:space="preserve"> qualitative study</w:t>
      </w:r>
      <w:r w:rsidRPr="00D86D2F">
        <w:rPr>
          <w:rFonts w:ascii="Arial" w:hAnsi="Arial" w:cs="Arial"/>
        </w:rPr>
        <w:t xml:space="preserve">. Journal of Nursing Scholarship, 50(5), 482-491. Retrieved November 11, 2022, from </w:t>
      </w:r>
      <w:hyperlink r:id="rId21" w:history="1">
        <w:r w:rsidRPr="00D86D2F">
          <w:rPr>
            <w:rStyle w:val="Hyperlink"/>
            <w:rFonts w:ascii="Arial" w:hAnsi="Arial" w:cs="Arial"/>
          </w:rPr>
          <w:t>https://doi.org/10.1111/jnu.12410</w:t>
        </w:r>
      </w:hyperlink>
      <w:r w:rsidRPr="00D86D2F">
        <w:rPr>
          <w:rFonts w:ascii="Arial" w:hAnsi="Arial" w:cs="Arial"/>
        </w:rPr>
        <w:t xml:space="preserve">  </w:t>
      </w:r>
    </w:p>
    <w:p w14:paraId="439782C9" w14:textId="77777777" w:rsidR="00D86D2F" w:rsidRPr="00D86D2F" w:rsidRDefault="00D86D2F" w:rsidP="00D86D2F">
      <w:pPr>
        <w:spacing w:line="240" w:lineRule="auto"/>
        <w:rPr>
          <w:rFonts w:ascii="Arial" w:hAnsi="Arial" w:cs="Arial"/>
        </w:rPr>
      </w:pPr>
      <w:r w:rsidRPr="00D86D2F">
        <w:rPr>
          <w:rFonts w:ascii="Arial" w:hAnsi="Arial" w:cs="Arial"/>
        </w:rPr>
        <w:t xml:space="preserve">Asthana, S., Jones, R., &amp; </w:t>
      </w:r>
      <w:proofErr w:type="spellStart"/>
      <w:r w:rsidRPr="00D86D2F">
        <w:rPr>
          <w:rFonts w:ascii="Arial" w:hAnsi="Arial" w:cs="Arial"/>
        </w:rPr>
        <w:t>Sheaff</w:t>
      </w:r>
      <w:proofErr w:type="spellEnd"/>
      <w:r w:rsidRPr="00D86D2F">
        <w:rPr>
          <w:rFonts w:ascii="Arial" w:hAnsi="Arial" w:cs="Arial"/>
        </w:rPr>
        <w:t xml:space="preserve">, R. (2019). </w:t>
      </w:r>
      <w:r w:rsidRPr="00D86D2F">
        <w:rPr>
          <w:rFonts w:ascii="Arial" w:hAnsi="Arial" w:cs="Arial"/>
          <w:i/>
          <w:iCs/>
        </w:rPr>
        <w:t xml:space="preserve">Why does the NHS struggle to adopt eHealth innovations? A review of macro, </w:t>
      </w:r>
      <w:proofErr w:type="spellStart"/>
      <w:r w:rsidRPr="00D86D2F">
        <w:rPr>
          <w:rFonts w:ascii="Arial" w:hAnsi="Arial" w:cs="Arial"/>
          <w:i/>
          <w:iCs/>
        </w:rPr>
        <w:t>meso</w:t>
      </w:r>
      <w:proofErr w:type="spellEnd"/>
      <w:r w:rsidRPr="00D86D2F">
        <w:rPr>
          <w:rFonts w:ascii="Arial" w:hAnsi="Arial" w:cs="Arial"/>
          <w:i/>
          <w:iCs/>
        </w:rPr>
        <w:t xml:space="preserve"> and micro factors</w:t>
      </w:r>
      <w:r w:rsidRPr="00D86D2F">
        <w:rPr>
          <w:rFonts w:ascii="Arial" w:hAnsi="Arial" w:cs="Arial"/>
        </w:rPr>
        <w:t xml:space="preserve">. BMC health services research, 19(1), 1-7. Retrieved November 11, 2022, from </w:t>
      </w:r>
      <w:hyperlink r:id="rId22" w:history="1">
        <w:r w:rsidRPr="00D86D2F">
          <w:rPr>
            <w:rStyle w:val="Hyperlink"/>
            <w:rFonts w:ascii="Arial" w:hAnsi="Arial" w:cs="Arial"/>
          </w:rPr>
          <w:t>https://doi.org/10.1186/s12913-019-4790-x</w:t>
        </w:r>
      </w:hyperlink>
      <w:r w:rsidRPr="00D86D2F">
        <w:rPr>
          <w:rFonts w:ascii="Arial" w:hAnsi="Arial" w:cs="Arial"/>
        </w:rPr>
        <w:t xml:space="preserve">  </w:t>
      </w:r>
    </w:p>
    <w:p w14:paraId="268135DC"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Battineni</w:t>
      </w:r>
      <w:proofErr w:type="spellEnd"/>
      <w:r w:rsidRPr="00D86D2F">
        <w:rPr>
          <w:rFonts w:ascii="Arial" w:hAnsi="Arial" w:cs="Arial"/>
        </w:rPr>
        <w:t xml:space="preserve">, G., Baldoni, S., </w:t>
      </w:r>
      <w:proofErr w:type="spellStart"/>
      <w:r w:rsidRPr="00D86D2F">
        <w:rPr>
          <w:rFonts w:ascii="Arial" w:hAnsi="Arial" w:cs="Arial"/>
        </w:rPr>
        <w:t>Chintalapudi</w:t>
      </w:r>
      <w:proofErr w:type="spellEnd"/>
      <w:r w:rsidRPr="00D86D2F">
        <w:rPr>
          <w:rFonts w:ascii="Arial" w:hAnsi="Arial" w:cs="Arial"/>
        </w:rPr>
        <w:t xml:space="preserve">, N., </w:t>
      </w:r>
      <w:proofErr w:type="spellStart"/>
      <w:r w:rsidRPr="00D86D2F">
        <w:rPr>
          <w:rFonts w:ascii="Arial" w:hAnsi="Arial" w:cs="Arial"/>
        </w:rPr>
        <w:t>Sagaro</w:t>
      </w:r>
      <w:proofErr w:type="spellEnd"/>
      <w:r w:rsidRPr="00D86D2F">
        <w:rPr>
          <w:rFonts w:ascii="Arial" w:hAnsi="Arial" w:cs="Arial"/>
        </w:rPr>
        <w:t xml:space="preserve">, G. G., Pallotta, G., </w:t>
      </w:r>
      <w:proofErr w:type="spellStart"/>
      <w:r w:rsidRPr="00D86D2F">
        <w:rPr>
          <w:rFonts w:ascii="Arial" w:hAnsi="Arial" w:cs="Arial"/>
        </w:rPr>
        <w:t>Nittari</w:t>
      </w:r>
      <w:proofErr w:type="spellEnd"/>
      <w:r w:rsidRPr="00D86D2F">
        <w:rPr>
          <w:rFonts w:ascii="Arial" w:hAnsi="Arial" w:cs="Arial"/>
        </w:rPr>
        <w:t xml:space="preserve">, G., &amp; </w:t>
      </w:r>
      <w:proofErr w:type="spellStart"/>
      <w:r w:rsidRPr="00D86D2F">
        <w:rPr>
          <w:rFonts w:ascii="Arial" w:hAnsi="Arial" w:cs="Arial"/>
        </w:rPr>
        <w:t>Amenta</w:t>
      </w:r>
      <w:proofErr w:type="spellEnd"/>
      <w:r w:rsidRPr="00D86D2F">
        <w:rPr>
          <w:rFonts w:ascii="Arial" w:hAnsi="Arial" w:cs="Arial"/>
        </w:rPr>
        <w:t>, F. (2020</w:t>
      </w:r>
      <w:r w:rsidRPr="00D86D2F">
        <w:rPr>
          <w:rFonts w:ascii="Arial" w:hAnsi="Arial" w:cs="Arial"/>
          <w:i/>
          <w:iCs/>
        </w:rPr>
        <w:t>). Factors affecting the quality and reliability of online health information</w:t>
      </w:r>
      <w:r w:rsidRPr="00D86D2F">
        <w:rPr>
          <w:rFonts w:ascii="Arial" w:hAnsi="Arial" w:cs="Arial"/>
        </w:rPr>
        <w:t xml:space="preserve">. Digital Health, 6, 2055207620948996. Retrieved November 12, 2022, from </w:t>
      </w:r>
      <w:hyperlink r:id="rId23" w:history="1">
        <w:r w:rsidRPr="00D86D2F">
          <w:rPr>
            <w:rStyle w:val="Hyperlink"/>
            <w:rFonts w:ascii="Arial" w:hAnsi="Arial" w:cs="Arial"/>
          </w:rPr>
          <w:t>https://doi.org/10.1177/20552076209489</w:t>
        </w:r>
      </w:hyperlink>
      <w:r w:rsidRPr="00D86D2F">
        <w:rPr>
          <w:rFonts w:ascii="Arial" w:hAnsi="Arial" w:cs="Arial"/>
        </w:rPr>
        <w:t xml:space="preserve">  </w:t>
      </w:r>
    </w:p>
    <w:p w14:paraId="45FBEE6C"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Bawa</w:t>
      </w:r>
      <w:proofErr w:type="spellEnd"/>
      <w:r w:rsidRPr="00D86D2F">
        <w:rPr>
          <w:rFonts w:ascii="Arial" w:hAnsi="Arial" w:cs="Arial"/>
        </w:rPr>
        <w:t xml:space="preserve">, H., Gooden, S., </w:t>
      </w:r>
      <w:proofErr w:type="spellStart"/>
      <w:r w:rsidRPr="00D86D2F">
        <w:rPr>
          <w:rFonts w:ascii="Arial" w:hAnsi="Arial" w:cs="Arial"/>
        </w:rPr>
        <w:t>Maleque</w:t>
      </w:r>
      <w:proofErr w:type="spellEnd"/>
      <w:r w:rsidRPr="00D86D2F">
        <w:rPr>
          <w:rFonts w:ascii="Arial" w:hAnsi="Arial" w:cs="Arial"/>
        </w:rPr>
        <w:t xml:space="preserve">, F., Naseem, S., Naz, S., Obi </w:t>
      </w:r>
      <w:proofErr w:type="spellStart"/>
      <w:r w:rsidRPr="00D86D2F">
        <w:rPr>
          <w:rFonts w:ascii="Arial" w:hAnsi="Arial" w:cs="Arial"/>
        </w:rPr>
        <w:t>Oriaku</w:t>
      </w:r>
      <w:proofErr w:type="spellEnd"/>
      <w:r w:rsidRPr="00D86D2F">
        <w:rPr>
          <w:rFonts w:ascii="Arial" w:hAnsi="Arial" w:cs="Arial"/>
        </w:rPr>
        <w:t xml:space="preserve">, E., ... &amp; Shiel, L. (2019, November). </w:t>
      </w:r>
      <w:r w:rsidRPr="00D86D2F">
        <w:rPr>
          <w:rFonts w:ascii="Arial" w:hAnsi="Arial" w:cs="Arial"/>
          <w:i/>
          <w:iCs/>
        </w:rPr>
        <w:t>The journey of BME aspiring psychologists into clinical psychology training: Barriers and ideas for inclusive change</w:t>
      </w:r>
      <w:r w:rsidRPr="00D86D2F">
        <w:rPr>
          <w:rFonts w:ascii="Arial" w:hAnsi="Arial" w:cs="Arial"/>
        </w:rPr>
        <w:t xml:space="preserve">. In Clinical Psychology Forum (Vol. 323, No. November, pp. 3-7). </w:t>
      </w:r>
    </w:p>
    <w:p w14:paraId="6CF6733B" w14:textId="77777777" w:rsidR="00D86D2F" w:rsidRPr="00D86D2F" w:rsidRDefault="00D86D2F" w:rsidP="00D86D2F">
      <w:pPr>
        <w:rPr>
          <w:rFonts w:ascii="Arial" w:hAnsi="Arial" w:cs="Arial"/>
          <w:u w:val="single"/>
          <w:shd w:val="clear" w:color="auto" w:fill="FFFFFF"/>
        </w:rPr>
      </w:pPr>
      <w:r w:rsidRPr="00D86D2F">
        <w:rPr>
          <w:rFonts w:ascii="Arial" w:hAnsi="Arial" w:cs="Arial"/>
          <w:shd w:val="clear" w:color="auto" w:fill="FFFFFF"/>
        </w:rPr>
        <w:t xml:space="preserve">Benz, G., &amp; </w:t>
      </w:r>
      <w:proofErr w:type="spellStart"/>
      <w:r w:rsidRPr="00D86D2F">
        <w:rPr>
          <w:rFonts w:ascii="Arial" w:hAnsi="Arial" w:cs="Arial"/>
          <w:shd w:val="clear" w:color="auto" w:fill="FFFFFF"/>
        </w:rPr>
        <w:t>Paddison</w:t>
      </w:r>
      <w:proofErr w:type="spellEnd"/>
      <w:r w:rsidRPr="00D86D2F">
        <w:rPr>
          <w:rFonts w:ascii="Arial" w:hAnsi="Arial" w:cs="Arial"/>
          <w:shd w:val="clear" w:color="auto" w:fill="FFFFFF"/>
        </w:rPr>
        <w:t xml:space="preserve">, N. V. (2004). </w:t>
      </w:r>
      <w:r w:rsidRPr="00D86D2F">
        <w:rPr>
          <w:rFonts w:ascii="Arial" w:hAnsi="Arial" w:cs="Arial"/>
          <w:i/>
          <w:iCs/>
          <w:shd w:val="clear" w:color="auto" w:fill="FFFFFF"/>
        </w:rPr>
        <w:t>Developing patient-based marketing strategies</w:t>
      </w:r>
      <w:r w:rsidRPr="00D86D2F">
        <w:rPr>
          <w:rFonts w:ascii="Arial" w:hAnsi="Arial" w:cs="Arial"/>
          <w:shd w:val="clear" w:color="auto" w:fill="FFFFFF"/>
        </w:rPr>
        <w:t>. </w:t>
      </w:r>
      <w:r w:rsidRPr="00D86D2F">
        <w:rPr>
          <w:rFonts w:ascii="Arial" w:hAnsi="Arial" w:cs="Arial"/>
          <w:i/>
          <w:iCs/>
          <w:shd w:val="clear" w:color="auto" w:fill="FFFFFF"/>
        </w:rPr>
        <w:t>Healthcare executive</w:t>
      </w:r>
      <w:r w:rsidRPr="00D86D2F">
        <w:rPr>
          <w:rFonts w:ascii="Arial" w:hAnsi="Arial" w:cs="Arial"/>
          <w:shd w:val="clear" w:color="auto" w:fill="FFFFFF"/>
        </w:rPr>
        <w:t>, </w:t>
      </w:r>
      <w:r w:rsidRPr="00D86D2F">
        <w:rPr>
          <w:rFonts w:ascii="Arial" w:hAnsi="Arial" w:cs="Arial"/>
          <w:i/>
          <w:iCs/>
          <w:shd w:val="clear" w:color="auto" w:fill="FFFFFF"/>
        </w:rPr>
        <w:t>19</w:t>
      </w:r>
      <w:r w:rsidRPr="00D86D2F">
        <w:rPr>
          <w:rFonts w:ascii="Arial" w:hAnsi="Arial" w:cs="Arial"/>
          <w:shd w:val="clear" w:color="auto" w:fill="FFFFFF"/>
        </w:rPr>
        <w:t>(5), 40-42.</w:t>
      </w:r>
    </w:p>
    <w:p w14:paraId="45AFA202" w14:textId="77777777" w:rsidR="00D86D2F" w:rsidRPr="00D86D2F" w:rsidRDefault="00D86D2F" w:rsidP="00D86D2F">
      <w:pPr>
        <w:spacing w:line="240" w:lineRule="auto"/>
        <w:rPr>
          <w:rFonts w:ascii="Arial" w:hAnsi="Arial" w:cs="Arial"/>
        </w:rPr>
      </w:pPr>
      <w:r w:rsidRPr="00D86D2F">
        <w:rPr>
          <w:rFonts w:ascii="Arial" w:hAnsi="Arial" w:cs="Arial"/>
        </w:rPr>
        <w:t xml:space="preserve">Bird, M., Ouellette, C., Whitmore, C., Li, L., Nair, K., </w:t>
      </w:r>
      <w:proofErr w:type="spellStart"/>
      <w:r w:rsidRPr="00D86D2F">
        <w:rPr>
          <w:rFonts w:ascii="Arial" w:hAnsi="Arial" w:cs="Arial"/>
        </w:rPr>
        <w:t>McGillion</w:t>
      </w:r>
      <w:proofErr w:type="spellEnd"/>
      <w:r w:rsidRPr="00D86D2F">
        <w:rPr>
          <w:rFonts w:ascii="Arial" w:hAnsi="Arial" w:cs="Arial"/>
        </w:rPr>
        <w:t xml:space="preserve">, M. H., ... &amp; Carroll, S. L. (2020). </w:t>
      </w:r>
      <w:r w:rsidRPr="00D86D2F">
        <w:rPr>
          <w:rFonts w:ascii="Arial" w:hAnsi="Arial" w:cs="Arial"/>
          <w:i/>
          <w:iCs/>
        </w:rPr>
        <w:t>Preparing for patient partnership: a scoping review of patient partner engagement and evaluation in research</w:t>
      </w:r>
      <w:r w:rsidRPr="00D86D2F">
        <w:rPr>
          <w:rFonts w:ascii="Arial" w:hAnsi="Arial" w:cs="Arial"/>
        </w:rPr>
        <w:t xml:space="preserve">. Health Expectations, 23(3), 523-539. Retrieved November 13, 2022, from </w:t>
      </w:r>
      <w:hyperlink r:id="rId24" w:history="1">
        <w:r w:rsidRPr="00D86D2F">
          <w:rPr>
            <w:rStyle w:val="Hyperlink"/>
            <w:rFonts w:ascii="Arial" w:hAnsi="Arial" w:cs="Arial"/>
          </w:rPr>
          <w:t>https://doi.org/10.1111/hex.13040</w:t>
        </w:r>
      </w:hyperlink>
      <w:r w:rsidRPr="00D86D2F">
        <w:rPr>
          <w:rFonts w:ascii="Arial" w:hAnsi="Arial" w:cs="Arial"/>
        </w:rPr>
        <w:t xml:space="preserve">  </w:t>
      </w:r>
    </w:p>
    <w:p w14:paraId="7DE6FF10" w14:textId="77777777" w:rsidR="00D86D2F" w:rsidRPr="00D86D2F" w:rsidRDefault="00D86D2F" w:rsidP="00D86D2F">
      <w:pPr>
        <w:rPr>
          <w:rFonts w:ascii="Arial" w:hAnsi="Arial" w:cs="Arial"/>
          <w:color w:val="2E74B5" w:themeColor="accent1" w:themeShade="BF"/>
          <w:shd w:val="clear" w:color="auto" w:fill="FFFFFF"/>
        </w:rPr>
      </w:pPr>
      <w:r w:rsidRPr="00D86D2F">
        <w:rPr>
          <w:rFonts w:ascii="Arial" w:hAnsi="Arial" w:cs="Arial"/>
          <w:shd w:val="clear" w:color="auto" w:fill="FFFFFF"/>
        </w:rPr>
        <w:t xml:space="preserve">Chen, I. J., &amp; Popovich, K. (2003). </w:t>
      </w:r>
      <w:r w:rsidRPr="00D86D2F">
        <w:rPr>
          <w:rFonts w:ascii="Arial" w:hAnsi="Arial" w:cs="Arial"/>
          <w:i/>
          <w:iCs/>
          <w:shd w:val="clear" w:color="auto" w:fill="FFFFFF"/>
        </w:rPr>
        <w:t>Understanding customer relationship management (CRM). Business Process Management Journal., 9(5), 672–688.</w:t>
      </w:r>
      <w:r w:rsidRPr="00D86D2F">
        <w:rPr>
          <w:rFonts w:ascii="Arial" w:hAnsi="Arial" w:cs="Arial"/>
          <w:shd w:val="clear" w:color="auto" w:fill="FFFFFF"/>
        </w:rPr>
        <w:t xml:space="preserve"> Retrieved July 18, 2022, from, </w:t>
      </w:r>
      <w:hyperlink r:id="rId25" w:history="1">
        <w:r w:rsidRPr="00D86D2F">
          <w:rPr>
            <w:rStyle w:val="Hyperlink"/>
            <w:rFonts w:ascii="Arial" w:hAnsi="Arial" w:cs="Arial"/>
            <w:shd w:val="clear" w:color="auto" w:fill="FFFFFF"/>
            <w14:textFill>
              <w14:solidFill>
                <w14:srgbClr w14:val="0000FF">
                  <w14:lumMod w14:val="75000"/>
                </w14:srgbClr>
              </w14:solidFill>
            </w14:textFill>
          </w:rPr>
          <w:t>https://doi.org/10.1108/14637150310496758</w:t>
        </w:r>
      </w:hyperlink>
    </w:p>
    <w:p w14:paraId="21D40EF0"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Chmielewska</w:t>
      </w:r>
      <w:proofErr w:type="spellEnd"/>
      <w:r w:rsidRPr="00D86D2F">
        <w:rPr>
          <w:rFonts w:ascii="Arial" w:hAnsi="Arial" w:cs="Arial"/>
        </w:rPr>
        <w:t xml:space="preserve">, M., </w:t>
      </w:r>
      <w:proofErr w:type="spellStart"/>
      <w:r w:rsidRPr="00D86D2F">
        <w:rPr>
          <w:rFonts w:ascii="Arial" w:hAnsi="Arial" w:cs="Arial"/>
        </w:rPr>
        <w:t>Stokwiszewski</w:t>
      </w:r>
      <w:proofErr w:type="spellEnd"/>
      <w:r w:rsidRPr="00D86D2F">
        <w:rPr>
          <w:rFonts w:ascii="Arial" w:hAnsi="Arial" w:cs="Arial"/>
        </w:rPr>
        <w:t xml:space="preserve">, J., Filip, J., &amp; </w:t>
      </w:r>
      <w:proofErr w:type="spellStart"/>
      <w:r w:rsidRPr="00D86D2F">
        <w:rPr>
          <w:rFonts w:ascii="Arial" w:hAnsi="Arial" w:cs="Arial"/>
        </w:rPr>
        <w:t>Hermanowski</w:t>
      </w:r>
      <w:proofErr w:type="spellEnd"/>
      <w:r w:rsidRPr="00D86D2F">
        <w:rPr>
          <w:rFonts w:ascii="Arial" w:hAnsi="Arial" w:cs="Arial"/>
        </w:rPr>
        <w:t xml:space="preserve">, T. (2020). </w:t>
      </w:r>
      <w:r w:rsidRPr="00D86D2F">
        <w:rPr>
          <w:rFonts w:ascii="Arial" w:hAnsi="Arial" w:cs="Arial"/>
          <w:i/>
          <w:iCs/>
        </w:rPr>
        <w:t>Motivation factors affecting the job attitude of medical doctors and the organizational performance of public hospitals in Warsaw, Poland</w:t>
      </w:r>
      <w:r w:rsidRPr="00D86D2F">
        <w:rPr>
          <w:rFonts w:ascii="Arial" w:hAnsi="Arial" w:cs="Arial"/>
        </w:rPr>
        <w:t xml:space="preserve">. BMC Health Services Research, 20(1), 1-12. Retrieved November 13, 2022, from </w:t>
      </w:r>
      <w:hyperlink r:id="rId26" w:history="1">
        <w:r w:rsidRPr="00D86D2F">
          <w:rPr>
            <w:rStyle w:val="Hyperlink"/>
            <w:rFonts w:ascii="Arial" w:hAnsi="Arial" w:cs="Arial"/>
          </w:rPr>
          <w:t>https://doi.org/10.1186/s12913-020-05573-z</w:t>
        </w:r>
      </w:hyperlink>
      <w:r w:rsidRPr="00D86D2F">
        <w:rPr>
          <w:rFonts w:ascii="Arial" w:hAnsi="Arial" w:cs="Arial"/>
        </w:rPr>
        <w:t xml:space="preserve"> </w:t>
      </w:r>
    </w:p>
    <w:p w14:paraId="5F4DC60E" w14:textId="77777777" w:rsidR="00D86D2F" w:rsidRPr="00D86D2F" w:rsidRDefault="00D86D2F" w:rsidP="00D86D2F">
      <w:pPr>
        <w:spacing w:line="240" w:lineRule="auto"/>
        <w:rPr>
          <w:rFonts w:ascii="Arial" w:hAnsi="Arial" w:cs="Arial"/>
        </w:rPr>
      </w:pPr>
      <w:r w:rsidRPr="00D86D2F">
        <w:rPr>
          <w:rFonts w:ascii="Arial" w:hAnsi="Arial" w:cs="Arial"/>
        </w:rPr>
        <w:t xml:space="preserve">Daley, S., Murray, J., Farina, N., Page, T. E., Brown, A., Basset, T., ... &amp; Banerjee, S. (2019). </w:t>
      </w:r>
      <w:r w:rsidRPr="00D86D2F">
        <w:rPr>
          <w:rFonts w:ascii="Arial" w:hAnsi="Arial" w:cs="Arial"/>
          <w:i/>
          <w:iCs/>
        </w:rPr>
        <w:t>Understanding the quality of life of family carers of people with dementia: Development of a new conceptual framework</w:t>
      </w:r>
      <w:r w:rsidRPr="00D86D2F">
        <w:rPr>
          <w:rFonts w:ascii="Arial" w:hAnsi="Arial" w:cs="Arial"/>
        </w:rPr>
        <w:t xml:space="preserve">. International journal of geriatric psychiatry, 34(1), 79-86. Retrieved December 1, 2022, from </w:t>
      </w:r>
      <w:hyperlink r:id="rId27" w:history="1">
        <w:r w:rsidRPr="00D86D2F">
          <w:rPr>
            <w:rStyle w:val="Hyperlink"/>
            <w:rFonts w:ascii="Arial" w:hAnsi="Arial" w:cs="Arial"/>
          </w:rPr>
          <w:t>https://doi.org/10.1002/gps.4990</w:t>
        </w:r>
      </w:hyperlink>
      <w:r w:rsidRPr="00D86D2F">
        <w:rPr>
          <w:rFonts w:ascii="Arial" w:hAnsi="Arial" w:cs="Arial"/>
        </w:rPr>
        <w:t xml:space="preserve">  </w:t>
      </w:r>
    </w:p>
    <w:p w14:paraId="45B4021E" w14:textId="77777777" w:rsidR="00D86D2F" w:rsidRPr="00D86D2F" w:rsidRDefault="00D86D2F" w:rsidP="00D86D2F">
      <w:pPr>
        <w:spacing w:line="240" w:lineRule="auto"/>
        <w:rPr>
          <w:rFonts w:ascii="Arial" w:hAnsi="Arial" w:cs="Arial"/>
        </w:rPr>
      </w:pPr>
      <w:r w:rsidRPr="00D86D2F">
        <w:rPr>
          <w:rFonts w:ascii="Arial" w:hAnsi="Arial" w:cs="Arial"/>
        </w:rPr>
        <w:t xml:space="preserve">Dawson, J. (2018). </w:t>
      </w:r>
      <w:r w:rsidRPr="00D86D2F">
        <w:rPr>
          <w:rFonts w:ascii="Arial" w:hAnsi="Arial" w:cs="Arial"/>
          <w:i/>
          <w:iCs/>
        </w:rPr>
        <w:t>Links between NHS staff experience and patient satisfaction: Analysis of surveys from 2014 and 2015</w:t>
      </w:r>
      <w:r w:rsidRPr="00D86D2F">
        <w:rPr>
          <w:rFonts w:ascii="Arial" w:hAnsi="Arial" w:cs="Arial"/>
        </w:rPr>
        <w:t xml:space="preserve">. Workforce Race Equality Standard (WRES) team, NHS England. Retrieved November 17, 2022, from </w:t>
      </w:r>
      <w:hyperlink r:id="rId28" w:history="1">
        <w:r w:rsidRPr="00D86D2F">
          <w:rPr>
            <w:rStyle w:val="Hyperlink"/>
            <w:rFonts w:ascii="Arial" w:hAnsi="Arial" w:cs="Arial"/>
          </w:rPr>
          <w:t>https://www.england.nhs.uk/wp-content/uploads/2018/06/01-018-edc03-staff-inpatient-survey-report.pdf</w:t>
        </w:r>
      </w:hyperlink>
      <w:r w:rsidRPr="00D86D2F">
        <w:rPr>
          <w:rFonts w:ascii="Arial" w:hAnsi="Arial" w:cs="Arial"/>
        </w:rPr>
        <w:t xml:space="preserve">  </w:t>
      </w:r>
    </w:p>
    <w:p w14:paraId="25C21C7B" w14:textId="77777777" w:rsidR="00D86D2F" w:rsidRPr="00D86D2F" w:rsidRDefault="00D86D2F" w:rsidP="00D86D2F">
      <w:pPr>
        <w:spacing w:line="240" w:lineRule="auto"/>
        <w:rPr>
          <w:rFonts w:ascii="Arial" w:hAnsi="Arial" w:cs="Arial"/>
        </w:rPr>
      </w:pPr>
      <w:r w:rsidRPr="00D86D2F">
        <w:rPr>
          <w:rFonts w:ascii="Arial" w:hAnsi="Arial" w:cs="Arial"/>
        </w:rPr>
        <w:t xml:space="preserve">Dineen-Griffin, S., Garcia-Cardenas, V., Williams, K., &amp; </w:t>
      </w:r>
      <w:proofErr w:type="spellStart"/>
      <w:r w:rsidRPr="00D86D2F">
        <w:rPr>
          <w:rFonts w:ascii="Arial" w:hAnsi="Arial" w:cs="Arial"/>
        </w:rPr>
        <w:t>Benrimoj</w:t>
      </w:r>
      <w:proofErr w:type="spellEnd"/>
      <w:r w:rsidRPr="00D86D2F">
        <w:rPr>
          <w:rFonts w:ascii="Arial" w:hAnsi="Arial" w:cs="Arial"/>
        </w:rPr>
        <w:t xml:space="preserve">, S. I. (2019). </w:t>
      </w:r>
      <w:r w:rsidRPr="00D86D2F">
        <w:rPr>
          <w:rFonts w:ascii="Arial" w:hAnsi="Arial" w:cs="Arial"/>
          <w:i/>
          <w:iCs/>
        </w:rPr>
        <w:t xml:space="preserve">Helping patients help themselves: a systematic review of self-management support strategies in primary health </w:t>
      </w:r>
      <w:r w:rsidRPr="00D86D2F">
        <w:rPr>
          <w:rFonts w:ascii="Arial" w:hAnsi="Arial" w:cs="Arial"/>
          <w:i/>
          <w:iCs/>
        </w:rPr>
        <w:lastRenderedPageBreak/>
        <w:t>care practice</w:t>
      </w:r>
      <w:r w:rsidRPr="00D86D2F">
        <w:rPr>
          <w:rFonts w:ascii="Arial" w:hAnsi="Arial" w:cs="Arial"/>
        </w:rPr>
        <w:t xml:space="preserve">. </w:t>
      </w:r>
      <w:proofErr w:type="spellStart"/>
      <w:r w:rsidRPr="00D86D2F">
        <w:rPr>
          <w:rFonts w:ascii="Arial" w:hAnsi="Arial" w:cs="Arial"/>
        </w:rPr>
        <w:t>PloS</w:t>
      </w:r>
      <w:proofErr w:type="spellEnd"/>
      <w:r w:rsidRPr="00D86D2F">
        <w:rPr>
          <w:rFonts w:ascii="Arial" w:hAnsi="Arial" w:cs="Arial"/>
        </w:rPr>
        <w:t xml:space="preserve"> one, 14(8), e0220116. Retrieved December 3, 2022, from </w:t>
      </w:r>
      <w:hyperlink r:id="rId29" w:history="1">
        <w:r w:rsidRPr="00D86D2F">
          <w:rPr>
            <w:rStyle w:val="Hyperlink"/>
            <w:rFonts w:ascii="Arial" w:hAnsi="Arial" w:cs="Arial"/>
          </w:rPr>
          <w:t>https://doi.org/10.1371/journal.pone.0220116</w:t>
        </w:r>
      </w:hyperlink>
      <w:r w:rsidRPr="00D86D2F">
        <w:rPr>
          <w:rFonts w:ascii="Arial" w:hAnsi="Arial" w:cs="Arial"/>
        </w:rPr>
        <w:t xml:space="preserve">  </w:t>
      </w:r>
    </w:p>
    <w:p w14:paraId="22CB5D86"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Domer</w:t>
      </w:r>
      <w:proofErr w:type="spellEnd"/>
      <w:r w:rsidRPr="00D86D2F">
        <w:rPr>
          <w:rFonts w:ascii="Arial" w:hAnsi="Arial" w:cs="Arial"/>
        </w:rPr>
        <w:t xml:space="preserve">, G., Gallagher, T. M., </w:t>
      </w:r>
      <w:proofErr w:type="spellStart"/>
      <w:r w:rsidRPr="00D86D2F">
        <w:rPr>
          <w:rFonts w:ascii="Arial" w:hAnsi="Arial" w:cs="Arial"/>
        </w:rPr>
        <w:t>Shahabzada</w:t>
      </w:r>
      <w:proofErr w:type="spellEnd"/>
      <w:r w:rsidRPr="00D86D2F">
        <w:rPr>
          <w:rFonts w:ascii="Arial" w:hAnsi="Arial" w:cs="Arial"/>
        </w:rPr>
        <w:t xml:space="preserve">, S., </w:t>
      </w:r>
      <w:proofErr w:type="spellStart"/>
      <w:r w:rsidRPr="00D86D2F">
        <w:rPr>
          <w:rFonts w:ascii="Arial" w:hAnsi="Arial" w:cs="Arial"/>
        </w:rPr>
        <w:t>Sotherland</w:t>
      </w:r>
      <w:proofErr w:type="spellEnd"/>
      <w:r w:rsidRPr="00D86D2F">
        <w:rPr>
          <w:rFonts w:ascii="Arial" w:hAnsi="Arial" w:cs="Arial"/>
        </w:rPr>
        <w:t xml:space="preserve">, J., Paul, E. N., Kumar, K. N., ... &amp; Kaur, P. (2021). </w:t>
      </w:r>
      <w:r w:rsidRPr="00D86D2F">
        <w:rPr>
          <w:rFonts w:ascii="Arial" w:hAnsi="Arial" w:cs="Arial"/>
          <w:i/>
          <w:iCs/>
        </w:rPr>
        <w:t>Patient Safety: Preventing Patient Harm and Building Capacity for Patient Safety</w:t>
      </w:r>
      <w:r w:rsidRPr="00D86D2F">
        <w:rPr>
          <w:rFonts w:ascii="Arial" w:hAnsi="Arial" w:cs="Arial"/>
        </w:rPr>
        <w:t xml:space="preserve">. In Contemporary Topics in Patient Safety-Volume 1. </w:t>
      </w:r>
      <w:proofErr w:type="spellStart"/>
      <w:r w:rsidRPr="00D86D2F">
        <w:rPr>
          <w:rFonts w:ascii="Arial" w:hAnsi="Arial" w:cs="Arial"/>
        </w:rPr>
        <w:t>IntechOpen</w:t>
      </w:r>
      <w:proofErr w:type="spellEnd"/>
      <w:r w:rsidRPr="00D86D2F">
        <w:rPr>
          <w:rFonts w:ascii="Arial" w:hAnsi="Arial" w:cs="Arial"/>
        </w:rPr>
        <w:t xml:space="preserve">. Retrieved November 10, 2022, from </w:t>
      </w:r>
      <w:hyperlink r:id="rId30" w:anchor="v=onepage&amp;q=Patient%20Safety%3A%20Preventing%20Patient%20Harm%20and%20Building%20Capacity%20for%20Patient&amp;f=false" w:history="1">
        <w:r w:rsidRPr="00D86D2F">
          <w:rPr>
            <w:rStyle w:val="Hyperlink"/>
            <w:rFonts w:ascii="Arial" w:hAnsi="Arial" w:cs="Arial"/>
          </w:rPr>
          <w:t>https://books.google.co.uk/books?hl=en&amp;lr=&amp;id=FtJuEAAAQBAJ&amp;oi=fnd&amp;pg=PA9&amp;dq=Patient+Safety:+Preventing+Patient+Harm+and+Building+Capacity+for+Patient+&amp;ots=ONRzqPdenM&amp;sig=tIjZUMihLMvbeuQZ-iZw0av-234&amp;redir_esc=y#v=onepage&amp;q=Patient%20Safety%3A%20Preventing%20Patient%20Harm%20and%20Building%20Capacity%20for%20Patient&amp;f=false</w:t>
        </w:r>
      </w:hyperlink>
      <w:r w:rsidRPr="00D86D2F">
        <w:rPr>
          <w:rFonts w:ascii="Arial" w:hAnsi="Arial" w:cs="Arial"/>
        </w:rPr>
        <w:t xml:space="preserve">  </w:t>
      </w:r>
    </w:p>
    <w:p w14:paraId="6ECF920D" w14:textId="77777777" w:rsidR="00D86D2F" w:rsidRPr="00D86D2F" w:rsidRDefault="00D86D2F" w:rsidP="00D86D2F">
      <w:pPr>
        <w:spacing w:line="240" w:lineRule="auto"/>
        <w:rPr>
          <w:rFonts w:ascii="Arial" w:hAnsi="Arial" w:cs="Arial"/>
        </w:rPr>
      </w:pPr>
      <w:r w:rsidRPr="00D86D2F">
        <w:rPr>
          <w:rFonts w:ascii="Arial" w:hAnsi="Arial" w:cs="Arial"/>
        </w:rPr>
        <w:t xml:space="preserve">Donaghy, E., Atherton, H., Hammersley, V., McNeilly, H., </w:t>
      </w:r>
      <w:proofErr w:type="spellStart"/>
      <w:r w:rsidRPr="00D86D2F">
        <w:rPr>
          <w:rFonts w:ascii="Arial" w:hAnsi="Arial" w:cs="Arial"/>
        </w:rPr>
        <w:t>Bikker</w:t>
      </w:r>
      <w:proofErr w:type="spellEnd"/>
      <w:r w:rsidRPr="00D86D2F">
        <w:rPr>
          <w:rFonts w:ascii="Arial" w:hAnsi="Arial" w:cs="Arial"/>
        </w:rPr>
        <w:t xml:space="preserve">, A., Robbins, L., ... &amp; McKinstry, B. (2019). </w:t>
      </w:r>
      <w:r w:rsidRPr="00D86D2F">
        <w:rPr>
          <w:rFonts w:ascii="Arial" w:hAnsi="Arial" w:cs="Arial"/>
          <w:i/>
          <w:iCs/>
        </w:rPr>
        <w:t>Acceptability, benefits, and challenges of video consulting: a qualitative study in primary care.</w:t>
      </w:r>
      <w:r w:rsidRPr="00D86D2F">
        <w:rPr>
          <w:rFonts w:ascii="Arial" w:hAnsi="Arial" w:cs="Arial"/>
        </w:rPr>
        <w:t xml:space="preserve"> British Journal of General Practice, 69(686), e586-e594. Retrieved November 11, 2022, from </w:t>
      </w:r>
      <w:hyperlink r:id="rId31" w:history="1">
        <w:r w:rsidRPr="00D86D2F">
          <w:rPr>
            <w:rStyle w:val="Hyperlink"/>
            <w:rFonts w:ascii="Arial" w:hAnsi="Arial" w:cs="Arial"/>
          </w:rPr>
          <w:t>https://doi.org/10.3399/bjgp19X704141</w:t>
        </w:r>
      </w:hyperlink>
      <w:r w:rsidRPr="00D86D2F">
        <w:rPr>
          <w:rFonts w:ascii="Arial" w:hAnsi="Arial" w:cs="Arial"/>
        </w:rPr>
        <w:t xml:space="preserve">  </w:t>
      </w:r>
    </w:p>
    <w:p w14:paraId="2C22FBA7"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Friebel</w:t>
      </w:r>
      <w:proofErr w:type="spellEnd"/>
      <w:r w:rsidRPr="00D86D2F">
        <w:rPr>
          <w:rFonts w:ascii="Arial" w:hAnsi="Arial" w:cs="Arial"/>
        </w:rPr>
        <w:t xml:space="preserve">, R., Molloy, A., Leatherman, S., Dixon, J., </w:t>
      </w:r>
      <w:proofErr w:type="spellStart"/>
      <w:r w:rsidRPr="00D86D2F">
        <w:rPr>
          <w:rFonts w:ascii="Arial" w:hAnsi="Arial" w:cs="Arial"/>
        </w:rPr>
        <w:t>Bauhoff</w:t>
      </w:r>
      <w:proofErr w:type="spellEnd"/>
      <w:r w:rsidRPr="00D86D2F">
        <w:rPr>
          <w:rFonts w:ascii="Arial" w:hAnsi="Arial" w:cs="Arial"/>
        </w:rPr>
        <w:t xml:space="preserve">, S., &amp; </w:t>
      </w:r>
      <w:proofErr w:type="spellStart"/>
      <w:r w:rsidRPr="00D86D2F">
        <w:rPr>
          <w:rFonts w:ascii="Arial" w:hAnsi="Arial" w:cs="Arial"/>
        </w:rPr>
        <w:t>Chalkidou</w:t>
      </w:r>
      <w:proofErr w:type="spellEnd"/>
      <w:r w:rsidRPr="00D86D2F">
        <w:rPr>
          <w:rFonts w:ascii="Arial" w:hAnsi="Arial" w:cs="Arial"/>
        </w:rPr>
        <w:t xml:space="preserve">, K. (2018). </w:t>
      </w:r>
      <w:r w:rsidRPr="00D86D2F">
        <w:rPr>
          <w:rFonts w:ascii="Arial" w:hAnsi="Arial" w:cs="Arial"/>
          <w:i/>
          <w:iCs/>
        </w:rPr>
        <w:t>Achieving high-quality universal health coverage: a perspective from the National Health Service in England</w:t>
      </w:r>
      <w:r w:rsidRPr="00D86D2F">
        <w:rPr>
          <w:rFonts w:ascii="Arial" w:hAnsi="Arial" w:cs="Arial"/>
        </w:rPr>
        <w:t xml:space="preserve">. BMJ global health, 3(6), e000944. Retrieved November 10, 2022, from </w:t>
      </w:r>
      <w:hyperlink r:id="rId32" w:history="1">
        <w:r w:rsidRPr="00D86D2F">
          <w:rPr>
            <w:rStyle w:val="Hyperlink"/>
            <w:rFonts w:ascii="Arial" w:hAnsi="Arial" w:cs="Arial"/>
          </w:rPr>
          <w:t>http://dx.doi.org/10.1136/bmjgh-2018-000944</w:t>
        </w:r>
      </w:hyperlink>
      <w:r w:rsidRPr="00D86D2F">
        <w:rPr>
          <w:rFonts w:ascii="Arial" w:hAnsi="Arial" w:cs="Arial"/>
        </w:rPr>
        <w:t xml:space="preserve">   </w:t>
      </w:r>
    </w:p>
    <w:p w14:paraId="551D041E"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Fulop</w:t>
      </w:r>
      <w:proofErr w:type="spellEnd"/>
      <w:r w:rsidRPr="00D86D2F">
        <w:rPr>
          <w:rFonts w:ascii="Arial" w:hAnsi="Arial" w:cs="Arial"/>
        </w:rPr>
        <w:t xml:space="preserve">, N., Barbosa, E. C., Hill, M., Ledger, J., </w:t>
      </w:r>
      <w:proofErr w:type="spellStart"/>
      <w:r w:rsidRPr="00D86D2F">
        <w:rPr>
          <w:rFonts w:ascii="Arial" w:hAnsi="Arial" w:cs="Arial"/>
        </w:rPr>
        <w:t>Sherlaw</w:t>
      </w:r>
      <w:proofErr w:type="spellEnd"/>
      <w:r w:rsidRPr="00D86D2F">
        <w:rPr>
          <w:rFonts w:ascii="Arial" w:hAnsi="Arial" w:cs="Arial"/>
        </w:rPr>
        <w:t xml:space="preserve">-Johnson, C., Spencer, J., ... &amp; Morris, S. (2020). </w:t>
      </w:r>
      <w:proofErr w:type="gramStart"/>
      <w:r w:rsidRPr="00D86D2F">
        <w:rPr>
          <w:rFonts w:ascii="Arial" w:hAnsi="Arial" w:cs="Arial"/>
          <w:i/>
          <w:iCs/>
        </w:rPr>
        <w:t>Special measures</w:t>
      </w:r>
      <w:proofErr w:type="gramEnd"/>
      <w:r w:rsidRPr="00D86D2F">
        <w:rPr>
          <w:rFonts w:ascii="Arial" w:hAnsi="Arial" w:cs="Arial"/>
          <w:i/>
          <w:iCs/>
        </w:rPr>
        <w:t xml:space="preserve"> for quality and challenged providers: study protocol for evaluating the impact of improvement interventions in NHS trusts</w:t>
      </w:r>
      <w:r w:rsidRPr="00D86D2F">
        <w:rPr>
          <w:rFonts w:ascii="Arial" w:hAnsi="Arial" w:cs="Arial"/>
        </w:rPr>
        <w:t xml:space="preserve">. International Journal of Health Policy and Management, 9(4), 143. Retrieved November 20, 2022, from </w:t>
      </w:r>
      <w:hyperlink r:id="rId33" w:history="1">
        <w:r w:rsidRPr="00D86D2F">
          <w:rPr>
            <w:rStyle w:val="Hyperlink"/>
            <w:rFonts w:ascii="Arial" w:hAnsi="Arial" w:cs="Arial"/>
          </w:rPr>
          <w:t>https://doi.org/10.15171/ijhpm.2019.100</w:t>
        </w:r>
      </w:hyperlink>
      <w:r w:rsidRPr="00D86D2F">
        <w:rPr>
          <w:rFonts w:ascii="Arial" w:hAnsi="Arial" w:cs="Arial"/>
        </w:rPr>
        <w:t xml:space="preserve">    </w:t>
      </w:r>
    </w:p>
    <w:p w14:paraId="5533D38E"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Gemine</w:t>
      </w:r>
      <w:proofErr w:type="spellEnd"/>
      <w:r w:rsidRPr="00D86D2F">
        <w:rPr>
          <w:rFonts w:ascii="Arial" w:hAnsi="Arial" w:cs="Arial"/>
        </w:rPr>
        <w:t xml:space="preserve">, R., Davies, G. R., Tarrant, S., Davies, R. M., James, M., &amp; Lewis, K. (2021). </w:t>
      </w:r>
      <w:r w:rsidRPr="00D86D2F">
        <w:rPr>
          <w:rFonts w:ascii="Arial" w:hAnsi="Arial" w:cs="Arial"/>
          <w:i/>
          <w:iCs/>
        </w:rPr>
        <w:t>Factors associated with work-related burnout in NHS staff during COVID-19: a cross-sectional mixed methods study</w:t>
      </w:r>
      <w:r w:rsidRPr="00D86D2F">
        <w:rPr>
          <w:rFonts w:ascii="Arial" w:hAnsi="Arial" w:cs="Arial"/>
        </w:rPr>
        <w:t xml:space="preserve">. BMJ open, 11(1), e042591. Retrieved November 21, 2022, from </w:t>
      </w:r>
      <w:hyperlink r:id="rId34" w:history="1">
        <w:r w:rsidRPr="00D86D2F">
          <w:rPr>
            <w:rStyle w:val="Hyperlink"/>
            <w:rFonts w:ascii="Arial" w:hAnsi="Arial" w:cs="Arial"/>
          </w:rPr>
          <w:t>http://dx.doi.org/10.1136/bmjopen-2020-042591</w:t>
        </w:r>
      </w:hyperlink>
      <w:r w:rsidRPr="00D86D2F">
        <w:rPr>
          <w:rFonts w:ascii="Arial" w:hAnsi="Arial" w:cs="Arial"/>
        </w:rPr>
        <w:t xml:space="preserve"> </w:t>
      </w:r>
    </w:p>
    <w:p w14:paraId="4047D490" w14:textId="77777777" w:rsidR="00D86D2F" w:rsidRPr="00D86D2F" w:rsidRDefault="00D86D2F" w:rsidP="00D86D2F">
      <w:pPr>
        <w:spacing w:line="240" w:lineRule="auto"/>
        <w:rPr>
          <w:rFonts w:ascii="Arial" w:hAnsi="Arial" w:cs="Arial"/>
        </w:rPr>
      </w:pPr>
      <w:r w:rsidRPr="00D86D2F">
        <w:rPr>
          <w:rFonts w:ascii="Arial" w:hAnsi="Arial" w:cs="Arial"/>
        </w:rPr>
        <w:t xml:space="preserve">Hasan, R., </w:t>
      </w:r>
      <w:proofErr w:type="spellStart"/>
      <w:r w:rsidRPr="00D86D2F">
        <w:rPr>
          <w:rFonts w:ascii="Arial" w:hAnsi="Arial" w:cs="Arial"/>
        </w:rPr>
        <w:t>Thaichon</w:t>
      </w:r>
      <w:proofErr w:type="spellEnd"/>
      <w:r w:rsidRPr="00D86D2F">
        <w:rPr>
          <w:rFonts w:ascii="Arial" w:hAnsi="Arial" w:cs="Arial"/>
        </w:rPr>
        <w:t xml:space="preserve">, P., &amp; </w:t>
      </w:r>
      <w:proofErr w:type="spellStart"/>
      <w:r w:rsidRPr="00D86D2F">
        <w:rPr>
          <w:rFonts w:ascii="Arial" w:hAnsi="Arial" w:cs="Arial"/>
        </w:rPr>
        <w:t>Weaven</w:t>
      </w:r>
      <w:proofErr w:type="spellEnd"/>
      <w:r w:rsidRPr="00D86D2F">
        <w:rPr>
          <w:rFonts w:ascii="Arial" w:hAnsi="Arial" w:cs="Arial"/>
        </w:rPr>
        <w:t xml:space="preserve">, S. (2021). </w:t>
      </w:r>
      <w:r w:rsidRPr="00D86D2F">
        <w:rPr>
          <w:rFonts w:ascii="Arial" w:hAnsi="Arial" w:cs="Arial"/>
          <w:i/>
          <w:iCs/>
        </w:rPr>
        <w:t>Are we already living with Skynet? Anthropomorphic artificial intelligence to enhance customer experience</w:t>
      </w:r>
      <w:r w:rsidRPr="00D86D2F">
        <w:rPr>
          <w:rFonts w:ascii="Arial" w:hAnsi="Arial" w:cs="Arial"/>
        </w:rPr>
        <w:t xml:space="preserve">. In Developing digital marketing (pp. 103-134). Emerald Publishing Limited. Retrieved November 10, 2022, from </w:t>
      </w:r>
      <w:hyperlink r:id="rId35" w:history="1">
        <w:r w:rsidRPr="00D86D2F">
          <w:rPr>
            <w:rStyle w:val="Hyperlink"/>
            <w:rFonts w:ascii="Arial" w:hAnsi="Arial" w:cs="Arial"/>
          </w:rPr>
          <w:t>https://doi.org/10.1108/978-1-80071-348-220211007</w:t>
        </w:r>
      </w:hyperlink>
      <w:r w:rsidRPr="00D86D2F">
        <w:rPr>
          <w:rFonts w:ascii="Arial" w:hAnsi="Arial" w:cs="Arial"/>
        </w:rPr>
        <w:t xml:space="preserve">  </w:t>
      </w:r>
    </w:p>
    <w:p w14:paraId="1EB27A52" w14:textId="77777777" w:rsidR="00D86D2F" w:rsidRPr="00D86D2F" w:rsidRDefault="00D86D2F" w:rsidP="00D86D2F">
      <w:pPr>
        <w:spacing w:line="240" w:lineRule="auto"/>
        <w:rPr>
          <w:rFonts w:ascii="Arial" w:hAnsi="Arial" w:cs="Arial"/>
        </w:rPr>
      </w:pPr>
      <w:r w:rsidRPr="00D86D2F">
        <w:rPr>
          <w:rFonts w:ascii="Arial" w:hAnsi="Arial" w:cs="Arial"/>
        </w:rPr>
        <w:t xml:space="preserve">Junior, G. D. G., Kristensen, S. R., da Silva, E. N., Gomes, L. B., Barreto, J. O. M., Kovacs, R. J., ... &amp; Powell-Jackson, T. (2022). </w:t>
      </w:r>
      <w:r w:rsidRPr="00D86D2F">
        <w:rPr>
          <w:rFonts w:ascii="Arial" w:hAnsi="Arial" w:cs="Arial"/>
          <w:i/>
          <w:iCs/>
        </w:rPr>
        <w:t>Pay-for-performance for primary care in Brazil: a comparison with England's Quality Outcomes Framework and lessons for the future</w:t>
      </w:r>
      <w:r w:rsidRPr="00D86D2F">
        <w:rPr>
          <w:rFonts w:ascii="Arial" w:hAnsi="Arial" w:cs="Arial"/>
        </w:rPr>
        <w:t xml:space="preserve">. Health Policy. Retrieved December 1, 2022, from </w:t>
      </w:r>
      <w:hyperlink r:id="rId36" w:history="1">
        <w:r w:rsidRPr="00D86D2F">
          <w:rPr>
            <w:rStyle w:val="Hyperlink"/>
            <w:rFonts w:ascii="Arial" w:hAnsi="Arial" w:cs="Arial"/>
          </w:rPr>
          <w:t>https://doi.org/10.1016/j.healthpol.2022.11.004</w:t>
        </w:r>
      </w:hyperlink>
      <w:r w:rsidRPr="00D86D2F">
        <w:rPr>
          <w:rFonts w:ascii="Arial" w:hAnsi="Arial" w:cs="Arial"/>
        </w:rPr>
        <w:t xml:space="preserve">  </w:t>
      </w:r>
    </w:p>
    <w:p w14:paraId="400B65BE" w14:textId="77777777" w:rsidR="00D86D2F" w:rsidRPr="00D86D2F" w:rsidRDefault="00D86D2F" w:rsidP="00D86D2F">
      <w:pPr>
        <w:spacing w:line="240" w:lineRule="auto"/>
        <w:rPr>
          <w:rFonts w:ascii="Arial" w:hAnsi="Arial" w:cs="Arial"/>
        </w:rPr>
      </w:pPr>
      <w:r w:rsidRPr="00D86D2F">
        <w:rPr>
          <w:rFonts w:ascii="Arial" w:hAnsi="Arial" w:cs="Arial"/>
        </w:rPr>
        <w:t xml:space="preserve">Lalani, M., Hall, K., </w:t>
      </w:r>
      <w:proofErr w:type="spellStart"/>
      <w:r w:rsidRPr="00D86D2F">
        <w:rPr>
          <w:rFonts w:ascii="Arial" w:hAnsi="Arial" w:cs="Arial"/>
        </w:rPr>
        <w:t>Skrypak</w:t>
      </w:r>
      <w:proofErr w:type="spellEnd"/>
      <w:r w:rsidRPr="00D86D2F">
        <w:rPr>
          <w:rFonts w:ascii="Arial" w:hAnsi="Arial" w:cs="Arial"/>
        </w:rPr>
        <w:t xml:space="preserve">, M., Laing, C., Welch, J., Toohey, P., ... &amp; Marshall, M. (2018). </w:t>
      </w:r>
      <w:r w:rsidRPr="00D86D2F">
        <w:rPr>
          <w:rFonts w:ascii="Arial" w:hAnsi="Arial" w:cs="Arial"/>
          <w:i/>
          <w:iCs/>
        </w:rPr>
        <w:t>Building motivation to participate in a quality improvement collaborative in NHS hospital trusts in Southeast England: a qualitative participatory evaluation</w:t>
      </w:r>
      <w:r w:rsidRPr="00D86D2F">
        <w:rPr>
          <w:rFonts w:ascii="Arial" w:hAnsi="Arial" w:cs="Arial"/>
        </w:rPr>
        <w:t xml:space="preserve">. BMJ open, 8(4), e020930. Retrieved December 2, 2022, from </w:t>
      </w:r>
      <w:hyperlink r:id="rId37" w:history="1">
        <w:r w:rsidRPr="00D86D2F">
          <w:rPr>
            <w:rStyle w:val="Hyperlink"/>
            <w:rFonts w:ascii="Arial" w:hAnsi="Arial" w:cs="Arial"/>
          </w:rPr>
          <w:t>http://dx.doi.org/10.1136/bmjopen-2017-020930</w:t>
        </w:r>
      </w:hyperlink>
      <w:r w:rsidRPr="00D86D2F">
        <w:rPr>
          <w:rFonts w:ascii="Arial" w:hAnsi="Arial" w:cs="Arial"/>
        </w:rPr>
        <w:t xml:space="preserve">  </w:t>
      </w:r>
    </w:p>
    <w:p w14:paraId="104B0E95"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Makhni</w:t>
      </w:r>
      <w:proofErr w:type="spellEnd"/>
      <w:r w:rsidRPr="00D86D2F">
        <w:rPr>
          <w:rFonts w:ascii="Arial" w:hAnsi="Arial" w:cs="Arial"/>
        </w:rPr>
        <w:t xml:space="preserve">, M. C., </w:t>
      </w:r>
      <w:proofErr w:type="spellStart"/>
      <w:r w:rsidRPr="00D86D2F">
        <w:rPr>
          <w:rFonts w:ascii="Arial" w:hAnsi="Arial" w:cs="Arial"/>
        </w:rPr>
        <w:t>Riew</w:t>
      </w:r>
      <w:proofErr w:type="spellEnd"/>
      <w:r w:rsidRPr="00D86D2F">
        <w:rPr>
          <w:rFonts w:ascii="Arial" w:hAnsi="Arial" w:cs="Arial"/>
        </w:rPr>
        <w:t xml:space="preserve">, G. J., &amp; </w:t>
      </w:r>
      <w:proofErr w:type="spellStart"/>
      <w:r w:rsidRPr="00D86D2F">
        <w:rPr>
          <w:rFonts w:ascii="Arial" w:hAnsi="Arial" w:cs="Arial"/>
        </w:rPr>
        <w:t>Sumathipala</w:t>
      </w:r>
      <w:proofErr w:type="spellEnd"/>
      <w:r w:rsidRPr="00D86D2F">
        <w:rPr>
          <w:rFonts w:ascii="Arial" w:hAnsi="Arial" w:cs="Arial"/>
        </w:rPr>
        <w:t xml:space="preserve">, M. G. (2020). </w:t>
      </w:r>
      <w:r w:rsidRPr="00D86D2F">
        <w:rPr>
          <w:rFonts w:ascii="Arial" w:hAnsi="Arial" w:cs="Arial"/>
          <w:i/>
          <w:iCs/>
        </w:rPr>
        <w:t xml:space="preserve">Telemedicine in orthopaedic surgery: challenges and opportunities. </w:t>
      </w:r>
      <w:r w:rsidRPr="00D86D2F">
        <w:rPr>
          <w:rFonts w:ascii="Arial" w:hAnsi="Arial" w:cs="Arial"/>
        </w:rPr>
        <w:t xml:space="preserve">JBJS, 102(13), 1109-1115. Retrieved November 19, 2022, from </w:t>
      </w:r>
      <w:hyperlink r:id="rId38" w:history="1">
        <w:r w:rsidRPr="00D86D2F">
          <w:rPr>
            <w:rStyle w:val="Hyperlink"/>
            <w:rFonts w:ascii="Arial" w:hAnsi="Arial" w:cs="Arial"/>
          </w:rPr>
          <w:t>https://doi.org/10.2106/jbjs.20.00452</w:t>
        </w:r>
      </w:hyperlink>
      <w:r w:rsidRPr="00D86D2F">
        <w:rPr>
          <w:rFonts w:ascii="Arial" w:hAnsi="Arial" w:cs="Arial"/>
        </w:rPr>
        <w:t xml:space="preserve"> </w:t>
      </w:r>
    </w:p>
    <w:p w14:paraId="2A7B1477" w14:textId="77777777" w:rsidR="00D86D2F" w:rsidRPr="00D86D2F" w:rsidRDefault="00D86D2F" w:rsidP="00D86D2F">
      <w:pPr>
        <w:spacing w:line="240" w:lineRule="auto"/>
        <w:rPr>
          <w:rFonts w:ascii="Arial" w:hAnsi="Arial" w:cs="Arial"/>
        </w:rPr>
      </w:pPr>
      <w:r w:rsidRPr="00D86D2F">
        <w:rPr>
          <w:rFonts w:ascii="Arial" w:hAnsi="Arial" w:cs="Arial"/>
        </w:rPr>
        <w:lastRenderedPageBreak/>
        <w:t xml:space="preserve">McSherry, R., Timmins, F., de Vries, J. M., &amp; McSherry, W. (2018). </w:t>
      </w:r>
      <w:r w:rsidRPr="00D86D2F">
        <w:rPr>
          <w:rFonts w:ascii="Arial" w:hAnsi="Arial" w:cs="Arial"/>
          <w:i/>
          <w:iCs/>
        </w:rPr>
        <w:t>A reflective qualitative appreciative inquiry approach to restoring compassionate care deficits at one United Kingdom health care site</w:t>
      </w:r>
      <w:r w:rsidRPr="00D86D2F">
        <w:rPr>
          <w:rFonts w:ascii="Arial" w:hAnsi="Arial" w:cs="Arial"/>
        </w:rPr>
        <w:t xml:space="preserve">. Journal of Nursing Management, 26(8), 1108-1123. Retrieved December 1, 2022, from </w:t>
      </w:r>
      <w:hyperlink r:id="rId39" w:history="1">
        <w:r w:rsidRPr="00D86D2F">
          <w:rPr>
            <w:rStyle w:val="Hyperlink"/>
            <w:rFonts w:ascii="Arial" w:hAnsi="Arial" w:cs="Arial"/>
          </w:rPr>
          <w:t>https://doi.org/10.1111/jonm.12630</w:t>
        </w:r>
      </w:hyperlink>
      <w:r w:rsidRPr="00D86D2F">
        <w:rPr>
          <w:rFonts w:ascii="Arial" w:hAnsi="Arial" w:cs="Arial"/>
        </w:rPr>
        <w:t xml:space="preserve"> </w:t>
      </w:r>
    </w:p>
    <w:p w14:paraId="4ECCE4C2"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Mustaffa</w:t>
      </w:r>
      <w:proofErr w:type="spellEnd"/>
      <w:r w:rsidRPr="00D86D2F">
        <w:rPr>
          <w:rFonts w:ascii="Arial" w:hAnsi="Arial" w:cs="Arial"/>
        </w:rPr>
        <w:t xml:space="preserve">, W. S. W., Rahman, R. A., Ab Wahid, H., &amp; Ahmad, N. L. (2020). </w:t>
      </w:r>
      <w:r w:rsidRPr="00D86D2F">
        <w:rPr>
          <w:rFonts w:ascii="Arial" w:hAnsi="Arial" w:cs="Arial"/>
          <w:i/>
          <w:iCs/>
        </w:rPr>
        <w:t>A cognitive-affective-</w:t>
      </w:r>
      <w:proofErr w:type="spellStart"/>
      <w:r w:rsidRPr="00D86D2F">
        <w:rPr>
          <w:rFonts w:ascii="Arial" w:hAnsi="Arial" w:cs="Arial"/>
          <w:i/>
          <w:iCs/>
        </w:rPr>
        <w:t>behavioral</w:t>
      </w:r>
      <w:proofErr w:type="spellEnd"/>
      <w:r w:rsidRPr="00D86D2F">
        <w:rPr>
          <w:rFonts w:ascii="Arial" w:hAnsi="Arial" w:cs="Arial"/>
          <w:i/>
          <w:iCs/>
        </w:rPr>
        <w:t xml:space="preserve"> responses of customer experience (CAB-CE) model for service delivery improvement in the healthcare industry</w:t>
      </w:r>
      <w:r w:rsidRPr="00D86D2F">
        <w:rPr>
          <w:rFonts w:ascii="Arial" w:hAnsi="Arial" w:cs="Arial"/>
        </w:rPr>
        <w:t xml:space="preserve">. Int. J Sup. Chain. </w:t>
      </w:r>
      <w:proofErr w:type="spellStart"/>
      <w:r w:rsidRPr="00D86D2F">
        <w:rPr>
          <w:rFonts w:ascii="Arial" w:hAnsi="Arial" w:cs="Arial"/>
        </w:rPr>
        <w:t>Mgt</w:t>
      </w:r>
      <w:proofErr w:type="spellEnd"/>
      <w:r w:rsidRPr="00D86D2F">
        <w:rPr>
          <w:rFonts w:ascii="Arial" w:hAnsi="Arial" w:cs="Arial"/>
        </w:rPr>
        <w:t xml:space="preserve"> Vol, 9(2), 252. </w:t>
      </w:r>
    </w:p>
    <w:p w14:paraId="2570C3EA" w14:textId="77777777" w:rsidR="00D86D2F" w:rsidRPr="00D86D2F" w:rsidRDefault="00D86D2F" w:rsidP="00D86D2F">
      <w:pPr>
        <w:spacing w:line="240" w:lineRule="auto"/>
        <w:rPr>
          <w:rFonts w:ascii="Arial" w:hAnsi="Arial" w:cs="Arial"/>
        </w:rPr>
      </w:pPr>
      <w:r w:rsidRPr="00D86D2F">
        <w:rPr>
          <w:rFonts w:ascii="Arial" w:hAnsi="Arial" w:cs="Arial"/>
        </w:rPr>
        <w:t xml:space="preserve">NHS England. (2022a). </w:t>
      </w:r>
      <w:r w:rsidRPr="00D86D2F">
        <w:rPr>
          <w:rFonts w:ascii="Arial" w:hAnsi="Arial" w:cs="Arial"/>
          <w:i/>
          <w:iCs/>
        </w:rPr>
        <w:t>The NHS Patient Safety Strategy</w:t>
      </w:r>
      <w:r w:rsidRPr="00D86D2F">
        <w:rPr>
          <w:rFonts w:ascii="Arial" w:hAnsi="Arial" w:cs="Arial"/>
        </w:rPr>
        <w:t xml:space="preserve">. NHS choices. Retrieved December 2, 2022, from </w:t>
      </w:r>
      <w:hyperlink r:id="rId40" w:history="1">
        <w:r w:rsidRPr="00D86D2F">
          <w:rPr>
            <w:rStyle w:val="Hyperlink"/>
            <w:rFonts w:ascii="Arial" w:hAnsi="Arial" w:cs="Arial"/>
          </w:rPr>
          <w:t>https://www.england.nhs.uk/patient-safety/the-nhs-patient-safety-strategy/</w:t>
        </w:r>
      </w:hyperlink>
      <w:r w:rsidRPr="00D86D2F">
        <w:rPr>
          <w:rFonts w:ascii="Arial" w:hAnsi="Arial" w:cs="Arial"/>
        </w:rPr>
        <w:t xml:space="preserve"> </w:t>
      </w:r>
    </w:p>
    <w:p w14:paraId="7218AEE3" w14:textId="77777777" w:rsidR="00D86D2F" w:rsidRPr="00D86D2F" w:rsidRDefault="00D86D2F" w:rsidP="00D86D2F">
      <w:pPr>
        <w:spacing w:line="240" w:lineRule="auto"/>
        <w:rPr>
          <w:rFonts w:ascii="Arial" w:hAnsi="Arial" w:cs="Arial"/>
        </w:rPr>
      </w:pPr>
      <w:r w:rsidRPr="00D86D2F">
        <w:rPr>
          <w:rFonts w:ascii="Arial" w:hAnsi="Arial" w:cs="Arial"/>
        </w:rPr>
        <w:t xml:space="preserve">NHS England. (2022b). </w:t>
      </w:r>
      <w:r w:rsidRPr="00D86D2F">
        <w:rPr>
          <w:rFonts w:ascii="Arial" w:hAnsi="Arial" w:cs="Arial"/>
          <w:i/>
          <w:iCs/>
        </w:rPr>
        <w:t>NHS choices</w:t>
      </w:r>
      <w:r w:rsidRPr="00D86D2F">
        <w:rPr>
          <w:rFonts w:ascii="Arial" w:hAnsi="Arial" w:cs="Arial"/>
        </w:rPr>
        <w:t xml:space="preserve">. Retrieved December 1, 2022, from </w:t>
      </w:r>
      <w:hyperlink r:id="rId41" w:history="1">
        <w:r w:rsidRPr="00D86D2F">
          <w:rPr>
            <w:rStyle w:val="Hyperlink"/>
            <w:rFonts w:ascii="Arial" w:hAnsi="Arial" w:cs="Arial"/>
          </w:rPr>
          <w:t>https://www.england.nhs.uk/mat-transformation/matrons-handbook/governance-patient-safety-and-quality/</w:t>
        </w:r>
      </w:hyperlink>
      <w:r w:rsidRPr="00D86D2F">
        <w:rPr>
          <w:rFonts w:ascii="Arial" w:hAnsi="Arial" w:cs="Arial"/>
        </w:rPr>
        <w:t xml:space="preserve">   </w:t>
      </w:r>
    </w:p>
    <w:p w14:paraId="37FA3439" w14:textId="77777777" w:rsidR="00D86D2F" w:rsidRPr="00D86D2F" w:rsidRDefault="00D86D2F" w:rsidP="00D86D2F">
      <w:pPr>
        <w:spacing w:line="240" w:lineRule="auto"/>
        <w:rPr>
          <w:rFonts w:ascii="Arial" w:hAnsi="Arial" w:cs="Arial"/>
        </w:rPr>
      </w:pPr>
      <w:r w:rsidRPr="00D86D2F">
        <w:rPr>
          <w:rFonts w:ascii="Arial" w:hAnsi="Arial" w:cs="Arial"/>
        </w:rPr>
        <w:t xml:space="preserve">NHS Health Education England. (2022). </w:t>
      </w:r>
      <w:r w:rsidRPr="00D86D2F">
        <w:rPr>
          <w:rFonts w:ascii="Arial" w:hAnsi="Arial" w:cs="Arial"/>
          <w:i/>
          <w:iCs/>
        </w:rPr>
        <w:t>Health Education England (HEE).</w:t>
      </w:r>
      <w:r w:rsidRPr="00D86D2F">
        <w:rPr>
          <w:rFonts w:ascii="Arial" w:hAnsi="Arial" w:cs="Arial"/>
        </w:rPr>
        <w:t xml:space="preserve"> NHS choices. Retrieved December 1, 2022, from </w:t>
      </w:r>
      <w:hyperlink r:id="rId42" w:history="1">
        <w:r w:rsidRPr="00D86D2F">
          <w:rPr>
            <w:rStyle w:val="Hyperlink"/>
            <w:rFonts w:ascii="Arial" w:hAnsi="Arial" w:cs="Arial"/>
          </w:rPr>
          <w:t>https://www.hee.nhs.uk/</w:t>
        </w:r>
      </w:hyperlink>
      <w:r w:rsidRPr="00D86D2F">
        <w:rPr>
          <w:rFonts w:ascii="Arial" w:hAnsi="Arial" w:cs="Arial"/>
        </w:rPr>
        <w:t xml:space="preserve">   </w:t>
      </w:r>
    </w:p>
    <w:p w14:paraId="14B24EFE"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O’donovan</w:t>
      </w:r>
      <w:proofErr w:type="spellEnd"/>
      <w:r w:rsidRPr="00D86D2F">
        <w:rPr>
          <w:rFonts w:ascii="Arial" w:hAnsi="Arial" w:cs="Arial"/>
        </w:rPr>
        <w:t xml:space="preserve">, R., &amp; </w:t>
      </w:r>
      <w:proofErr w:type="spellStart"/>
      <w:r w:rsidRPr="00D86D2F">
        <w:rPr>
          <w:rFonts w:ascii="Arial" w:hAnsi="Arial" w:cs="Arial"/>
        </w:rPr>
        <w:t>Mcauliffe</w:t>
      </w:r>
      <w:proofErr w:type="spellEnd"/>
      <w:r w:rsidRPr="00D86D2F">
        <w:rPr>
          <w:rFonts w:ascii="Arial" w:hAnsi="Arial" w:cs="Arial"/>
        </w:rPr>
        <w:t xml:space="preserve">, E. (2020). </w:t>
      </w:r>
      <w:r w:rsidRPr="00D86D2F">
        <w:rPr>
          <w:rFonts w:ascii="Arial" w:hAnsi="Arial" w:cs="Arial"/>
          <w:i/>
          <w:iCs/>
        </w:rPr>
        <w:t>A systematic review of factors that enable psychological safety in healthcare teams. International journal for quality in health care, 32(4), 240-250. A systematic review of factors that enable psychological safety in healthcare teams</w:t>
      </w:r>
      <w:r w:rsidRPr="00D86D2F">
        <w:rPr>
          <w:rFonts w:ascii="Arial" w:hAnsi="Arial" w:cs="Arial"/>
        </w:rPr>
        <w:t xml:space="preserve">. International journal for quality in health care, 32(4), 240-250. Retrieved November 11, 2022, from </w:t>
      </w:r>
      <w:hyperlink r:id="rId43" w:history="1">
        <w:r w:rsidRPr="00D86D2F">
          <w:rPr>
            <w:rStyle w:val="Hyperlink"/>
            <w:rFonts w:ascii="Arial" w:hAnsi="Arial" w:cs="Arial"/>
          </w:rPr>
          <w:t>https://doi.org/10.1093/intqhc/mzaa025</w:t>
        </w:r>
      </w:hyperlink>
      <w:r w:rsidRPr="00D86D2F">
        <w:rPr>
          <w:rFonts w:ascii="Arial" w:hAnsi="Arial" w:cs="Arial"/>
        </w:rPr>
        <w:t xml:space="preserve">  </w:t>
      </w:r>
    </w:p>
    <w:p w14:paraId="178D2969"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Ogbonnaya</w:t>
      </w:r>
      <w:proofErr w:type="spellEnd"/>
      <w:r w:rsidRPr="00D86D2F">
        <w:rPr>
          <w:rFonts w:ascii="Arial" w:hAnsi="Arial" w:cs="Arial"/>
        </w:rPr>
        <w:t xml:space="preserve">, C., &amp; Babalola, M. T. (2021). </w:t>
      </w:r>
      <w:r w:rsidRPr="00D86D2F">
        <w:rPr>
          <w:rFonts w:ascii="Arial" w:hAnsi="Arial" w:cs="Arial"/>
          <w:i/>
          <w:iCs/>
        </w:rPr>
        <w:t>A closer look at how managerial support can help improve patient experience: Insights from the UK’s National Health Service</w:t>
      </w:r>
      <w:r w:rsidRPr="00D86D2F">
        <w:rPr>
          <w:rFonts w:ascii="Arial" w:hAnsi="Arial" w:cs="Arial"/>
        </w:rPr>
        <w:t xml:space="preserve">. Human relations, 74(11), 1820-1840. Retrieved November 18, 2022, from </w:t>
      </w:r>
      <w:hyperlink r:id="rId44" w:history="1">
        <w:r w:rsidRPr="00D86D2F">
          <w:rPr>
            <w:rStyle w:val="Hyperlink"/>
            <w:rFonts w:ascii="Arial" w:hAnsi="Arial" w:cs="Arial"/>
          </w:rPr>
          <w:t>https://doi.org/10.1177/001872672093883</w:t>
        </w:r>
      </w:hyperlink>
      <w:r w:rsidRPr="00D86D2F">
        <w:rPr>
          <w:rFonts w:ascii="Arial" w:hAnsi="Arial" w:cs="Arial"/>
        </w:rPr>
        <w:t xml:space="preserve">  </w:t>
      </w:r>
    </w:p>
    <w:p w14:paraId="1D7A7165" w14:textId="77777777" w:rsidR="00D86D2F" w:rsidRPr="00D86D2F" w:rsidRDefault="00D86D2F" w:rsidP="00D86D2F">
      <w:pPr>
        <w:spacing w:line="240" w:lineRule="auto"/>
        <w:rPr>
          <w:rFonts w:ascii="Arial" w:hAnsi="Arial" w:cs="Arial"/>
        </w:rPr>
      </w:pPr>
      <w:r w:rsidRPr="00D86D2F">
        <w:rPr>
          <w:rFonts w:ascii="Arial" w:hAnsi="Arial" w:cs="Arial"/>
        </w:rPr>
        <w:t xml:space="preserve">O'Sullivan, O. P., Chang, N. H., Baker, P., &amp; Shah, A. (2020). </w:t>
      </w:r>
      <w:r w:rsidRPr="00D86D2F">
        <w:rPr>
          <w:rFonts w:ascii="Arial" w:hAnsi="Arial" w:cs="Arial"/>
          <w:i/>
          <w:iCs/>
        </w:rPr>
        <w:t>Quality improvement at East London NHS Foundation Trust: the pathway to embedding lasting change</w:t>
      </w:r>
      <w:r w:rsidRPr="00D86D2F">
        <w:rPr>
          <w:rFonts w:ascii="Arial" w:hAnsi="Arial" w:cs="Arial"/>
        </w:rPr>
        <w:t xml:space="preserve">. International Journal of Health Governance. Retrieved November 21, 2022, from </w:t>
      </w:r>
      <w:hyperlink r:id="rId45" w:history="1">
        <w:r w:rsidRPr="00D86D2F">
          <w:rPr>
            <w:rStyle w:val="Hyperlink"/>
            <w:rFonts w:ascii="Arial" w:hAnsi="Arial" w:cs="Arial"/>
          </w:rPr>
          <w:t>https://doi.org/10.1108/IJHG-07-2020-0085</w:t>
        </w:r>
      </w:hyperlink>
      <w:r w:rsidRPr="00D86D2F">
        <w:rPr>
          <w:rFonts w:ascii="Arial" w:hAnsi="Arial" w:cs="Arial"/>
        </w:rPr>
        <w:t xml:space="preserve">  </w:t>
      </w:r>
    </w:p>
    <w:p w14:paraId="7D5CF7C5" w14:textId="77777777" w:rsidR="00D86D2F" w:rsidRPr="00D86D2F" w:rsidRDefault="00D86D2F" w:rsidP="00D86D2F">
      <w:pPr>
        <w:rPr>
          <w:rStyle w:val="Hyperlink"/>
          <w:rFonts w:ascii="Arial" w:hAnsi="Arial" w:cs="Arial"/>
          <w:shd w:val="clear" w:color="auto" w:fill="FFFFFF"/>
          <w14:textFill>
            <w14:solidFill>
              <w14:srgbClr w14:val="0000FF">
                <w14:lumMod w14:val="75000"/>
              </w14:srgbClr>
            </w14:solidFill>
          </w14:textFill>
        </w:rPr>
      </w:pPr>
      <w:r w:rsidRPr="00D86D2F">
        <w:rPr>
          <w:rFonts w:ascii="Arial" w:hAnsi="Arial" w:cs="Arial"/>
          <w:shd w:val="clear" w:color="auto" w:fill="FFFFFF"/>
        </w:rPr>
        <w:t xml:space="preserve">Payne, A., &amp; Frow, P. (2005). </w:t>
      </w:r>
      <w:r w:rsidRPr="00D86D2F">
        <w:rPr>
          <w:rFonts w:ascii="Arial" w:hAnsi="Arial" w:cs="Arial"/>
          <w:i/>
          <w:iCs/>
          <w:shd w:val="clear" w:color="auto" w:fill="FFFFFF"/>
        </w:rPr>
        <w:t>A Strategic Framework for Customer Relationship Management. Journal of Marketing., 69(4), 167–176</w:t>
      </w:r>
      <w:r w:rsidRPr="00D86D2F">
        <w:rPr>
          <w:rFonts w:ascii="Arial" w:hAnsi="Arial" w:cs="Arial"/>
          <w:shd w:val="clear" w:color="auto" w:fill="FFFFFF"/>
        </w:rPr>
        <w:t xml:space="preserve">. Retrieved July 28, 2022, from, </w:t>
      </w:r>
      <w:hyperlink r:id="rId46" w:history="1">
        <w:r w:rsidRPr="00D86D2F">
          <w:rPr>
            <w:rStyle w:val="Hyperlink"/>
            <w:rFonts w:ascii="Arial" w:hAnsi="Arial" w:cs="Arial"/>
            <w:shd w:val="clear" w:color="auto" w:fill="FFFFFF"/>
            <w14:textFill>
              <w14:solidFill>
                <w14:srgbClr w14:val="0000FF">
                  <w14:lumMod w14:val="75000"/>
                </w14:srgbClr>
              </w14:solidFill>
            </w14:textFill>
          </w:rPr>
          <w:t>https://doi.org/10.1509/jmkg.2005.69.4.167</w:t>
        </w:r>
      </w:hyperlink>
    </w:p>
    <w:p w14:paraId="729A36BA" w14:textId="77777777" w:rsidR="00D86D2F" w:rsidRPr="00D86D2F" w:rsidRDefault="00D86D2F" w:rsidP="00D86D2F">
      <w:pPr>
        <w:spacing w:line="240" w:lineRule="auto"/>
        <w:rPr>
          <w:rFonts w:ascii="Arial" w:hAnsi="Arial" w:cs="Arial"/>
        </w:rPr>
      </w:pPr>
      <w:r w:rsidRPr="00D86D2F">
        <w:rPr>
          <w:rFonts w:ascii="Arial" w:hAnsi="Arial" w:cs="Arial"/>
        </w:rPr>
        <w:t xml:space="preserve">Pollock, A., Campbell, P., Cheyne, J., Cowie, J., Davis, B., McCallum, J., ... &amp; Maxwell, M. (2020). </w:t>
      </w:r>
      <w:r w:rsidRPr="00D86D2F">
        <w:rPr>
          <w:rFonts w:ascii="Arial" w:hAnsi="Arial" w:cs="Arial"/>
          <w:i/>
          <w:iCs/>
        </w:rPr>
        <w:t>Interventions to support the resilience and mental health of frontline health and social care professionals during and after a disease outbreak, epidemic or pandemic: a mixed methods systematic review.</w:t>
      </w:r>
      <w:r w:rsidRPr="00D86D2F">
        <w:rPr>
          <w:rFonts w:ascii="Arial" w:hAnsi="Arial" w:cs="Arial"/>
        </w:rPr>
        <w:t xml:space="preserve"> Cochrane Database of Systematic Reviews, (11). Retrieved November 16, 2022, from </w:t>
      </w:r>
      <w:hyperlink r:id="rId47" w:history="1">
        <w:r w:rsidRPr="00D86D2F">
          <w:rPr>
            <w:rStyle w:val="Hyperlink"/>
            <w:rFonts w:ascii="Arial" w:hAnsi="Arial" w:cs="Arial"/>
          </w:rPr>
          <w:t>https://doi.org/10.1002/14651858.CD013779</w:t>
        </w:r>
      </w:hyperlink>
      <w:r w:rsidRPr="00D86D2F">
        <w:rPr>
          <w:rFonts w:ascii="Arial" w:hAnsi="Arial" w:cs="Arial"/>
        </w:rPr>
        <w:t xml:space="preserve">  </w:t>
      </w:r>
    </w:p>
    <w:p w14:paraId="213268A5"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Regmi</w:t>
      </w:r>
      <w:proofErr w:type="spellEnd"/>
      <w:r w:rsidRPr="00D86D2F">
        <w:rPr>
          <w:rFonts w:ascii="Arial" w:hAnsi="Arial" w:cs="Arial"/>
        </w:rPr>
        <w:t xml:space="preserve">, K., &amp; Jones, L. (2020). </w:t>
      </w:r>
      <w:r w:rsidRPr="00D86D2F">
        <w:rPr>
          <w:rFonts w:ascii="Arial" w:hAnsi="Arial" w:cs="Arial"/>
          <w:i/>
          <w:iCs/>
        </w:rPr>
        <w:t>A systematic review of the factors–enablers and barriers–affecting e-learning in health sciences education</w:t>
      </w:r>
      <w:r w:rsidRPr="00D86D2F">
        <w:rPr>
          <w:rFonts w:ascii="Arial" w:hAnsi="Arial" w:cs="Arial"/>
        </w:rPr>
        <w:t xml:space="preserve">. BMC medical education, 20(1), 1-18. Retrieved November 19, 2022, from </w:t>
      </w:r>
      <w:hyperlink r:id="rId48" w:history="1">
        <w:r w:rsidRPr="00D86D2F">
          <w:rPr>
            <w:rStyle w:val="Hyperlink"/>
            <w:rFonts w:ascii="Arial" w:hAnsi="Arial" w:cs="Arial"/>
          </w:rPr>
          <w:t>https://doi.org/10.1186/s12909-020-02007-6</w:t>
        </w:r>
      </w:hyperlink>
      <w:r w:rsidRPr="00D86D2F">
        <w:rPr>
          <w:rFonts w:ascii="Arial" w:hAnsi="Arial" w:cs="Arial"/>
        </w:rPr>
        <w:t xml:space="preserve">  </w:t>
      </w:r>
    </w:p>
    <w:p w14:paraId="25E54B26" w14:textId="77777777" w:rsidR="00D86D2F" w:rsidRPr="00D86D2F" w:rsidRDefault="00D86D2F" w:rsidP="00D86D2F">
      <w:pPr>
        <w:spacing w:line="240" w:lineRule="auto"/>
        <w:rPr>
          <w:rFonts w:ascii="Arial" w:hAnsi="Arial" w:cs="Arial"/>
        </w:rPr>
      </w:pPr>
      <w:proofErr w:type="spellStart"/>
      <w:r w:rsidRPr="00D86D2F">
        <w:rPr>
          <w:rFonts w:ascii="Arial" w:hAnsi="Arial" w:cs="Arial"/>
        </w:rPr>
        <w:t>Rudebeck</w:t>
      </w:r>
      <w:proofErr w:type="spellEnd"/>
      <w:r w:rsidRPr="00D86D2F">
        <w:rPr>
          <w:rFonts w:ascii="Arial" w:hAnsi="Arial" w:cs="Arial"/>
        </w:rPr>
        <w:t xml:space="preserve">, C. E. (2019). </w:t>
      </w:r>
      <w:r w:rsidRPr="00D86D2F">
        <w:rPr>
          <w:rFonts w:ascii="Arial" w:hAnsi="Arial" w:cs="Arial"/>
          <w:i/>
          <w:iCs/>
        </w:rPr>
        <w:t xml:space="preserve">Relationship based care–how general practice developed and why it </w:t>
      </w:r>
      <w:proofErr w:type="gramStart"/>
      <w:r w:rsidRPr="00D86D2F">
        <w:rPr>
          <w:rFonts w:ascii="Arial" w:hAnsi="Arial" w:cs="Arial"/>
          <w:i/>
          <w:iCs/>
        </w:rPr>
        <w:t>is undermined</w:t>
      </w:r>
      <w:proofErr w:type="gramEnd"/>
      <w:r w:rsidRPr="00D86D2F">
        <w:rPr>
          <w:rFonts w:ascii="Arial" w:hAnsi="Arial" w:cs="Arial"/>
          <w:i/>
          <w:iCs/>
        </w:rPr>
        <w:t xml:space="preserve"> within contemporary healthcare systems</w:t>
      </w:r>
      <w:r w:rsidRPr="00D86D2F">
        <w:rPr>
          <w:rFonts w:ascii="Arial" w:hAnsi="Arial" w:cs="Arial"/>
        </w:rPr>
        <w:t xml:space="preserve">. Scandinavian Journal of Primary Health Care, 37(3), 335-344. Retrieved December 1, 2022, from </w:t>
      </w:r>
      <w:hyperlink r:id="rId49" w:history="1">
        <w:r w:rsidRPr="00D86D2F">
          <w:rPr>
            <w:rStyle w:val="Hyperlink"/>
            <w:rFonts w:ascii="Arial" w:hAnsi="Arial" w:cs="Arial"/>
          </w:rPr>
          <w:t>https://doi.org/10.1080/02813432.2019.1639909</w:t>
        </w:r>
      </w:hyperlink>
      <w:r w:rsidRPr="00D86D2F">
        <w:rPr>
          <w:rFonts w:ascii="Arial" w:hAnsi="Arial" w:cs="Arial"/>
        </w:rPr>
        <w:t xml:space="preserve">  </w:t>
      </w:r>
    </w:p>
    <w:p w14:paraId="6880B609" w14:textId="77777777" w:rsidR="00D86D2F" w:rsidRPr="00D86D2F" w:rsidRDefault="00D86D2F" w:rsidP="00D86D2F">
      <w:pPr>
        <w:spacing w:line="240" w:lineRule="auto"/>
        <w:rPr>
          <w:rFonts w:ascii="Arial" w:hAnsi="Arial" w:cs="Arial"/>
        </w:rPr>
      </w:pPr>
      <w:r w:rsidRPr="00D86D2F">
        <w:rPr>
          <w:rFonts w:ascii="Arial" w:hAnsi="Arial" w:cs="Arial"/>
        </w:rPr>
        <w:lastRenderedPageBreak/>
        <w:t xml:space="preserve">Sage, G. C. (1991). </w:t>
      </w:r>
      <w:r w:rsidRPr="00D86D2F">
        <w:rPr>
          <w:rFonts w:ascii="Arial" w:hAnsi="Arial" w:cs="Arial"/>
          <w:i/>
          <w:iCs/>
        </w:rPr>
        <w:t>Customers and the NHS.</w:t>
      </w:r>
      <w:r w:rsidRPr="00D86D2F">
        <w:rPr>
          <w:rFonts w:ascii="Arial" w:hAnsi="Arial" w:cs="Arial"/>
        </w:rPr>
        <w:t xml:space="preserve"> International Journal of Health Care Quality Assurance.</w:t>
      </w:r>
    </w:p>
    <w:p w14:paraId="2CD4712E" w14:textId="77777777" w:rsidR="00D86D2F" w:rsidRPr="00D86D2F" w:rsidRDefault="00D86D2F" w:rsidP="00D86D2F">
      <w:pPr>
        <w:spacing w:line="240" w:lineRule="auto"/>
        <w:rPr>
          <w:rFonts w:ascii="Arial" w:hAnsi="Arial" w:cs="Arial"/>
        </w:rPr>
      </w:pPr>
      <w:r w:rsidRPr="00D86D2F">
        <w:rPr>
          <w:rFonts w:ascii="Arial" w:hAnsi="Arial" w:cs="Arial"/>
        </w:rPr>
        <w:t xml:space="preserve">Shen, N., Bernier, T., </w:t>
      </w:r>
      <w:proofErr w:type="spellStart"/>
      <w:r w:rsidRPr="00D86D2F">
        <w:rPr>
          <w:rFonts w:ascii="Arial" w:hAnsi="Arial" w:cs="Arial"/>
        </w:rPr>
        <w:t>Sequeira</w:t>
      </w:r>
      <w:proofErr w:type="spellEnd"/>
      <w:r w:rsidRPr="00D86D2F">
        <w:rPr>
          <w:rFonts w:ascii="Arial" w:hAnsi="Arial" w:cs="Arial"/>
        </w:rPr>
        <w:t xml:space="preserve">, L., Strauss, J., Silver, M. P., Carter-Langford, A., &amp; </w:t>
      </w:r>
      <w:proofErr w:type="spellStart"/>
      <w:r w:rsidRPr="00D86D2F">
        <w:rPr>
          <w:rFonts w:ascii="Arial" w:hAnsi="Arial" w:cs="Arial"/>
        </w:rPr>
        <w:t>Wiljer</w:t>
      </w:r>
      <w:proofErr w:type="spellEnd"/>
      <w:r w:rsidRPr="00D86D2F">
        <w:rPr>
          <w:rFonts w:ascii="Arial" w:hAnsi="Arial" w:cs="Arial"/>
        </w:rPr>
        <w:t xml:space="preserve">, D. (2019). </w:t>
      </w:r>
      <w:r w:rsidRPr="00D86D2F">
        <w:rPr>
          <w:rFonts w:ascii="Arial" w:hAnsi="Arial" w:cs="Arial"/>
          <w:i/>
          <w:iCs/>
        </w:rPr>
        <w:t>Understanding the patient privacy perspective on health information exchange: a systematic review</w:t>
      </w:r>
      <w:r w:rsidRPr="00D86D2F">
        <w:rPr>
          <w:rFonts w:ascii="Arial" w:hAnsi="Arial" w:cs="Arial"/>
        </w:rPr>
        <w:t xml:space="preserve">. International journal of medical informatics, 125, 1-12. Retrieved November 11, 2022, from </w:t>
      </w:r>
      <w:hyperlink r:id="rId50" w:history="1">
        <w:r w:rsidRPr="00D86D2F">
          <w:rPr>
            <w:rStyle w:val="Hyperlink"/>
            <w:rFonts w:ascii="Arial" w:hAnsi="Arial" w:cs="Arial"/>
          </w:rPr>
          <w:t>https://doi.org/10.1016/j.ijmedinf.2019.01.014</w:t>
        </w:r>
      </w:hyperlink>
      <w:r w:rsidRPr="00D86D2F">
        <w:rPr>
          <w:rFonts w:ascii="Arial" w:hAnsi="Arial" w:cs="Arial"/>
        </w:rPr>
        <w:t xml:space="preserve">  </w:t>
      </w:r>
    </w:p>
    <w:p w14:paraId="6D06B97D" w14:textId="77777777" w:rsidR="00D86D2F" w:rsidRPr="00D86D2F" w:rsidRDefault="00D86D2F" w:rsidP="00D86D2F">
      <w:pPr>
        <w:spacing w:line="240" w:lineRule="auto"/>
        <w:rPr>
          <w:rFonts w:ascii="Arial" w:hAnsi="Arial" w:cs="Arial"/>
        </w:rPr>
      </w:pPr>
      <w:r w:rsidRPr="00D86D2F">
        <w:rPr>
          <w:rFonts w:ascii="Arial" w:hAnsi="Arial" w:cs="Arial"/>
        </w:rPr>
        <w:t xml:space="preserve">Taylor, F., Halter, M., &amp; Drennan, V. M. (2019). </w:t>
      </w:r>
      <w:r w:rsidRPr="00D86D2F">
        <w:rPr>
          <w:rFonts w:ascii="Arial" w:hAnsi="Arial" w:cs="Arial"/>
          <w:i/>
          <w:iCs/>
        </w:rPr>
        <w:t>Understanding patients’ satisfaction with physician assistant/associate encounters through communication experiences: A qualitative study in acute hospitals in England.</w:t>
      </w:r>
      <w:r w:rsidRPr="00D86D2F">
        <w:rPr>
          <w:rFonts w:ascii="Arial" w:hAnsi="Arial" w:cs="Arial"/>
        </w:rPr>
        <w:t xml:space="preserve"> BMC Health Services Research, 19(1). Retrieved November 11, 2022, from </w:t>
      </w:r>
      <w:hyperlink r:id="rId51" w:history="1">
        <w:r w:rsidRPr="00D86D2F">
          <w:rPr>
            <w:rStyle w:val="Hyperlink"/>
            <w:rFonts w:ascii="Arial" w:hAnsi="Arial" w:cs="Arial"/>
          </w:rPr>
          <w:t>https://doi.org/10.1186/s12913-019-4410-9</w:t>
        </w:r>
      </w:hyperlink>
      <w:r w:rsidRPr="00D86D2F">
        <w:rPr>
          <w:rFonts w:ascii="Arial" w:hAnsi="Arial" w:cs="Arial"/>
        </w:rPr>
        <w:t xml:space="preserve">  </w:t>
      </w:r>
    </w:p>
    <w:p w14:paraId="3606F110" w14:textId="77777777" w:rsidR="00D86D2F" w:rsidRPr="00D86D2F" w:rsidRDefault="00D86D2F" w:rsidP="00D86D2F">
      <w:pPr>
        <w:spacing w:line="240" w:lineRule="auto"/>
        <w:rPr>
          <w:rFonts w:ascii="Arial" w:hAnsi="Arial" w:cs="Arial"/>
        </w:rPr>
      </w:pPr>
      <w:r w:rsidRPr="00D86D2F">
        <w:rPr>
          <w:rFonts w:ascii="Arial" w:hAnsi="Arial" w:cs="Arial"/>
        </w:rPr>
        <w:t xml:space="preserve">Waring, J., &amp; Martin, G. (2018). </w:t>
      </w:r>
      <w:r w:rsidRPr="00D86D2F">
        <w:rPr>
          <w:rFonts w:ascii="Arial" w:hAnsi="Arial" w:cs="Arial"/>
          <w:i/>
          <w:iCs/>
        </w:rPr>
        <w:t>Network leadership as pastoral power: The governance of quality improvement communities in the English National Health Service</w:t>
      </w:r>
      <w:r w:rsidRPr="00D86D2F">
        <w:rPr>
          <w:rFonts w:ascii="Arial" w:hAnsi="Arial" w:cs="Arial"/>
        </w:rPr>
        <w:t xml:space="preserve">. In Governmentality after neoliberalism (pp. 135-151). Routledge. </w:t>
      </w:r>
    </w:p>
    <w:p w14:paraId="435AC802" w14:textId="77777777" w:rsidR="00D86D2F" w:rsidRDefault="00D86D2F" w:rsidP="00D86D2F">
      <w:pPr>
        <w:spacing w:line="240" w:lineRule="auto"/>
      </w:pPr>
    </w:p>
    <w:p w14:paraId="3B28B415" w14:textId="2153B419" w:rsidR="0030173B" w:rsidRPr="00D86D2F" w:rsidRDefault="0030173B" w:rsidP="003F69D6">
      <w:pPr>
        <w:rPr>
          <w:rFonts w:ascii="Arial" w:hAnsi="Arial" w:cs="Arial"/>
          <w:color w:val="5B9BD5" w:themeColor="accent1"/>
        </w:rPr>
      </w:pPr>
    </w:p>
    <w:p w14:paraId="2330EF23" w14:textId="2752D334" w:rsidR="00BD1966" w:rsidRPr="00D86D2F" w:rsidRDefault="00BD1966" w:rsidP="003F69D6">
      <w:pPr>
        <w:rPr>
          <w:rFonts w:ascii="Arial" w:hAnsi="Arial" w:cs="Arial"/>
          <w:color w:val="5B9BD5" w:themeColor="accent1"/>
        </w:rPr>
      </w:pPr>
    </w:p>
    <w:p w14:paraId="2F7D424A" w14:textId="365B54C8" w:rsidR="00BD1966" w:rsidRPr="00D86D2F" w:rsidRDefault="00BD1966" w:rsidP="003F69D6">
      <w:pPr>
        <w:rPr>
          <w:rFonts w:ascii="Arial" w:hAnsi="Arial" w:cs="Arial"/>
          <w:color w:val="5B9BD5" w:themeColor="accent1"/>
        </w:rPr>
      </w:pPr>
    </w:p>
    <w:p w14:paraId="68D03EBE" w14:textId="37151D13" w:rsidR="00BD1966" w:rsidRPr="00D86D2F" w:rsidRDefault="00BD1966" w:rsidP="003F69D6">
      <w:pPr>
        <w:rPr>
          <w:rFonts w:ascii="Arial" w:hAnsi="Arial" w:cs="Arial"/>
          <w:color w:val="5B9BD5" w:themeColor="accent1"/>
        </w:rPr>
      </w:pPr>
    </w:p>
    <w:p w14:paraId="4009446F" w14:textId="71362DD4" w:rsidR="00BD1966" w:rsidRPr="00D86D2F" w:rsidRDefault="00BD1966" w:rsidP="003F69D6">
      <w:pPr>
        <w:rPr>
          <w:rFonts w:ascii="Arial" w:hAnsi="Arial" w:cs="Arial"/>
          <w:color w:val="5B9BD5" w:themeColor="accent1"/>
        </w:rPr>
      </w:pPr>
    </w:p>
    <w:p w14:paraId="46891D9E" w14:textId="32827AF7" w:rsidR="00BD1966" w:rsidRPr="00D86D2F" w:rsidRDefault="00BD1966" w:rsidP="003F69D6">
      <w:pPr>
        <w:rPr>
          <w:rFonts w:ascii="Arial" w:hAnsi="Arial" w:cs="Arial"/>
          <w:color w:val="5B9BD5" w:themeColor="accent1"/>
        </w:rPr>
      </w:pPr>
    </w:p>
    <w:p w14:paraId="52B417AB" w14:textId="2A1A48C5" w:rsidR="00BD1966" w:rsidRPr="00D86D2F" w:rsidRDefault="00BD1966" w:rsidP="003F69D6">
      <w:pPr>
        <w:rPr>
          <w:rFonts w:ascii="Arial" w:hAnsi="Arial" w:cs="Arial"/>
          <w:color w:val="5B9BD5" w:themeColor="accent1"/>
        </w:rPr>
      </w:pPr>
    </w:p>
    <w:p w14:paraId="4D66842F" w14:textId="5FDDA810" w:rsidR="00BD1966" w:rsidRPr="00D86D2F" w:rsidRDefault="00BD1966" w:rsidP="003F69D6">
      <w:pPr>
        <w:rPr>
          <w:rFonts w:ascii="Arial" w:hAnsi="Arial" w:cs="Arial"/>
          <w:color w:val="5B9BD5" w:themeColor="accent1"/>
        </w:rPr>
      </w:pPr>
    </w:p>
    <w:p w14:paraId="5585457A" w14:textId="24C203FC" w:rsidR="00BD1966" w:rsidRPr="00D86D2F" w:rsidRDefault="00BD1966" w:rsidP="003F69D6">
      <w:pPr>
        <w:rPr>
          <w:rFonts w:ascii="Arial" w:hAnsi="Arial" w:cs="Arial"/>
          <w:color w:val="5B9BD5" w:themeColor="accent1"/>
        </w:rPr>
      </w:pPr>
    </w:p>
    <w:p w14:paraId="421F9956" w14:textId="10B50057" w:rsidR="00BD1966" w:rsidRPr="00D86D2F" w:rsidRDefault="00BD1966" w:rsidP="003F69D6">
      <w:pPr>
        <w:rPr>
          <w:rFonts w:ascii="Arial" w:hAnsi="Arial" w:cs="Arial"/>
          <w:color w:val="5B9BD5" w:themeColor="accent1"/>
        </w:rPr>
      </w:pPr>
    </w:p>
    <w:p w14:paraId="0ADAB451" w14:textId="4299AD4A" w:rsidR="00BD1966" w:rsidRPr="00D86D2F" w:rsidRDefault="00BD1966" w:rsidP="003F69D6">
      <w:pPr>
        <w:rPr>
          <w:rFonts w:ascii="Arial" w:hAnsi="Arial" w:cs="Arial"/>
          <w:color w:val="5B9BD5" w:themeColor="accent1"/>
        </w:rPr>
      </w:pPr>
    </w:p>
    <w:p w14:paraId="1C99C8AD" w14:textId="4C155160" w:rsidR="00BD1966" w:rsidRPr="00D86D2F" w:rsidRDefault="00BD1966" w:rsidP="003F69D6">
      <w:pPr>
        <w:rPr>
          <w:rFonts w:ascii="Arial" w:hAnsi="Arial" w:cs="Arial"/>
          <w:color w:val="5B9BD5" w:themeColor="accent1"/>
        </w:rPr>
      </w:pPr>
    </w:p>
    <w:p w14:paraId="68DFA691" w14:textId="0A725BA9" w:rsidR="00BD1966" w:rsidRPr="00D86D2F" w:rsidRDefault="00BD1966" w:rsidP="003F69D6">
      <w:pPr>
        <w:rPr>
          <w:rFonts w:ascii="Arial" w:hAnsi="Arial" w:cs="Arial"/>
          <w:color w:val="5B9BD5" w:themeColor="accent1"/>
        </w:rPr>
      </w:pPr>
    </w:p>
    <w:p w14:paraId="6033289A" w14:textId="539633A5" w:rsidR="00BD1966" w:rsidRPr="00D86D2F" w:rsidRDefault="00BD1966" w:rsidP="003F69D6">
      <w:pPr>
        <w:rPr>
          <w:rFonts w:ascii="Arial" w:hAnsi="Arial" w:cs="Arial"/>
          <w:color w:val="5B9BD5" w:themeColor="accent1"/>
        </w:rPr>
      </w:pPr>
    </w:p>
    <w:p w14:paraId="44483528" w14:textId="7C4848E0" w:rsidR="00BD1966" w:rsidRPr="00D86D2F" w:rsidRDefault="00BD1966" w:rsidP="003F69D6">
      <w:pPr>
        <w:rPr>
          <w:rFonts w:ascii="Arial" w:hAnsi="Arial" w:cs="Arial"/>
          <w:color w:val="5B9BD5" w:themeColor="accent1"/>
        </w:rPr>
      </w:pPr>
    </w:p>
    <w:p w14:paraId="7C20C5DD" w14:textId="43F52682" w:rsidR="00BD1966" w:rsidRPr="00D86D2F" w:rsidRDefault="00BD1966" w:rsidP="003F69D6">
      <w:pPr>
        <w:rPr>
          <w:rFonts w:ascii="Arial" w:hAnsi="Arial" w:cs="Arial"/>
          <w:color w:val="5B9BD5" w:themeColor="accent1"/>
        </w:rPr>
      </w:pPr>
    </w:p>
    <w:p w14:paraId="2ED30F49" w14:textId="00027D7B" w:rsidR="00BD1966" w:rsidRPr="00D86D2F" w:rsidRDefault="00BD1966" w:rsidP="003F69D6">
      <w:pPr>
        <w:rPr>
          <w:rFonts w:ascii="Arial" w:hAnsi="Arial" w:cs="Arial"/>
          <w:color w:val="5B9BD5" w:themeColor="accent1"/>
        </w:rPr>
      </w:pPr>
    </w:p>
    <w:p w14:paraId="7A948D07" w14:textId="3B1E988C" w:rsidR="00BD1966" w:rsidRPr="00D86D2F" w:rsidRDefault="00BD1966" w:rsidP="003F69D6">
      <w:pPr>
        <w:rPr>
          <w:rFonts w:ascii="Arial" w:hAnsi="Arial" w:cs="Arial"/>
          <w:color w:val="5B9BD5" w:themeColor="accent1"/>
        </w:rPr>
      </w:pPr>
    </w:p>
    <w:p w14:paraId="1FCEF82C" w14:textId="0AFF7B8B" w:rsidR="00BD1966" w:rsidRPr="00D86D2F" w:rsidRDefault="00BD1966" w:rsidP="003F69D6">
      <w:pPr>
        <w:rPr>
          <w:rFonts w:ascii="Arial" w:hAnsi="Arial" w:cs="Arial"/>
          <w:color w:val="5B9BD5" w:themeColor="accent1"/>
        </w:rPr>
      </w:pPr>
    </w:p>
    <w:p w14:paraId="7B36D121" w14:textId="77777777" w:rsidR="00BD1966" w:rsidRPr="00D86D2F" w:rsidRDefault="00BD1966" w:rsidP="003F69D6">
      <w:pPr>
        <w:rPr>
          <w:rFonts w:ascii="Arial" w:hAnsi="Arial" w:cs="Arial"/>
          <w:color w:val="5B9BD5" w:themeColor="accent1"/>
          <w:sz w:val="24"/>
          <w:szCs w:val="24"/>
          <w:shd w:val="clear" w:color="auto" w:fill="FFFFFF"/>
        </w:rPr>
      </w:pPr>
    </w:p>
    <w:p w14:paraId="7910447C" w14:textId="71654EAD" w:rsidR="00E024B9" w:rsidRPr="00D86D2F" w:rsidRDefault="003F69D6" w:rsidP="00B21C04">
      <w:pPr>
        <w:pStyle w:val="Heading2"/>
        <w:rPr>
          <w:rFonts w:ascii="Arial" w:hAnsi="Arial" w:cs="Arial"/>
          <w:color w:val="5B9BD5" w:themeColor="accent1"/>
          <w:sz w:val="32"/>
          <w:szCs w:val="32"/>
        </w:rPr>
      </w:pPr>
      <w:bookmarkStart w:id="32" w:name="_Hlk110078572"/>
      <w:r w:rsidRPr="00D86D2F">
        <w:rPr>
          <w:rFonts w:ascii="Arial" w:hAnsi="Arial" w:cs="Arial"/>
          <w:color w:val="5B9BD5" w:themeColor="accent1"/>
          <w:sz w:val="32"/>
          <w:szCs w:val="32"/>
        </w:rPr>
        <w:lastRenderedPageBreak/>
        <w:t xml:space="preserve"> </w:t>
      </w:r>
      <w:bookmarkStart w:id="33" w:name="_Toc121050378"/>
      <w:r w:rsidR="002049FE" w:rsidRPr="00D86D2F">
        <w:rPr>
          <w:rFonts w:ascii="Arial" w:hAnsi="Arial" w:cs="Arial"/>
          <w:color w:val="5B9BD5" w:themeColor="accent1"/>
          <w:sz w:val="32"/>
          <w:szCs w:val="32"/>
        </w:rPr>
        <w:t>Appendix 1</w:t>
      </w:r>
      <w:bookmarkEnd w:id="33"/>
      <w:r w:rsidR="00F62728" w:rsidRPr="00D86D2F">
        <w:rPr>
          <w:rFonts w:ascii="Arial" w:hAnsi="Arial" w:cs="Arial"/>
          <w:color w:val="5B9BD5" w:themeColor="accent1"/>
          <w:sz w:val="32"/>
          <w:szCs w:val="32"/>
        </w:rPr>
        <w:t xml:space="preserve"> </w:t>
      </w:r>
      <w:bookmarkEnd w:id="32"/>
    </w:p>
    <w:p w14:paraId="56883629" w14:textId="4292B1B7" w:rsidR="00C86431" w:rsidRPr="00D86D2F" w:rsidRDefault="00C86431" w:rsidP="00C86431">
      <w:pPr>
        <w:rPr>
          <w:rFonts w:ascii="Arial" w:hAnsi="Arial" w:cs="Arial"/>
        </w:rPr>
      </w:pPr>
    </w:p>
    <w:p w14:paraId="10B885C3" w14:textId="77777777" w:rsidR="00C86431" w:rsidRPr="00C86431" w:rsidRDefault="00C86431" w:rsidP="00C86431"/>
    <w:p w14:paraId="723D1910" w14:textId="2CF77D1D" w:rsidR="00C86431" w:rsidRPr="00C86431" w:rsidRDefault="00C86431" w:rsidP="00C86431">
      <w:r w:rsidRPr="00B84C01">
        <w:rPr>
          <w:rFonts w:cs="Times New Roman"/>
          <w:noProof/>
          <w:szCs w:val="24"/>
        </w:rPr>
        <w:drawing>
          <wp:inline distT="0" distB="0" distL="0" distR="0" wp14:anchorId="2D879695" wp14:editId="3E2A21F3">
            <wp:extent cx="5943600" cy="5635625"/>
            <wp:effectExtent l="0" t="0" r="0" b="3175"/>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52"/>
                    <a:stretch>
                      <a:fillRect/>
                    </a:stretch>
                  </pic:blipFill>
                  <pic:spPr>
                    <a:xfrm>
                      <a:off x="0" y="0"/>
                      <a:ext cx="5943600" cy="5635625"/>
                    </a:xfrm>
                    <a:prstGeom prst="rect">
                      <a:avLst/>
                    </a:prstGeom>
                  </pic:spPr>
                </pic:pic>
              </a:graphicData>
            </a:graphic>
          </wp:inline>
        </w:drawing>
      </w:r>
    </w:p>
    <w:sectPr w:rsidR="00C86431" w:rsidRPr="00C86431" w:rsidSect="00DF2AB7">
      <w:footerReference w:type="default" r:id="rId5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260768" w14:textId="77777777" w:rsidR="00587F1D" w:rsidRDefault="00587F1D" w:rsidP="00DF2AB7">
      <w:pPr>
        <w:spacing w:after="0" w:line="240" w:lineRule="auto"/>
      </w:pPr>
      <w:r>
        <w:separator/>
      </w:r>
    </w:p>
  </w:endnote>
  <w:endnote w:type="continuationSeparator" w:id="0">
    <w:p w14:paraId="66BA914C" w14:textId="77777777" w:rsidR="00587F1D" w:rsidRDefault="00587F1D" w:rsidP="00DF2A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6577919"/>
      <w:docPartObj>
        <w:docPartGallery w:val="Page Numbers (Bottom of Page)"/>
        <w:docPartUnique/>
      </w:docPartObj>
    </w:sdtPr>
    <w:sdtEndPr>
      <w:rPr>
        <w:noProof/>
      </w:rPr>
    </w:sdtEndPr>
    <w:sdtContent>
      <w:p w14:paraId="58FF8642" w14:textId="041E1793" w:rsidR="00DF2AB7" w:rsidRDefault="00DF2A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A220EB" w14:textId="77777777" w:rsidR="00DF2AB7" w:rsidRDefault="00DF2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2D06C4" w14:textId="77777777" w:rsidR="00587F1D" w:rsidRDefault="00587F1D" w:rsidP="00DF2AB7">
      <w:pPr>
        <w:spacing w:after="0" w:line="240" w:lineRule="auto"/>
      </w:pPr>
      <w:r>
        <w:separator/>
      </w:r>
    </w:p>
  </w:footnote>
  <w:footnote w:type="continuationSeparator" w:id="0">
    <w:p w14:paraId="2FC86C7F" w14:textId="77777777" w:rsidR="00587F1D" w:rsidRDefault="00587F1D" w:rsidP="00DF2A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7E67AE"/>
    <w:multiLevelType w:val="hybridMultilevel"/>
    <w:tmpl w:val="BA8C29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8036EA4"/>
    <w:multiLevelType w:val="hybridMultilevel"/>
    <w:tmpl w:val="9210E78C"/>
    <w:lvl w:ilvl="0" w:tplc="FD6829AA">
      <w:start w:val="1"/>
      <w:numFmt w:val="decimal"/>
      <w:lvlText w:val="%1."/>
      <w:lvlJc w:val="left"/>
      <w:pPr>
        <w:ind w:left="720" w:hanging="360"/>
      </w:pPr>
    </w:lvl>
    <w:lvl w:ilvl="1" w:tplc="A57C0D8E" w:tentative="1">
      <w:start w:val="1"/>
      <w:numFmt w:val="lowerLetter"/>
      <w:lvlText w:val="%2."/>
      <w:lvlJc w:val="left"/>
      <w:pPr>
        <w:ind w:left="1440" w:hanging="360"/>
      </w:pPr>
    </w:lvl>
    <w:lvl w:ilvl="2" w:tplc="52924038" w:tentative="1">
      <w:start w:val="1"/>
      <w:numFmt w:val="lowerRoman"/>
      <w:lvlText w:val="%3."/>
      <w:lvlJc w:val="right"/>
      <w:pPr>
        <w:ind w:left="2160" w:hanging="180"/>
      </w:pPr>
    </w:lvl>
    <w:lvl w:ilvl="3" w:tplc="0C0EF892" w:tentative="1">
      <w:start w:val="1"/>
      <w:numFmt w:val="decimal"/>
      <w:lvlText w:val="%4."/>
      <w:lvlJc w:val="left"/>
      <w:pPr>
        <w:ind w:left="2880" w:hanging="360"/>
      </w:pPr>
    </w:lvl>
    <w:lvl w:ilvl="4" w:tplc="B95C8C5A" w:tentative="1">
      <w:start w:val="1"/>
      <w:numFmt w:val="lowerLetter"/>
      <w:lvlText w:val="%5."/>
      <w:lvlJc w:val="left"/>
      <w:pPr>
        <w:ind w:left="3600" w:hanging="360"/>
      </w:pPr>
    </w:lvl>
    <w:lvl w:ilvl="5" w:tplc="E182D6E0" w:tentative="1">
      <w:start w:val="1"/>
      <w:numFmt w:val="lowerRoman"/>
      <w:lvlText w:val="%6."/>
      <w:lvlJc w:val="right"/>
      <w:pPr>
        <w:ind w:left="4320" w:hanging="180"/>
      </w:pPr>
    </w:lvl>
    <w:lvl w:ilvl="6" w:tplc="D3FE6664" w:tentative="1">
      <w:start w:val="1"/>
      <w:numFmt w:val="decimal"/>
      <w:lvlText w:val="%7."/>
      <w:lvlJc w:val="left"/>
      <w:pPr>
        <w:ind w:left="5040" w:hanging="360"/>
      </w:pPr>
    </w:lvl>
    <w:lvl w:ilvl="7" w:tplc="97B8EF42" w:tentative="1">
      <w:start w:val="1"/>
      <w:numFmt w:val="lowerLetter"/>
      <w:lvlText w:val="%8."/>
      <w:lvlJc w:val="left"/>
      <w:pPr>
        <w:ind w:left="5760" w:hanging="360"/>
      </w:pPr>
    </w:lvl>
    <w:lvl w:ilvl="8" w:tplc="39A2822E" w:tentative="1">
      <w:start w:val="1"/>
      <w:numFmt w:val="lowerRoman"/>
      <w:lvlText w:val="%9."/>
      <w:lvlJc w:val="right"/>
      <w:pPr>
        <w:ind w:left="6480" w:hanging="180"/>
      </w:p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243E92"/>
    <w:multiLevelType w:val="hybridMultilevel"/>
    <w:tmpl w:val="33D034C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25EF7F99"/>
    <w:multiLevelType w:val="hybridMultilevel"/>
    <w:tmpl w:val="BA8C29F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6181BBE"/>
    <w:multiLevelType w:val="hybridMultilevel"/>
    <w:tmpl w:val="E79E5238"/>
    <w:lvl w:ilvl="0" w:tplc="08090015">
      <w:start w:val="1"/>
      <w:numFmt w:val="upp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0" w15:restartNumberingAfterBreak="0">
    <w:nsid w:val="28422DCE"/>
    <w:multiLevelType w:val="hybridMultilevel"/>
    <w:tmpl w:val="0936A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A582F7C"/>
    <w:multiLevelType w:val="hybridMultilevel"/>
    <w:tmpl w:val="AA786D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4F4E34CC"/>
    <w:multiLevelType w:val="hybridMultilevel"/>
    <w:tmpl w:val="AD1470A0"/>
    <w:lvl w:ilvl="0" w:tplc="DA84AFC6">
      <w:start w:val="1"/>
      <w:numFmt w:val="lowerLetter"/>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FC47BC"/>
    <w:multiLevelType w:val="hybridMultilevel"/>
    <w:tmpl w:val="78FA82E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5C9C2719"/>
    <w:multiLevelType w:val="hybridMultilevel"/>
    <w:tmpl w:val="3566EAF6"/>
    <w:lvl w:ilvl="0" w:tplc="39C45F4A">
      <w:start w:val="1"/>
      <w:numFmt w:val="lowerLetter"/>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9" w15:restartNumberingAfterBreak="0">
    <w:nsid w:val="620405F6"/>
    <w:multiLevelType w:val="hybridMultilevel"/>
    <w:tmpl w:val="BA8C29F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BC8228E"/>
    <w:multiLevelType w:val="hybridMultilevel"/>
    <w:tmpl w:val="AE3246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EAB5F67"/>
    <w:multiLevelType w:val="hybridMultilevel"/>
    <w:tmpl w:val="8968EEB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104412"/>
    <w:multiLevelType w:val="hybridMultilevel"/>
    <w:tmpl w:val="B914D2D6"/>
    <w:lvl w:ilvl="0" w:tplc="C120838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BD74993"/>
    <w:multiLevelType w:val="hybridMultilevel"/>
    <w:tmpl w:val="1ACA24CE"/>
    <w:lvl w:ilvl="0" w:tplc="08090015">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7" w15:restartNumberingAfterBreak="0">
    <w:nsid w:val="7F29145A"/>
    <w:multiLevelType w:val="hybridMultilevel"/>
    <w:tmpl w:val="F5E04A90"/>
    <w:lvl w:ilvl="0" w:tplc="518E0A1A">
      <w:start w:val="1"/>
      <w:numFmt w:val="bullet"/>
      <w:lvlText w:val=""/>
      <w:lvlJc w:val="left"/>
      <w:pPr>
        <w:ind w:left="720" w:hanging="360"/>
      </w:pPr>
      <w:rPr>
        <w:rFonts w:ascii="Symbol" w:hAnsi="Symbol" w:hint="default"/>
      </w:rPr>
    </w:lvl>
    <w:lvl w:ilvl="1" w:tplc="C84E161E" w:tentative="1">
      <w:start w:val="1"/>
      <w:numFmt w:val="bullet"/>
      <w:lvlText w:val="o"/>
      <w:lvlJc w:val="left"/>
      <w:pPr>
        <w:ind w:left="1440" w:hanging="360"/>
      </w:pPr>
      <w:rPr>
        <w:rFonts w:ascii="Courier New" w:hAnsi="Courier New" w:cs="Courier New" w:hint="default"/>
      </w:rPr>
    </w:lvl>
    <w:lvl w:ilvl="2" w:tplc="E22EACEE" w:tentative="1">
      <w:start w:val="1"/>
      <w:numFmt w:val="bullet"/>
      <w:lvlText w:val=""/>
      <w:lvlJc w:val="left"/>
      <w:pPr>
        <w:ind w:left="2160" w:hanging="360"/>
      </w:pPr>
      <w:rPr>
        <w:rFonts w:ascii="Wingdings" w:hAnsi="Wingdings" w:hint="default"/>
      </w:rPr>
    </w:lvl>
    <w:lvl w:ilvl="3" w:tplc="B2DC543C" w:tentative="1">
      <w:start w:val="1"/>
      <w:numFmt w:val="bullet"/>
      <w:lvlText w:val=""/>
      <w:lvlJc w:val="left"/>
      <w:pPr>
        <w:ind w:left="2880" w:hanging="360"/>
      </w:pPr>
      <w:rPr>
        <w:rFonts w:ascii="Symbol" w:hAnsi="Symbol" w:hint="default"/>
      </w:rPr>
    </w:lvl>
    <w:lvl w:ilvl="4" w:tplc="DC4877DC" w:tentative="1">
      <w:start w:val="1"/>
      <w:numFmt w:val="bullet"/>
      <w:lvlText w:val="o"/>
      <w:lvlJc w:val="left"/>
      <w:pPr>
        <w:ind w:left="3600" w:hanging="360"/>
      </w:pPr>
      <w:rPr>
        <w:rFonts w:ascii="Courier New" w:hAnsi="Courier New" w:cs="Courier New" w:hint="default"/>
      </w:rPr>
    </w:lvl>
    <w:lvl w:ilvl="5" w:tplc="C9DA32F6" w:tentative="1">
      <w:start w:val="1"/>
      <w:numFmt w:val="bullet"/>
      <w:lvlText w:val=""/>
      <w:lvlJc w:val="left"/>
      <w:pPr>
        <w:ind w:left="4320" w:hanging="360"/>
      </w:pPr>
      <w:rPr>
        <w:rFonts w:ascii="Wingdings" w:hAnsi="Wingdings" w:hint="default"/>
      </w:rPr>
    </w:lvl>
    <w:lvl w:ilvl="6" w:tplc="5C5479F2" w:tentative="1">
      <w:start w:val="1"/>
      <w:numFmt w:val="bullet"/>
      <w:lvlText w:val=""/>
      <w:lvlJc w:val="left"/>
      <w:pPr>
        <w:ind w:left="5040" w:hanging="360"/>
      </w:pPr>
      <w:rPr>
        <w:rFonts w:ascii="Symbol" w:hAnsi="Symbol" w:hint="default"/>
      </w:rPr>
    </w:lvl>
    <w:lvl w:ilvl="7" w:tplc="A59CF9D4" w:tentative="1">
      <w:start w:val="1"/>
      <w:numFmt w:val="bullet"/>
      <w:lvlText w:val="o"/>
      <w:lvlJc w:val="left"/>
      <w:pPr>
        <w:ind w:left="5760" w:hanging="360"/>
      </w:pPr>
      <w:rPr>
        <w:rFonts w:ascii="Courier New" w:hAnsi="Courier New" w:cs="Courier New" w:hint="default"/>
      </w:rPr>
    </w:lvl>
    <w:lvl w:ilvl="8" w:tplc="F992F2F0" w:tentative="1">
      <w:start w:val="1"/>
      <w:numFmt w:val="bullet"/>
      <w:lvlText w:val=""/>
      <w:lvlJc w:val="left"/>
      <w:pPr>
        <w:ind w:left="6480" w:hanging="360"/>
      </w:pPr>
      <w:rPr>
        <w:rFonts w:ascii="Wingdings" w:hAnsi="Wingdings" w:hint="default"/>
      </w:rPr>
    </w:lvl>
  </w:abstractNum>
  <w:num w:numId="1" w16cid:durableId="59064119">
    <w:abstractNumId w:val="12"/>
  </w:num>
  <w:num w:numId="2" w16cid:durableId="1657342095">
    <w:abstractNumId w:val="22"/>
  </w:num>
  <w:num w:numId="3" w16cid:durableId="1123421015">
    <w:abstractNumId w:val="6"/>
  </w:num>
  <w:num w:numId="4" w16cid:durableId="814417138">
    <w:abstractNumId w:val="14"/>
  </w:num>
  <w:num w:numId="5" w16cid:durableId="1570264037">
    <w:abstractNumId w:val="2"/>
  </w:num>
  <w:num w:numId="6" w16cid:durableId="115569328">
    <w:abstractNumId w:val="7"/>
  </w:num>
  <w:num w:numId="7" w16cid:durableId="347566712">
    <w:abstractNumId w:val="0"/>
  </w:num>
  <w:num w:numId="8" w16cid:durableId="20205563">
    <w:abstractNumId w:val="25"/>
  </w:num>
  <w:num w:numId="9" w16cid:durableId="37751039">
    <w:abstractNumId w:val="13"/>
  </w:num>
  <w:num w:numId="10" w16cid:durableId="216864661">
    <w:abstractNumId w:val="24"/>
  </w:num>
  <w:num w:numId="11" w16cid:durableId="1512718317">
    <w:abstractNumId w:val="17"/>
  </w:num>
  <w:num w:numId="12" w16cid:durableId="1151293128">
    <w:abstractNumId w:val="4"/>
  </w:num>
  <w:num w:numId="13" w16cid:durableId="31805746">
    <w:abstractNumId w:val="9"/>
  </w:num>
  <w:num w:numId="14" w16cid:durableId="364135445">
    <w:abstractNumId w:val="18"/>
  </w:num>
  <w:num w:numId="15" w16cid:durableId="1741519989">
    <w:abstractNumId w:val="20"/>
  </w:num>
  <w:num w:numId="16" w16cid:durableId="1713722916">
    <w:abstractNumId w:val="21"/>
  </w:num>
  <w:num w:numId="17" w16cid:durableId="246043972">
    <w:abstractNumId w:val="23"/>
  </w:num>
  <w:num w:numId="18" w16cid:durableId="1103769682">
    <w:abstractNumId w:val="26"/>
  </w:num>
  <w:num w:numId="19" w16cid:durableId="921378573">
    <w:abstractNumId w:val="10"/>
  </w:num>
  <w:num w:numId="20" w16cid:durableId="1779980289">
    <w:abstractNumId w:val="11"/>
  </w:num>
  <w:num w:numId="21" w16cid:durableId="1555920757">
    <w:abstractNumId w:val="1"/>
  </w:num>
  <w:num w:numId="22" w16cid:durableId="467819587">
    <w:abstractNumId w:val="19"/>
  </w:num>
  <w:num w:numId="23" w16cid:durableId="827131220">
    <w:abstractNumId w:val="8"/>
  </w:num>
  <w:num w:numId="24" w16cid:durableId="341395049">
    <w:abstractNumId w:val="16"/>
  </w:num>
  <w:num w:numId="25" w16cid:durableId="1959558052">
    <w:abstractNumId w:val="5"/>
  </w:num>
  <w:num w:numId="26" w16cid:durableId="1101412037">
    <w:abstractNumId w:val="15"/>
  </w:num>
  <w:num w:numId="27" w16cid:durableId="1681811490">
    <w:abstractNumId w:val="27"/>
  </w:num>
  <w:num w:numId="28" w16cid:durableId="101680489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QUAvQU2CywAAAA="/>
  </w:docVars>
  <w:rsids>
    <w:rsidRoot w:val="00A930CB"/>
    <w:rsid w:val="00016992"/>
    <w:rsid w:val="000178FF"/>
    <w:rsid w:val="00024CBF"/>
    <w:rsid w:val="000327CB"/>
    <w:rsid w:val="0003792F"/>
    <w:rsid w:val="00042A2F"/>
    <w:rsid w:val="00045C47"/>
    <w:rsid w:val="0005068E"/>
    <w:rsid w:val="000578CE"/>
    <w:rsid w:val="0006008A"/>
    <w:rsid w:val="000A605A"/>
    <w:rsid w:val="000A61C9"/>
    <w:rsid w:val="000C5E1B"/>
    <w:rsid w:val="000D2086"/>
    <w:rsid w:val="000D2433"/>
    <w:rsid w:val="0010243F"/>
    <w:rsid w:val="001130F2"/>
    <w:rsid w:val="00134BC8"/>
    <w:rsid w:val="00136631"/>
    <w:rsid w:val="0015027C"/>
    <w:rsid w:val="00171357"/>
    <w:rsid w:val="001828EE"/>
    <w:rsid w:val="001836B1"/>
    <w:rsid w:val="001A14B5"/>
    <w:rsid w:val="001B7AD0"/>
    <w:rsid w:val="001F5437"/>
    <w:rsid w:val="00203023"/>
    <w:rsid w:val="002049FE"/>
    <w:rsid w:val="0021380A"/>
    <w:rsid w:val="00252E68"/>
    <w:rsid w:val="00255FC4"/>
    <w:rsid w:val="002758B9"/>
    <w:rsid w:val="00276A31"/>
    <w:rsid w:val="00284720"/>
    <w:rsid w:val="00285D09"/>
    <w:rsid w:val="00296FAF"/>
    <w:rsid w:val="002B5A93"/>
    <w:rsid w:val="002C4CAC"/>
    <w:rsid w:val="002E6C83"/>
    <w:rsid w:val="002F2E27"/>
    <w:rsid w:val="0030173B"/>
    <w:rsid w:val="0030202B"/>
    <w:rsid w:val="00314DFB"/>
    <w:rsid w:val="00322C2E"/>
    <w:rsid w:val="00331B7F"/>
    <w:rsid w:val="003860FB"/>
    <w:rsid w:val="00391011"/>
    <w:rsid w:val="003B602D"/>
    <w:rsid w:val="003C3B33"/>
    <w:rsid w:val="003C4A80"/>
    <w:rsid w:val="003D34E8"/>
    <w:rsid w:val="003F64EA"/>
    <w:rsid w:val="003F69D6"/>
    <w:rsid w:val="00423554"/>
    <w:rsid w:val="00425C1A"/>
    <w:rsid w:val="0046229B"/>
    <w:rsid w:val="00465BD5"/>
    <w:rsid w:val="00481CB5"/>
    <w:rsid w:val="004F03CD"/>
    <w:rsid w:val="004F10AC"/>
    <w:rsid w:val="0051013F"/>
    <w:rsid w:val="00510395"/>
    <w:rsid w:val="00513050"/>
    <w:rsid w:val="005225BF"/>
    <w:rsid w:val="00556364"/>
    <w:rsid w:val="00580601"/>
    <w:rsid w:val="00585A4A"/>
    <w:rsid w:val="00586056"/>
    <w:rsid w:val="00587F1D"/>
    <w:rsid w:val="0059562E"/>
    <w:rsid w:val="005D5E30"/>
    <w:rsid w:val="0062657F"/>
    <w:rsid w:val="00634AE8"/>
    <w:rsid w:val="006463F1"/>
    <w:rsid w:val="006605BA"/>
    <w:rsid w:val="00670D2E"/>
    <w:rsid w:val="00671CBC"/>
    <w:rsid w:val="00674BCE"/>
    <w:rsid w:val="006A7974"/>
    <w:rsid w:val="006B2157"/>
    <w:rsid w:val="006C5953"/>
    <w:rsid w:val="006E6FE8"/>
    <w:rsid w:val="00715A8B"/>
    <w:rsid w:val="00725DF6"/>
    <w:rsid w:val="00742808"/>
    <w:rsid w:val="0075131B"/>
    <w:rsid w:val="007A0F0B"/>
    <w:rsid w:val="007A7DB8"/>
    <w:rsid w:val="007C07B7"/>
    <w:rsid w:val="007E734B"/>
    <w:rsid w:val="007F6D91"/>
    <w:rsid w:val="008045C7"/>
    <w:rsid w:val="00804842"/>
    <w:rsid w:val="00812990"/>
    <w:rsid w:val="008138EC"/>
    <w:rsid w:val="008227BA"/>
    <w:rsid w:val="008346D5"/>
    <w:rsid w:val="00855421"/>
    <w:rsid w:val="00885114"/>
    <w:rsid w:val="008A1155"/>
    <w:rsid w:val="008B498D"/>
    <w:rsid w:val="008C2930"/>
    <w:rsid w:val="008C672F"/>
    <w:rsid w:val="008E29F3"/>
    <w:rsid w:val="008F2B5B"/>
    <w:rsid w:val="008F51C2"/>
    <w:rsid w:val="009151E1"/>
    <w:rsid w:val="00927D2A"/>
    <w:rsid w:val="009556EE"/>
    <w:rsid w:val="00964538"/>
    <w:rsid w:val="009A578C"/>
    <w:rsid w:val="009C52DF"/>
    <w:rsid w:val="009D0524"/>
    <w:rsid w:val="009E523C"/>
    <w:rsid w:val="00A0421A"/>
    <w:rsid w:val="00A3471E"/>
    <w:rsid w:val="00A4397C"/>
    <w:rsid w:val="00A43CC0"/>
    <w:rsid w:val="00A45277"/>
    <w:rsid w:val="00A51F56"/>
    <w:rsid w:val="00A90A1F"/>
    <w:rsid w:val="00A91384"/>
    <w:rsid w:val="00A930CB"/>
    <w:rsid w:val="00A976D8"/>
    <w:rsid w:val="00AB2338"/>
    <w:rsid w:val="00AB4149"/>
    <w:rsid w:val="00AE79EE"/>
    <w:rsid w:val="00AF215D"/>
    <w:rsid w:val="00B02818"/>
    <w:rsid w:val="00B21C04"/>
    <w:rsid w:val="00B220CB"/>
    <w:rsid w:val="00B23658"/>
    <w:rsid w:val="00B26C7E"/>
    <w:rsid w:val="00B6475F"/>
    <w:rsid w:val="00BA6996"/>
    <w:rsid w:val="00BB07BE"/>
    <w:rsid w:val="00BD1966"/>
    <w:rsid w:val="00BD3AA5"/>
    <w:rsid w:val="00BF2C08"/>
    <w:rsid w:val="00C117E2"/>
    <w:rsid w:val="00C53B1A"/>
    <w:rsid w:val="00C67893"/>
    <w:rsid w:val="00C72982"/>
    <w:rsid w:val="00C74EB7"/>
    <w:rsid w:val="00C80AF8"/>
    <w:rsid w:val="00C86431"/>
    <w:rsid w:val="00CC6920"/>
    <w:rsid w:val="00CF644C"/>
    <w:rsid w:val="00D01FF9"/>
    <w:rsid w:val="00D15FF5"/>
    <w:rsid w:val="00D2291D"/>
    <w:rsid w:val="00D450BB"/>
    <w:rsid w:val="00D62B28"/>
    <w:rsid w:val="00D67E1F"/>
    <w:rsid w:val="00D72FA4"/>
    <w:rsid w:val="00D86D2F"/>
    <w:rsid w:val="00DA3853"/>
    <w:rsid w:val="00DD3304"/>
    <w:rsid w:val="00DF21D0"/>
    <w:rsid w:val="00DF2AB7"/>
    <w:rsid w:val="00E024B9"/>
    <w:rsid w:val="00E03F63"/>
    <w:rsid w:val="00E24560"/>
    <w:rsid w:val="00E53A06"/>
    <w:rsid w:val="00E642D3"/>
    <w:rsid w:val="00E750E6"/>
    <w:rsid w:val="00E82EAC"/>
    <w:rsid w:val="00E9394F"/>
    <w:rsid w:val="00EA22A8"/>
    <w:rsid w:val="00EB1FDF"/>
    <w:rsid w:val="00EC64A7"/>
    <w:rsid w:val="00EC674C"/>
    <w:rsid w:val="00EF3ED4"/>
    <w:rsid w:val="00F334D8"/>
    <w:rsid w:val="00F53EF8"/>
    <w:rsid w:val="00F62728"/>
    <w:rsid w:val="00F75D71"/>
    <w:rsid w:val="00F91F18"/>
    <w:rsid w:val="00FA3DD1"/>
    <w:rsid w:val="00FA3F78"/>
    <w:rsid w:val="00FB42C7"/>
    <w:rsid w:val="00FC3846"/>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2365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5">
    <w:name w:val="heading 5"/>
    <w:basedOn w:val="Normal"/>
    <w:next w:val="Normal"/>
    <w:link w:val="Heading5Char"/>
    <w:uiPriority w:val="9"/>
    <w:semiHidden/>
    <w:unhideWhenUsed/>
    <w:qFormat/>
    <w:rsid w:val="002E6C83"/>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ms-pivot-text">
    <w:name w:val="ms-pivot-text"/>
    <w:basedOn w:val="DefaultParagraphFont"/>
    <w:rsid w:val="00855421"/>
  </w:style>
  <w:style w:type="character" w:customStyle="1" w:styleId="ms-button-label">
    <w:name w:val="ms-button-label"/>
    <w:basedOn w:val="DefaultParagraphFont"/>
    <w:rsid w:val="00855421"/>
  </w:style>
  <w:style w:type="paragraph" w:customStyle="1" w:styleId="Default">
    <w:name w:val="Default"/>
    <w:rsid w:val="00855421"/>
    <w:pPr>
      <w:autoSpaceDE w:val="0"/>
      <w:autoSpaceDN w:val="0"/>
      <w:adjustRightInd w:val="0"/>
      <w:spacing w:after="0" w:line="240" w:lineRule="auto"/>
    </w:pPr>
    <w:rPr>
      <w:rFonts w:ascii="Times New Roman" w:eastAsia="Times New Roman" w:hAnsi="Times New Roman" w:cs="Times New Roman"/>
      <w:color w:val="000000"/>
      <w:sz w:val="24"/>
      <w:szCs w:val="24"/>
      <w:lang w:val="en-US"/>
    </w:rPr>
  </w:style>
  <w:style w:type="paragraph" w:styleId="Footer">
    <w:name w:val="footer"/>
    <w:basedOn w:val="Normal"/>
    <w:link w:val="FooterChar"/>
    <w:uiPriority w:val="99"/>
    <w:unhideWhenUsed/>
    <w:rsid w:val="00DF2A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2AB7"/>
  </w:style>
  <w:style w:type="character" w:styleId="FollowedHyperlink">
    <w:name w:val="FollowedHyperlink"/>
    <w:basedOn w:val="DefaultParagraphFont"/>
    <w:uiPriority w:val="99"/>
    <w:semiHidden/>
    <w:unhideWhenUsed/>
    <w:rsid w:val="00725DF6"/>
    <w:rPr>
      <w:color w:val="954F72" w:themeColor="followedHyperlink"/>
      <w:u w:val="single"/>
    </w:rPr>
  </w:style>
  <w:style w:type="character" w:customStyle="1" w:styleId="Heading3Char">
    <w:name w:val="Heading 3 Char"/>
    <w:basedOn w:val="DefaultParagraphFont"/>
    <w:link w:val="Heading3"/>
    <w:uiPriority w:val="9"/>
    <w:rsid w:val="00B23658"/>
    <w:rPr>
      <w:rFonts w:asciiTheme="majorHAnsi" w:eastAsiaTheme="majorEastAsia" w:hAnsiTheme="majorHAnsi" w:cstheme="majorBidi"/>
      <w:color w:val="1F4D78" w:themeColor="accent1" w:themeShade="7F"/>
      <w:sz w:val="24"/>
      <w:szCs w:val="24"/>
    </w:rPr>
  </w:style>
  <w:style w:type="paragraph" w:styleId="Caption">
    <w:name w:val="caption"/>
    <w:basedOn w:val="Normal"/>
    <w:next w:val="Normal"/>
    <w:uiPriority w:val="35"/>
    <w:unhideWhenUsed/>
    <w:qFormat/>
    <w:rsid w:val="00927D2A"/>
    <w:pPr>
      <w:spacing w:after="200" w:line="240" w:lineRule="auto"/>
    </w:pPr>
    <w:rPr>
      <w:rFonts w:ascii="Times New Roman" w:hAnsi="Times New Roman"/>
      <w:i/>
      <w:iCs/>
      <w:color w:val="44546A" w:themeColor="text2"/>
      <w:sz w:val="18"/>
      <w:szCs w:val="18"/>
      <w:lang w:val="en-US"/>
    </w:rPr>
  </w:style>
  <w:style w:type="paragraph" w:styleId="TOC1">
    <w:name w:val="toc 1"/>
    <w:basedOn w:val="Normal"/>
    <w:next w:val="Normal"/>
    <w:autoRedefine/>
    <w:uiPriority w:val="39"/>
    <w:unhideWhenUsed/>
    <w:rsid w:val="000A605A"/>
    <w:pPr>
      <w:spacing w:after="100"/>
    </w:pPr>
  </w:style>
  <w:style w:type="character" w:customStyle="1" w:styleId="Heading5Char">
    <w:name w:val="Heading 5 Char"/>
    <w:basedOn w:val="DefaultParagraphFont"/>
    <w:link w:val="Heading5"/>
    <w:uiPriority w:val="9"/>
    <w:semiHidden/>
    <w:rsid w:val="002E6C83"/>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3185750">
      <w:bodyDiv w:val="1"/>
      <w:marLeft w:val="0"/>
      <w:marRight w:val="0"/>
      <w:marTop w:val="0"/>
      <w:marBottom w:val="0"/>
      <w:divBdr>
        <w:top w:val="none" w:sz="0" w:space="0" w:color="auto"/>
        <w:left w:val="none" w:sz="0" w:space="0" w:color="auto"/>
        <w:bottom w:val="none" w:sz="0" w:space="0" w:color="auto"/>
        <w:right w:val="none" w:sz="0" w:space="0" w:color="auto"/>
      </w:divBdr>
    </w:div>
    <w:div w:id="813109498">
      <w:bodyDiv w:val="1"/>
      <w:marLeft w:val="0"/>
      <w:marRight w:val="0"/>
      <w:marTop w:val="0"/>
      <w:marBottom w:val="0"/>
      <w:divBdr>
        <w:top w:val="none" w:sz="0" w:space="0" w:color="auto"/>
        <w:left w:val="none" w:sz="0" w:space="0" w:color="auto"/>
        <w:bottom w:val="none" w:sz="0" w:space="0" w:color="auto"/>
        <w:right w:val="none" w:sz="0" w:space="0" w:color="auto"/>
      </w:divBdr>
    </w:div>
    <w:div w:id="936447742">
      <w:bodyDiv w:val="1"/>
      <w:marLeft w:val="0"/>
      <w:marRight w:val="0"/>
      <w:marTop w:val="0"/>
      <w:marBottom w:val="0"/>
      <w:divBdr>
        <w:top w:val="none" w:sz="0" w:space="0" w:color="auto"/>
        <w:left w:val="none" w:sz="0" w:space="0" w:color="auto"/>
        <w:bottom w:val="none" w:sz="0" w:space="0" w:color="auto"/>
        <w:right w:val="none" w:sz="0" w:space="0" w:color="auto"/>
      </w:divBdr>
    </w:div>
    <w:div w:id="972977991">
      <w:bodyDiv w:val="1"/>
      <w:marLeft w:val="0"/>
      <w:marRight w:val="0"/>
      <w:marTop w:val="0"/>
      <w:marBottom w:val="0"/>
      <w:divBdr>
        <w:top w:val="none" w:sz="0" w:space="0" w:color="auto"/>
        <w:left w:val="none" w:sz="0" w:space="0" w:color="auto"/>
        <w:bottom w:val="none" w:sz="0" w:space="0" w:color="auto"/>
        <w:right w:val="none" w:sz="0" w:space="0" w:color="auto"/>
      </w:divBdr>
    </w:div>
    <w:div w:id="1004667886">
      <w:bodyDiv w:val="1"/>
      <w:marLeft w:val="0"/>
      <w:marRight w:val="0"/>
      <w:marTop w:val="0"/>
      <w:marBottom w:val="0"/>
      <w:divBdr>
        <w:top w:val="none" w:sz="0" w:space="0" w:color="auto"/>
        <w:left w:val="none" w:sz="0" w:space="0" w:color="auto"/>
        <w:bottom w:val="none" w:sz="0" w:space="0" w:color="auto"/>
        <w:right w:val="none" w:sz="0" w:space="0" w:color="auto"/>
      </w:divBdr>
      <w:divsChild>
        <w:div w:id="1246572732">
          <w:marLeft w:val="0"/>
          <w:marRight w:val="0"/>
          <w:marTop w:val="0"/>
          <w:marBottom w:val="0"/>
          <w:divBdr>
            <w:top w:val="none" w:sz="0" w:space="0" w:color="auto"/>
            <w:left w:val="none" w:sz="0" w:space="0" w:color="auto"/>
            <w:bottom w:val="none" w:sz="0" w:space="0" w:color="auto"/>
            <w:right w:val="none" w:sz="0" w:space="0" w:color="auto"/>
          </w:divBdr>
          <w:divsChild>
            <w:div w:id="493834973">
              <w:marLeft w:val="0"/>
              <w:marRight w:val="0"/>
              <w:marTop w:val="0"/>
              <w:marBottom w:val="0"/>
              <w:divBdr>
                <w:top w:val="none" w:sz="0" w:space="0" w:color="auto"/>
                <w:left w:val="none" w:sz="0" w:space="0" w:color="auto"/>
                <w:bottom w:val="none" w:sz="0" w:space="0" w:color="auto"/>
                <w:right w:val="none" w:sz="0" w:space="0" w:color="auto"/>
              </w:divBdr>
              <w:divsChild>
                <w:div w:id="42752344">
                  <w:marLeft w:val="0"/>
                  <w:marRight w:val="0"/>
                  <w:marTop w:val="0"/>
                  <w:marBottom w:val="0"/>
                  <w:divBdr>
                    <w:top w:val="none" w:sz="0" w:space="0" w:color="auto"/>
                    <w:left w:val="none" w:sz="0" w:space="0" w:color="auto"/>
                    <w:bottom w:val="none" w:sz="0" w:space="0" w:color="auto"/>
                    <w:right w:val="none" w:sz="0" w:space="0" w:color="auto"/>
                  </w:divBdr>
                  <w:divsChild>
                    <w:div w:id="811211978">
                      <w:marLeft w:val="0"/>
                      <w:marRight w:val="0"/>
                      <w:marTop w:val="0"/>
                      <w:marBottom w:val="0"/>
                      <w:divBdr>
                        <w:top w:val="none" w:sz="0" w:space="0" w:color="auto"/>
                        <w:left w:val="none" w:sz="0" w:space="0" w:color="auto"/>
                        <w:bottom w:val="none" w:sz="0" w:space="0" w:color="auto"/>
                        <w:right w:val="none" w:sz="0" w:space="0" w:color="auto"/>
                      </w:divBdr>
                      <w:divsChild>
                        <w:div w:id="986587900">
                          <w:marLeft w:val="0"/>
                          <w:marRight w:val="0"/>
                          <w:marTop w:val="0"/>
                          <w:marBottom w:val="0"/>
                          <w:divBdr>
                            <w:top w:val="none" w:sz="0" w:space="0" w:color="auto"/>
                            <w:left w:val="none" w:sz="0" w:space="0" w:color="auto"/>
                            <w:bottom w:val="none" w:sz="0" w:space="0" w:color="auto"/>
                            <w:right w:val="none" w:sz="0" w:space="0" w:color="auto"/>
                          </w:divBdr>
                          <w:divsChild>
                            <w:div w:id="1896814268">
                              <w:marLeft w:val="0"/>
                              <w:marRight w:val="0"/>
                              <w:marTop w:val="0"/>
                              <w:marBottom w:val="0"/>
                              <w:divBdr>
                                <w:top w:val="none" w:sz="0" w:space="0" w:color="auto"/>
                                <w:left w:val="none" w:sz="0" w:space="0" w:color="auto"/>
                                <w:bottom w:val="none" w:sz="0" w:space="0" w:color="auto"/>
                                <w:right w:val="none" w:sz="0" w:space="0" w:color="auto"/>
                              </w:divBdr>
                              <w:divsChild>
                                <w:div w:id="62562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2391998">
              <w:marLeft w:val="0"/>
              <w:marRight w:val="0"/>
              <w:marTop w:val="0"/>
              <w:marBottom w:val="0"/>
              <w:divBdr>
                <w:top w:val="none" w:sz="0" w:space="0" w:color="auto"/>
                <w:left w:val="none" w:sz="0" w:space="0" w:color="auto"/>
                <w:bottom w:val="none" w:sz="0" w:space="0" w:color="auto"/>
                <w:right w:val="none" w:sz="0" w:space="0" w:color="auto"/>
              </w:divBdr>
            </w:div>
          </w:divsChild>
        </w:div>
        <w:div w:id="847867953">
          <w:marLeft w:val="0"/>
          <w:marRight w:val="0"/>
          <w:marTop w:val="0"/>
          <w:marBottom w:val="0"/>
          <w:divBdr>
            <w:top w:val="none" w:sz="0" w:space="0" w:color="auto"/>
            <w:left w:val="none" w:sz="0" w:space="0" w:color="auto"/>
            <w:bottom w:val="none" w:sz="0" w:space="0" w:color="auto"/>
            <w:right w:val="none" w:sz="0" w:space="0" w:color="auto"/>
          </w:divBdr>
          <w:divsChild>
            <w:div w:id="1866553194">
              <w:marLeft w:val="0"/>
              <w:marRight w:val="0"/>
              <w:marTop w:val="0"/>
              <w:marBottom w:val="0"/>
              <w:divBdr>
                <w:top w:val="none" w:sz="0" w:space="0" w:color="auto"/>
                <w:left w:val="none" w:sz="0" w:space="0" w:color="auto"/>
                <w:bottom w:val="none" w:sz="0" w:space="0" w:color="auto"/>
                <w:right w:val="none" w:sz="0" w:space="0" w:color="auto"/>
              </w:divBdr>
              <w:divsChild>
                <w:div w:id="1866403380">
                  <w:marLeft w:val="0"/>
                  <w:marRight w:val="0"/>
                  <w:marTop w:val="0"/>
                  <w:marBottom w:val="0"/>
                  <w:divBdr>
                    <w:top w:val="none" w:sz="0" w:space="0" w:color="auto"/>
                    <w:left w:val="none" w:sz="0" w:space="0" w:color="auto"/>
                    <w:bottom w:val="none" w:sz="0" w:space="0" w:color="auto"/>
                    <w:right w:val="none" w:sz="0" w:space="0" w:color="auto"/>
                  </w:divBdr>
                  <w:divsChild>
                    <w:div w:id="1424111779">
                      <w:marLeft w:val="0"/>
                      <w:marRight w:val="0"/>
                      <w:marTop w:val="0"/>
                      <w:marBottom w:val="0"/>
                      <w:divBdr>
                        <w:top w:val="none" w:sz="0" w:space="0" w:color="auto"/>
                        <w:left w:val="none" w:sz="0" w:space="0" w:color="auto"/>
                        <w:bottom w:val="none" w:sz="0" w:space="0" w:color="auto"/>
                        <w:right w:val="none" w:sz="0" w:space="0" w:color="auto"/>
                      </w:divBdr>
                      <w:divsChild>
                        <w:div w:id="625703636">
                          <w:marLeft w:val="0"/>
                          <w:marRight w:val="0"/>
                          <w:marTop w:val="0"/>
                          <w:marBottom w:val="0"/>
                          <w:divBdr>
                            <w:top w:val="none" w:sz="0" w:space="0" w:color="auto"/>
                            <w:left w:val="none" w:sz="0" w:space="0" w:color="auto"/>
                            <w:bottom w:val="none" w:sz="0" w:space="0" w:color="auto"/>
                            <w:right w:val="none" w:sz="0" w:space="0" w:color="auto"/>
                          </w:divBdr>
                          <w:divsChild>
                            <w:div w:id="1476680594">
                              <w:marLeft w:val="0"/>
                              <w:marRight w:val="0"/>
                              <w:marTop w:val="0"/>
                              <w:marBottom w:val="0"/>
                              <w:divBdr>
                                <w:top w:val="none" w:sz="0" w:space="0" w:color="auto"/>
                                <w:left w:val="none" w:sz="0" w:space="0" w:color="auto"/>
                                <w:bottom w:val="none" w:sz="0" w:space="0" w:color="auto"/>
                                <w:right w:val="none" w:sz="0" w:space="0" w:color="auto"/>
                              </w:divBdr>
                              <w:divsChild>
                                <w:div w:id="2100561242">
                                  <w:marLeft w:val="0"/>
                                  <w:marRight w:val="0"/>
                                  <w:marTop w:val="0"/>
                                  <w:marBottom w:val="0"/>
                                  <w:divBdr>
                                    <w:top w:val="none" w:sz="0" w:space="0" w:color="auto"/>
                                    <w:left w:val="none" w:sz="0" w:space="0" w:color="auto"/>
                                    <w:bottom w:val="single" w:sz="6" w:space="0" w:color="E0E0E0"/>
                                    <w:right w:val="none" w:sz="0" w:space="0" w:color="auto"/>
                                  </w:divBdr>
                                  <w:divsChild>
                                    <w:div w:id="347172014">
                                      <w:marLeft w:val="0"/>
                                      <w:marRight w:val="0"/>
                                      <w:marTop w:val="0"/>
                                      <w:marBottom w:val="0"/>
                                      <w:divBdr>
                                        <w:top w:val="none" w:sz="0" w:space="0" w:color="auto"/>
                                        <w:left w:val="none" w:sz="0" w:space="0" w:color="auto"/>
                                        <w:bottom w:val="none" w:sz="0" w:space="0" w:color="auto"/>
                                        <w:right w:val="none" w:sz="0" w:space="0" w:color="auto"/>
                                      </w:divBdr>
                                      <w:divsChild>
                                        <w:div w:id="114708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diagramColors" Target="diagrams/colors1.xml"/><Relationship Id="rId26" Type="http://schemas.openxmlformats.org/officeDocument/2006/relationships/hyperlink" Target="https://doi.org/10.1186/s12913-020-05573-z" TargetMode="External"/><Relationship Id="rId39" Type="http://schemas.openxmlformats.org/officeDocument/2006/relationships/hyperlink" Target="https://doi.org/10.1111/jonm.12630" TargetMode="External"/><Relationship Id="rId21" Type="http://schemas.openxmlformats.org/officeDocument/2006/relationships/hyperlink" Target="https://doi.org/10.1111/jnu.12410" TargetMode="External"/><Relationship Id="rId34" Type="http://schemas.openxmlformats.org/officeDocument/2006/relationships/hyperlink" Target="http://dx.doi.org/10.1136/bmjopen-2020-042591" TargetMode="External"/><Relationship Id="rId42" Type="http://schemas.openxmlformats.org/officeDocument/2006/relationships/hyperlink" Target="https://www.hee.nhs.uk/" TargetMode="External"/><Relationship Id="rId47" Type="http://schemas.openxmlformats.org/officeDocument/2006/relationships/hyperlink" Target="https://doi.org/10.1002/14651858.CD013779" TargetMode="External"/><Relationship Id="rId50" Type="http://schemas.openxmlformats.org/officeDocument/2006/relationships/hyperlink" Target="https://doi.org/10.1016/j.ijmedinf.2019.01.014" TargetMode="External"/><Relationship Id="rId55"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QuickStyle" Target="diagrams/quickStyle1.xml"/><Relationship Id="rId25" Type="http://schemas.openxmlformats.org/officeDocument/2006/relationships/hyperlink" Target="https://doi.org/10.1108/14637150310496758" TargetMode="External"/><Relationship Id="rId33" Type="http://schemas.openxmlformats.org/officeDocument/2006/relationships/hyperlink" Target="https://doi.org/10.15171/ijhpm.2019.100" TargetMode="External"/><Relationship Id="rId38" Type="http://schemas.openxmlformats.org/officeDocument/2006/relationships/hyperlink" Target="https://doi.org/10.2106/jbjs.20.00452" TargetMode="External"/><Relationship Id="rId46" Type="http://schemas.openxmlformats.org/officeDocument/2006/relationships/hyperlink" Target="https://doi.org/10.1509/jmkg.2005.69.4.167" TargetMode="Externa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pxjournal.org/journal/vol7/iss2/27/" TargetMode="External"/><Relationship Id="rId29" Type="http://schemas.openxmlformats.org/officeDocument/2006/relationships/hyperlink" Target="https://doi.org/10.1371/journal.pone.0220116" TargetMode="External"/><Relationship Id="rId41" Type="http://schemas.openxmlformats.org/officeDocument/2006/relationships/hyperlink" Target="https://www.england.nhs.uk/mat-transformation/matrons-handbook/governance-patient-safety-and-quality/"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111/hex.13040" TargetMode="External"/><Relationship Id="rId32" Type="http://schemas.openxmlformats.org/officeDocument/2006/relationships/hyperlink" Target="http://dx.doi.org/10.1136/bmjgh-2018-000944" TargetMode="External"/><Relationship Id="rId37" Type="http://schemas.openxmlformats.org/officeDocument/2006/relationships/hyperlink" Target="http://dx.doi.org/10.1136/bmjopen-2017-020930" TargetMode="External"/><Relationship Id="rId40" Type="http://schemas.openxmlformats.org/officeDocument/2006/relationships/hyperlink" Target="https://www.england.nhs.uk/patient-safety/the-nhs-patient-safety-strategy/" TargetMode="External"/><Relationship Id="rId45" Type="http://schemas.openxmlformats.org/officeDocument/2006/relationships/hyperlink" Target="https://doi.org/10.1108/IJHG-07-2020-0085" TargetMode="External"/><Relationship Id="rId53"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hyperlink" Target="https://doi.org/10.1177/20552076209489" TargetMode="External"/><Relationship Id="rId28" Type="http://schemas.openxmlformats.org/officeDocument/2006/relationships/hyperlink" Target="https://www.england.nhs.uk/wp-content/uploads/2018/06/01-018-edc03-staff-inpatient-survey-report.pdf" TargetMode="External"/><Relationship Id="rId36" Type="http://schemas.openxmlformats.org/officeDocument/2006/relationships/hyperlink" Target="https://doi.org/10.1016/j.healthpol.2022.11.004" TargetMode="External"/><Relationship Id="rId49" Type="http://schemas.openxmlformats.org/officeDocument/2006/relationships/hyperlink" Target="https://doi.org/10.1080/02813432.2019.1639909" TargetMode="External"/><Relationship Id="rId10" Type="http://schemas.openxmlformats.org/officeDocument/2006/relationships/endnotes" Target="endnotes.xml"/><Relationship Id="rId19" Type="http://schemas.microsoft.com/office/2007/relationships/diagramDrawing" Target="diagrams/drawing1.xml"/><Relationship Id="rId31" Type="http://schemas.openxmlformats.org/officeDocument/2006/relationships/hyperlink" Target="https://doi.org/10.3399/bjgp19X704141" TargetMode="External"/><Relationship Id="rId44" Type="http://schemas.openxmlformats.org/officeDocument/2006/relationships/hyperlink" Target="https://doi.org/10.1177/001872672093883" TargetMode="External"/><Relationship Id="rId52"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doi.org/10.1186/s12913-019-4790-x" TargetMode="External"/><Relationship Id="rId27" Type="http://schemas.openxmlformats.org/officeDocument/2006/relationships/hyperlink" Target="https://doi.org/10.1002/gps.4990" TargetMode="External"/><Relationship Id="rId30" Type="http://schemas.openxmlformats.org/officeDocument/2006/relationships/hyperlink" Target="https://books.google.co.uk/books?hl=en&amp;lr=&amp;id=FtJuEAAAQBAJ&amp;oi=fnd&amp;pg=PA9&amp;dq=Patient+Safety:+Preventing+Patient+Harm+and+Building+Capacity+for+Patient+&amp;ots=ONRzqPdenM&amp;sig=tIjZUMihLMvbeuQZ-iZw0av-234&amp;redir_esc=y" TargetMode="External"/><Relationship Id="rId35" Type="http://schemas.openxmlformats.org/officeDocument/2006/relationships/hyperlink" Target="https://doi.org/10.1108/978-1-80071-348-220211007" TargetMode="External"/><Relationship Id="rId43" Type="http://schemas.openxmlformats.org/officeDocument/2006/relationships/hyperlink" Target="https://doi.org/10.1093/intqhc/mzaa025" TargetMode="External"/><Relationship Id="rId48" Type="http://schemas.openxmlformats.org/officeDocument/2006/relationships/hyperlink" Target="https://doi.org/10.1186/s12909-020-02007-6" TargetMode="External"/><Relationship Id="rId8" Type="http://schemas.openxmlformats.org/officeDocument/2006/relationships/webSettings" Target="webSettings.xml"/><Relationship Id="rId51" Type="http://schemas.openxmlformats.org/officeDocument/2006/relationships/hyperlink" Target="https://doi.org/10.1186/s12913-019-4410-9" TargetMode="Externa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2_3">
  <dgm:title val=""/>
  <dgm:desc val=""/>
  <dgm:catLst>
    <dgm:cat type="accent2" pri="11300"/>
  </dgm:catLst>
  <dgm:styleLbl name="node0">
    <dgm:fillClrLst meth="repeat">
      <a:schemeClr val="accent2">
        <a:shade val="80000"/>
      </a:schemeClr>
    </dgm:fillClrLst>
    <dgm:linClrLst meth="repeat">
      <a:schemeClr val="lt1"/>
    </dgm:linClrLst>
    <dgm:effectClrLst/>
    <dgm:txLinClrLst/>
    <dgm:txFillClrLst/>
    <dgm:txEffectClrLst/>
  </dgm:styleLbl>
  <dgm:styleLbl name="node1">
    <dgm:fillClrLst>
      <a:schemeClr val="accent2">
        <a:shade val="80000"/>
      </a:schemeClr>
      <a:schemeClr val="accent2">
        <a:tint val="70000"/>
      </a:schemeClr>
    </dgm:fillClrLst>
    <dgm:linClrLst meth="repeat">
      <a:schemeClr val="lt1"/>
    </dgm:linClrLst>
    <dgm:effectClrLst/>
    <dgm:txLinClrLst/>
    <dgm:txFillClrLst/>
    <dgm:txEffectClrLst/>
  </dgm:styleLbl>
  <dgm:styleLbl name="alignNode1">
    <dgm:fillClrLst>
      <a:schemeClr val="accent2">
        <a:shade val="80000"/>
      </a:schemeClr>
      <a:schemeClr val="accent2">
        <a:tint val="70000"/>
      </a:schemeClr>
    </dgm:fillClrLst>
    <dgm:linClrLst>
      <a:schemeClr val="accent2">
        <a:shade val="80000"/>
      </a:schemeClr>
      <a:schemeClr val="accent2">
        <a:tint val="70000"/>
      </a:schemeClr>
    </dgm:linClrLst>
    <dgm:effectClrLst/>
    <dgm:txLinClrLst/>
    <dgm:txFillClrLst/>
    <dgm:txEffectClrLst/>
  </dgm:styleLbl>
  <dgm:styleLbl name="lnNode1">
    <dgm:fillClrLst>
      <a:schemeClr val="accent2">
        <a:shade val="80000"/>
      </a:schemeClr>
      <a:schemeClr val="accent2">
        <a:tint val="70000"/>
      </a:schemeClr>
    </dgm:fillClrLst>
    <dgm:linClrLst meth="repeat">
      <a:schemeClr val="lt1"/>
    </dgm:linClrLst>
    <dgm:effectClrLst/>
    <dgm:txLinClrLst/>
    <dgm:txFillClrLst/>
    <dgm:txEffectClrLst/>
  </dgm:styleLbl>
  <dgm:styleLbl name="vennNode1">
    <dgm:fillClrLst>
      <a:schemeClr val="accent2">
        <a:shade val="80000"/>
        <a:alpha val="50000"/>
      </a:schemeClr>
      <a:schemeClr val="accent2">
        <a:tint val="70000"/>
        <a:alpha val="50000"/>
      </a:schemeClr>
    </dgm:fillClrLst>
    <dgm:linClrLst meth="repeat">
      <a:schemeClr val="lt1"/>
    </dgm:linClrLst>
    <dgm:effectClrLst/>
    <dgm:txLinClrLst/>
    <dgm:txFillClrLst/>
    <dgm:txEffectClrLst/>
  </dgm:styleLbl>
  <dgm:styleLbl name="node2">
    <dgm:fillClrLst>
      <a:schemeClr val="accent2">
        <a:tint val="99000"/>
      </a:schemeClr>
    </dgm:fillClrLst>
    <dgm:linClrLst meth="repeat">
      <a:schemeClr val="lt1"/>
    </dgm:linClrLst>
    <dgm:effectClrLst/>
    <dgm:txLinClrLst/>
    <dgm:txFillClrLst/>
    <dgm:txEffectClrLst/>
  </dgm:styleLbl>
  <dgm:styleLbl name="node3">
    <dgm:fillClrLst>
      <a:schemeClr val="accent2">
        <a:tint val="80000"/>
      </a:schemeClr>
    </dgm:fillClrLst>
    <dgm:linClrLst meth="repeat">
      <a:schemeClr val="lt1"/>
    </dgm:linClrLst>
    <dgm:effectClrLst/>
    <dgm:txLinClrLst/>
    <dgm:txFillClrLst/>
    <dgm:txEffectClrLst/>
  </dgm:styleLbl>
  <dgm:styleLbl name="node4">
    <dgm:fillClrLst>
      <a:schemeClr val="accent2">
        <a:tint val="70000"/>
      </a:schemeClr>
    </dgm:fillClrLst>
    <dgm:linClrLst meth="repeat">
      <a:schemeClr val="lt1"/>
    </dgm:linClrLst>
    <dgm:effectClrLst/>
    <dgm:txLinClrLst/>
    <dgm:txFillClrLst/>
    <dgm:txEffectClrLst/>
  </dgm:styleLbl>
  <dgm:styleLbl name="f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dgm:txEffectClrLst/>
  </dgm:styleLbl>
  <dgm:styleLbl name="f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bgSibTrans2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lt1"/>
    </dgm:txFillClrLst>
    <dgm:txEffectClrLst/>
  </dgm:styleLbl>
  <dgm:styleLbl name="sibTrans1D1">
    <dgm:fillClrLst>
      <a:schemeClr val="accent2">
        <a:shade val="90000"/>
      </a:schemeClr>
      <a:schemeClr val="accent2">
        <a:tint val="70000"/>
      </a:schemeClr>
    </dgm:fillClrLst>
    <dgm:linClrLst>
      <a:schemeClr val="accent2">
        <a:shade val="90000"/>
      </a:schemeClr>
      <a:schemeClr val="accent2">
        <a:tint val="70000"/>
      </a:schemeClr>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accent2">
        <a:shade val="80000"/>
      </a:schemeClr>
    </dgm:fillClrLst>
    <dgm:linClrLst meth="repeat">
      <a:schemeClr val="lt1"/>
    </dgm:linClrLst>
    <dgm:effectClrLst/>
    <dgm:txLinClrLst/>
    <dgm:txFillClrLst/>
    <dgm:txEffectClrLst/>
  </dgm:styleLbl>
  <dgm:styleLbl name="asst1">
    <dgm:fillClrLst meth="repeat">
      <a:schemeClr val="accent2">
        <a:shade val="80000"/>
      </a:schemeClr>
    </dgm:fillClrLst>
    <dgm:linClrLst meth="repeat">
      <a:schemeClr val="lt1"/>
    </dgm:linClrLst>
    <dgm:effectClrLst/>
    <dgm:txLinClrLst/>
    <dgm:txFillClrLst/>
    <dgm:txEffectClrLst/>
  </dgm:styleLbl>
  <dgm:styleLbl name="asst2">
    <dgm:fillClrLst>
      <a:schemeClr val="accent2">
        <a:tint val="99000"/>
      </a:schemeClr>
    </dgm:fillClrLst>
    <dgm:linClrLst meth="repeat">
      <a:schemeClr val="lt1"/>
    </dgm:linClrLst>
    <dgm:effectClrLst/>
    <dgm:txLinClrLst/>
    <dgm:txFillClrLst/>
    <dgm:txEffectClrLst/>
  </dgm:styleLbl>
  <dgm:styleLbl name="asst3">
    <dgm:fillClrLst>
      <a:schemeClr val="accent2">
        <a:tint val="80000"/>
      </a:schemeClr>
    </dgm:fillClrLst>
    <dgm:linClrLst meth="repeat">
      <a:schemeClr val="lt1"/>
    </dgm:linClrLst>
    <dgm:effectClrLst/>
    <dgm:txLinClrLst/>
    <dgm:txFillClrLst/>
    <dgm:txEffectClrLst/>
  </dgm:styleLbl>
  <dgm:styleLbl name="asst4">
    <dgm:fillClrLst>
      <a:schemeClr val="accent2">
        <a:tint val="70000"/>
      </a:schemeClr>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a:tint val="90000"/>
      </a:schemeClr>
    </dgm:fillClrLst>
    <dgm:linClrLst meth="repeat">
      <a:schemeClr val="accent2">
        <a:tint val="90000"/>
      </a:schemeClr>
    </dgm:linClrLst>
    <dgm:effectClrLst/>
    <dgm:txLinClrLst/>
    <dgm:txFillClrLst/>
    <dgm:txEffectClrLst/>
  </dgm:styleLbl>
  <dgm:styleLbl name="parChTrans2D3">
    <dgm:fillClrLst meth="repeat">
      <a:schemeClr val="accent2">
        <a:tint val="70000"/>
      </a:schemeClr>
    </dgm:fillClrLst>
    <dgm:linClrLst meth="repeat">
      <a:schemeClr val="accent2">
        <a:tint val="70000"/>
      </a:schemeClr>
    </dgm:linClrLst>
    <dgm:effectClrLst/>
    <dgm:txLinClrLst/>
    <dgm:txFillClrLst/>
    <dgm:txEffectClrLst/>
  </dgm:styleLbl>
  <dgm:styleLbl name="parChTrans2D4">
    <dgm:fillClrLst meth="repeat">
      <a:schemeClr val="accent2">
        <a:tint val="50000"/>
      </a:schemeClr>
    </dgm:fillClrLst>
    <dgm:linClrLst meth="repeat">
      <a:schemeClr val="accent2">
        <a:tint val="50000"/>
      </a:schemeClr>
    </dgm:linClrLst>
    <dgm:effectClrLst/>
    <dgm:txLinClrLst/>
    <dgm:txFillClrLst meth="repeat">
      <a:schemeClr val="lt1"/>
    </dgm:txFillClrLst>
    <dgm:txEffectClrLst/>
  </dgm:styleLbl>
  <dgm:styleLbl name="parChTrans1D1">
    <dgm:fillClrLst meth="repeat">
      <a:schemeClr val="accent2">
        <a:shade val="80000"/>
      </a:schemeClr>
    </dgm:fillClrLst>
    <dgm:linClrLst meth="repeat">
      <a:schemeClr val="accent2">
        <a:shade val="80000"/>
      </a:schemeClr>
    </dgm:linClrLst>
    <dgm:effectClrLst/>
    <dgm:txLinClrLst/>
    <dgm:txFillClrLst meth="repeat">
      <a:schemeClr val="tx1"/>
    </dgm:txFillClrLst>
    <dgm:txEffectClrLst/>
  </dgm:styleLbl>
  <dgm:styleLbl name="parChTrans1D2">
    <dgm:fillClrLst meth="repeat">
      <a:schemeClr val="accent2">
        <a:tint val="99000"/>
      </a:schemeClr>
    </dgm:fillClrLst>
    <dgm:linClrLst meth="repeat">
      <a:schemeClr val="accent2">
        <a:tint val="99000"/>
      </a:schemeClr>
    </dgm:linClrLst>
    <dgm:effectClrLst/>
    <dgm:txLinClrLst/>
    <dgm:txFillClrLst meth="repeat">
      <a:schemeClr val="tx1"/>
    </dgm:txFillClrLst>
    <dgm:txEffectClrLst/>
  </dgm:styleLbl>
  <dgm:styleLbl name="parChTrans1D3">
    <dgm:fillClrLst meth="repeat">
      <a:schemeClr val="accent2">
        <a:tint val="80000"/>
      </a:schemeClr>
    </dgm:fillClrLst>
    <dgm:linClrLst meth="repeat">
      <a:schemeClr val="accent2">
        <a:tint val="80000"/>
      </a:schemeClr>
    </dgm:linClrLst>
    <dgm:effectClrLst/>
    <dgm:txLinClrLst/>
    <dgm:txFillClrLst meth="repeat">
      <a:schemeClr val="tx1"/>
    </dgm:txFillClrLst>
    <dgm:txEffectClrLst/>
  </dgm:styleLbl>
  <dgm:styleLbl name="parChTrans1D4">
    <dgm:fillClrLst meth="repeat">
      <a:schemeClr val="accent2">
        <a:tint val="70000"/>
      </a:schemeClr>
    </dgm:fillClrLst>
    <dgm:linClrLst meth="repeat">
      <a:schemeClr val="accent2">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2">
        <a:shade val="80000"/>
      </a:schemeClr>
      <a:schemeClr val="accent2">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a:tint val="70000"/>
      </a:schemeClr>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FB53C4-3F01-43F9-9872-908430FD81D2}" type="doc">
      <dgm:prSet loTypeId="urn:microsoft.com/office/officeart/2005/8/layout/chevron2" loCatId="process" qsTypeId="urn:microsoft.com/office/officeart/2005/8/quickstyle/simple5" qsCatId="simple" csTypeId="urn:microsoft.com/office/officeart/2005/8/colors/accent2_3" csCatId="accent2" phldr="1"/>
      <dgm:spPr/>
      <dgm:t>
        <a:bodyPr/>
        <a:lstStyle/>
        <a:p>
          <a:endParaRPr lang="en-US"/>
        </a:p>
      </dgm:t>
    </dgm:pt>
    <dgm:pt modelId="{98718A85-6B36-4F63-AD28-600C6FC61497}">
      <dgm:prSet phldrT="[Text]" custT="1"/>
      <dgm:spPr/>
      <dgm:t>
        <a:bodyPr/>
        <a:lstStyle/>
        <a:p>
          <a:r>
            <a:rPr lang="en-US" sz="1200" b="1" i="1">
              <a:latin typeface="Times New Roman" panose="02020603050405020304" pitchFamily="18" charset="0"/>
              <a:cs typeface="Times New Roman" panose="02020603050405020304" pitchFamily="18" charset="0"/>
            </a:rPr>
            <a:t>Patient related </a:t>
          </a:r>
        </a:p>
        <a:p>
          <a:r>
            <a:rPr lang="en-US" sz="1200" b="1" i="1">
              <a:latin typeface="Times New Roman" panose="02020603050405020304" pitchFamily="18" charset="0"/>
              <a:cs typeface="Times New Roman" panose="02020603050405020304" pitchFamily="18" charset="0"/>
            </a:rPr>
            <a:t>factors</a:t>
          </a:r>
        </a:p>
      </dgm:t>
    </dgm:pt>
    <dgm:pt modelId="{1B42A316-5387-434D-9309-B4AE6C169081}" type="parTrans" cxnId="{6869C9BB-81EB-4D6B-B206-AFE05B78DE94}">
      <dgm:prSet/>
      <dgm:spPr/>
      <dgm:t>
        <a:bodyPr/>
        <a:lstStyle/>
        <a:p>
          <a:endParaRPr lang="en-US"/>
        </a:p>
      </dgm:t>
    </dgm:pt>
    <dgm:pt modelId="{0F2E3F9B-83F0-49F3-84EB-7CE5DA91F482}" type="sibTrans" cxnId="{6869C9BB-81EB-4D6B-B206-AFE05B78DE94}">
      <dgm:prSet/>
      <dgm:spPr/>
      <dgm:t>
        <a:bodyPr/>
        <a:lstStyle/>
        <a:p>
          <a:endParaRPr lang="en-US"/>
        </a:p>
      </dgm:t>
    </dgm:pt>
    <dgm:pt modelId="{F4376507-1DD8-46AB-AF86-96EA6E985394}">
      <dgm:prSet phldrT="[Text]" custT="1"/>
      <dgm:spPr/>
      <dgm:t>
        <a:bodyPr/>
        <a:lstStyle/>
        <a:p>
          <a:r>
            <a:rPr lang="en-US" sz="1800">
              <a:latin typeface="Times New Roman" panose="02020603050405020304" pitchFamily="18" charset="0"/>
              <a:cs typeface="Times New Roman" panose="02020603050405020304" pitchFamily="18" charset="0"/>
            </a:rPr>
            <a:t>Patient socio-demographic variables</a:t>
          </a:r>
        </a:p>
      </dgm:t>
    </dgm:pt>
    <dgm:pt modelId="{F8061BA4-8CA5-45FC-A0DF-FE5A8AF10FA8}" type="parTrans" cxnId="{C849CD3C-96C4-42AA-AAF5-7E010228B945}">
      <dgm:prSet/>
      <dgm:spPr/>
      <dgm:t>
        <a:bodyPr/>
        <a:lstStyle/>
        <a:p>
          <a:endParaRPr lang="en-US"/>
        </a:p>
      </dgm:t>
    </dgm:pt>
    <dgm:pt modelId="{DDF26406-382E-499F-B693-BECFFADD32CB}" type="sibTrans" cxnId="{C849CD3C-96C4-42AA-AAF5-7E010228B945}">
      <dgm:prSet/>
      <dgm:spPr/>
      <dgm:t>
        <a:bodyPr/>
        <a:lstStyle/>
        <a:p>
          <a:endParaRPr lang="en-US"/>
        </a:p>
      </dgm:t>
    </dgm:pt>
    <dgm:pt modelId="{85FEF0DD-6E39-4F86-8DE9-E664183B3E49}">
      <dgm:prSet phldrT="[Text]" custT="1"/>
      <dgm:spPr/>
      <dgm:t>
        <a:bodyPr/>
        <a:lstStyle/>
        <a:p>
          <a:r>
            <a:rPr lang="en-US" sz="1800">
              <a:latin typeface="Times New Roman" panose="02020603050405020304" pitchFamily="18" charset="0"/>
              <a:cs typeface="Times New Roman" panose="02020603050405020304" pitchFamily="18" charset="0"/>
            </a:rPr>
            <a:t>Patient cooperation</a:t>
          </a:r>
        </a:p>
      </dgm:t>
    </dgm:pt>
    <dgm:pt modelId="{595B8EA6-C29E-4D82-8F7D-F12F717F4EC1}" type="parTrans" cxnId="{AAA94E13-2C4D-4588-8305-7A6D0DF0B433}">
      <dgm:prSet/>
      <dgm:spPr/>
      <dgm:t>
        <a:bodyPr/>
        <a:lstStyle/>
        <a:p>
          <a:endParaRPr lang="en-US"/>
        </a:p>
      </dgm:t>
    </dgm:pt>
    <dgm:pt modelId="{9AE78EF1-14DC-48F1-A1E6-F96084521B5D}" type="sibTrans" cxnId="{AAA94E13-2C4D-4588-8305-7A6D0DF0B433}">
      <dgm:prSet/>
      <dgm:spPr/>
      <dgm:t>
        <a:bodyPr/>
        <a:lstStyle/>
        <a:p>
          <a:endParaRPr lang="en-US"/>
        </a:p>
      </dgm:t>
    </dgm:pt>
    <dgm:pt modelId="{3DC8E8C5-0496-4EAD-9303-780A41CFC73A}">
      <dgm:prSet phldrT="[Text]" custT="1"/>
      <dgm:spPr/>
      <dgm:t>
        <a:bodyPr/>
        <a:lstStyle/>
        <a:p>
          <a:r>
            <a:rPr lang="en-US" sz="1200" b="1" i="1">
              <a:latin typeface="Times New Roman" panose="02020603050405020304" pitchFamily="18" charset="0"/>
              <a:cs typeface="Times New Roman" panose="02020603050405020304" pitchFamily="18" charset="0"/>
            </a:rPr>
            <a:t>Provider </a:t>
          </a:r>
        </a:p>
        <a:p>
          <a:r>
            <a:rPr lang="en-US" sz="1200" b="1" i="1">
              <a:latin typeface="Times New Roman" panose="02020603050405020304" pitchFamily="18" charset="0"/>
              <a:cs typeface="Times New Roman" panose="02020603050405020304" pitchFamily="18" charset="0"/>
            </a:rPr>
            <a:t>related </a:t>
          </a:r>
        </a:p>
        <a:p>
          <a:r>
            <a:rPr lang="en-US" sz="1200" b="1" i="1">
              <a:latin typeface="Times New Roman" panose="02020603050405020304" pitchFamily="18" charset="0"/>
              <a:cs typeface="Times New Roman" panose="02020603050405020304" pitchFamily="18" charset="0"/>
            </a:rPr>
            <a:t>factors</a:t>
          </a:r>
        </a:p>
      </dgm:t>
    </dgm:pt>
    <dgm:pt modelId="{3DFBBC35-2D7B-4E44-82BD-7EA725043163}" type="parTrans" cxnId="{166E9DEB-D255-4E25-B12F-753962FCA42E}">
      <dgm:prSet/>
      <dgm:spPr/>
      <dgm:t>
        <a:bodyPr/>
        <a:lstStyle/>
        <a:p>
          <a:endParaRPr lang="en-US"/>
        </a:p>
      </dgm:t>
    </dgm:pt>
    <dgm:pt modelId="{1D24F4C0-9E87-4E5A-9EF5-524DBC7E00A9}" type="sibTrans" cxnId="{166E9DEB-D255-4E25-B12F-753962FCA42E}">
      <dgm:prSet/>
      <dgm:spPr/>
      <dgm:t>
        <a:bodyPr/>
        <a:lstStyle/>
        <a:p>
          <a:endParaRPr lang="en-US"/>
        </a:p>
      </dgm:t>
    </dgm:pt>
    <dgm:pt modelId="{C41B2BDC-EB42-4D65-AF26-EDC408D5A5C7}">
      <dgm:prSet phldrT="[Text]" custT="1"/>
      <dgm:spPr/>
      <dgm:t>
        <a:bodyPr/>
        <a:lstStyle/>
        <a:p>
          <a:r>
            <a:rPr lang="en-US" sz="1800">
              <a:latin typeface="Times New Roman" panose="02020603050405020304" pitchFamily="18" charset="0"/>
              <a:cs typeface="Times New Roman" panose="02020603050405020304" pitchFamily="18" charset="0"/>
            </a:rPr>
            <a:t>Provider socio-demographic variables</a:t>
          </a:r>
        </a:p>
      </dgm:t>
    </dgm:pt>
    <dgm:pt modelId="{87636C4E-3A28-4C5C-A848-5BD7C6B30414}" type="parTrans" cxnId="{10851FDF-E366-4A8E-A5A7-67E4E8AA5BBB}">
      <dgm:prSet/>
      <dgm:spPr/>
      <dgm:t>
        <a:bodyPr/>
        <a:lstStyle/>
        <a:p>
          <a:endParaRPr lang="en-US"/>
        </a:p>
      </dgm:t>
    </dgm:pt>
    <dgm:pt modelId="{CC420F95-DF99-4FF9-8A04-2FFF6791BE32}" type="sibTrans" cxnId="{10851FDF-E366-4A8E-A5A7-67E4E8AA5BBB}">
      <dgm:prSet/>
      <dgm:spPr/>
      <dgm:t>
        <a:bodyPr/>
        <a:lstStyle/>
        <a:p>
          <a:endParaRPr lang="en-US"/>
        </a:p>
      </dgm:t>
    </dgm:pt>
    <dgm:pt modelId="{D16BC722-A69D-44BB-8291-ED75D52794AC}">
      <dgm:prSet phldrT="[Text]" custT="1"/>
      <dgm:spPr/>
      <dgm:t>
        <a:bodyPr/>
        <a:lstStyle/>
        <a:p>
          <a:r>
            <a:rPr lang="en-US" sz="1800">
              <a:latin typeface="Times New Roman" panose="02020603050405020304" pitchFamily="18" charset="0"/>
              <a:cs typeface="Times New Roman" panose="02020603050405020304" pitchFamily="18" charset="0"/>
            </a:rPr>
            <a:t>Provider competency</a:t>
          </a:r>
        </a:p>
      </dgm:t>
    </dgm:pt>
    <dgm:pt modelId="{20DF847B-4A87-4C49-9026-9FE2CD6F7958}" type="parTrans" cxnId="{E03B0FAF-6C48-46C2-A9B8-A395A4AF7E06}">
      <dgm:prSet/>
      <dgm:spPr/>
      <dgm:t>
        <a:bodyPr/>
        <a:lstStyle/>
        <a:p>
          <a:endParaRPr lang="en-US"/>
        </a:p>
      </dgm:t>
    </dgm:pt>
    <dgm:pt modelId="{26155A9F-1B9F-4B42-8941-2A397FCED979}" type="sibTrans" cxnId="{E03B0FAF-6C48-46C2-A9B8-A395A4AF7E06}">
      <dgm:prSet/>
      <dgm:spPr/>
      <dgm:t>
        <a:bodyPr/>
        <a:lstStyle/>
        <a:p>
          <a:endParaRPr lang="en-US"/>
        </a:p>
      </dgm:t>
    </dgm:pt>
    <dgm:pt modelId="{27F96C22-68E2-4A0B-8994-A78783AED8AF}">
      <dgm:prSet phldrT="[Text]" custT="1"/>
      <dgm:spPr/>
      <dgm:t>
        <a:bodyPr/>
        <a:lstStyle/>
        <a:p>
          <a:r>
            <a:rPr lang="en-US" sz="1200" b="1" i="1">
              <a:latin typeface="Times New Roman" panose="02020603050405020304" pitchFamily="18" charset="0"/>
              <a:cs typeface="Times New Roman" panose="02020603050405020304" pitchFamily="18" charset="0"/>
            </a:rPr>
            <a:t>Environmental Factors</a:t>
          </a:r>
        </a:p>
      </dgm:t>
    </dgm:pt>
    <dgm:pt modelId="{047C24FB-6665-44D8-AF4B-F0B25DCB02C2}" type="parTrans" cxnId="{9248C540-36C0-4C5F-9EB5-84C035FACE0D}">
      <dgm:prSet/>
      <dgm:spPr/>
      <dgm:t>
        <a:bodyPr/>
        <a:lstStyle/>
        <a:p>
          <a:endParaRPr lang="en-US"/>
        </a:p>
      </dgm:t>
    </dgm:pt>
    <dgm:pt modelId="{2B0A8434-F833-4E40-AA12-8545B34E1435}" type="sibTrans" cxnId="{9248C540-36C0-4C5F-9EB5-84C035FACE0D}">
      <dgm:prSet/>
      <dgm:spPr/>
      <dgm:t>
        <a:bodyPr/>
        <a:lstStyle/>
        <a:p>
          <a:endParaRPr lang="en-US"/>
        </a:p>
      </dgm:t>
    </dgm:pt>
    <dgm:pt modelId="{66921F86-43AA-4D08-A618-45262EED2083}">
      <dgm:prSet phldrT="[Text]" custT="1"/>
      <dgm:spPr/>
      <dgm:t>
        <a:bodyPr/>
        <a:lstStyle/>
        <a:p>
          <a:r>
            <a:rPr lang="en-US" sz="1800">
              <a:latin typeface="Times New Roman" panose="02020603050405020304" pitchFamily="18" charset="0"/>
              <a:cs typeface="Times New Roman" panose="02020603050405020304" pitchFamily="18" charset="0"/>
            </a:rPr>
            <a:t>Healthcare system</a:t>
          </a:r>
        </a:p>
      </dgm:t>
    </dgm:pt>
    <dgm:pt modelId="{CCEF2E63-20BB-4717-9D31-2365E71CA798}" type="parTrans" cxnId="{03032C7D-088C-4A21-B0DC-E17D9EA8D4A8}">
      <dgm:prSet/>
      <dgm:spPr/>
      <dgm:t>
        <a:bodyPr/>
        <a:lstStyle/>
        <a:p>
          <a:endParaRPr lang="en-US"/>
        </a:p>
      </dgm:t>
    </dgm:pt>
    <dgm:pt modelId="{0C8DEF83-E236-40EE-9FF1-1B01896D846D}" type="sibTrans" cxnId="{03032C7D-088C-4A21-B0DC-E17D9EA8D4A8}">
      <dgm:prSet/>
      <dgm:spPr/>
      <dgm:t>
        <a:bodyPr/>
        <a:lstStyle/>
        <a:p>
          <a:endParaRPr lang="en-US"/>
        </a:p>
      </dgm:t>
    </dgm:pt>
    <dgm:pt modelId="{9620D266-E3EA-40FB-BF23-A09B630678C7}">
      <dgm:prSet phldrT="[Text]" custT="1"/>
      <dgm:spPr/>
      <dgm:t>
        <a:bodyPr/>
        <a:lstStyle/>
        <a:p>
          <a:r>
            <a:rPr lang="en-US" sz="1800">
              <a:latin typeface="Times New Roman" panose="02020603050405020304" pitchFamily="18" charset="0"/>
              <a:cs typeface="Times New Roman" panose="02020603050405020304" pitchFamily="18" charset="0"/>
            </a:rPr>
            <a:t>Resource and facilities</a:t>
          </a:r>
        </a:p>
      </dgm:t>
    </dgm:pt>
    <dgm:pt modelId="{70B135F8-2388-437A-B007-8CFC05463BA9}" type="parTrans" cxnId="{943D43DC-D7D8-46E3-A666-D3BE572AC383}">
      <dgm:prSet/>
      <dgm:spPr/>
      <dgm:t>
        <a:bodyPr/>
        <a:lstStyle/>
        <a:p>
          <a:endParaRPr lang="en-US"/>
        </a:p>
      </dgm:t>
    </dgm:pt>
    <dgm:pt modelId="{6CB07EAC-972B-4435-99E7-85BAA4685AF0}" type="sibTrans" cxnId="{943D43DC-D7D8-46E3-A666-D3BE572AC383}">
      <dgm:prSet/>
      <dgm:spPr/>
      <dgm:t>
        <a:bodyPr/>
        <a:lstStyle/>
        <a:p>
          <a:endParaRPr lang="en-US"/>
        </a:p>
      </dgm:t>
    </dgm:pt>
    <dgm:pt modelId="{CEBA0055-1514-41F8-9E3C-6847123C11F4}">
      <dgm:prSet phldrT="[Text]" custT="1"/>
      <dgm:spPr/>
      <dgm:t>
        <a:bodyPr/>
        <a:lstStyle/>
        <a:p>
          <a:r>
            <a:rPr lang="en-US" sz="1800">
              <a:latin typeface="Times New Roman" panose="02020603050405020304" pitchFamily="18" charset="0"/>
              <a:cs typeface="Times New Roman" panose="02020603050405020304" pitchFamily="18" charset="0"/>
            </a:rPr>
            <a:t>Type of patient illness</a:t>
          </a:r>
        </a:p>
      </dgm:t>
    </dgm:pt>
    <dgm:pt modelId="{D064A052-89C6-49D7-AF4C-BB7FE30E6213}" type="parTrans" cxnId="{CF8C5CBD-1770-41BE-89C4-D823E12BDDC7}">
      <dgm:prSet/>
      <dgm:spPr/>
      <dgm:t>
        <a:bodyPr/>
        <a:lstStyle/>
        <a:p>
          <a:endParaRPr lang="en-US"/>
        </a:p>
      </dgm:t>
    </dgm:pt>
    <dgm:pt modelId="{74DFCB67-B6EC-4277-A1D3-40B57C9ECD0A}" type="sibTrans" cxnId="{CF8C5CBD-1770-41BE-89C4-D823E12BDDC7}">
      <dgm:prSet/>
      <dgm:spPr/>
      <dgm:t>
        <a:bodyPr/>
        <a:lstStyle/>
        <a:p>
          <a:endParaRPr lang="en-US"/>
        </a:p>
      </dgm:t>
    </dgm:pt>
    <dgm:pt modelId="{71A8196B-5683-4C88-97D9-4423C9F6414E}">
      <dgm:prSet phldrT="[Text]" custT="1"/>
      <dgm:spPr/>
      <dgm:t>
        <a:bodyPr/>
        <a:lstStyle/>
        <a:p>
          <a:r>
            <a:rPr lang="en-US" sz="1800">
              <a:latin typeface="Times New Roman" panose="02020603050405020304" pitchFamily="18" charset="0"/>
              <a:cs typeface="Times New Roman" panose="02020603050405020304" pitchFamily="18" charset="0"/>
            </a:rPr>
            <a:t>Provider motivation and satisfaction</a:t>
          </a:r>
        </a:p>
      </dgm:t>
    </dgm:pt>
    <dgm:pt modelId="{250C7B58-3396-424B-A71B-E468E9A377CD}" type="parTrans" cxnId="{8EB91D47-9D01-44A5-93A1-4570A4EE5795}">
      <dgm:prSet/>
      <dgm:spPr/>
      <dgm:t>
        <a:bodyPr/>
        <a:lstStyle/>
        <a:p>
          <a:endParaRPr lang="en-US"/>
        </a:p>
      </dgm:t>
    </dgm:pt>
    <dgm:pt modelId="{82630E8F-E60D-41DB-A666-736D5A3D37EA}" type="sibTrans" cxnId="{8EB91D47-9D01-44A5-93A1-4570A4EE5795}">
      <dgm:prSet/>
      <dgm:spPr/>
      <dgm:t>
        <a:bodyPr/>
        <a:lstStyle/>
        <a:p>
          <a:endParaRPr lang="en-US"/>
        </a:p>
      </dgm:t>
    </dgm:pt>
    <dgm:pt modelId="{F1070B6C-35FA-4EBE-A5F5-F42C9C8AF979}">
      <dgm:prSet phldrT="[Text]" custT="1"/>
      <dgm:spPr/>
      <dgm:t>
        <a:bodyPr/>
        <a:lstStyle/>
        <a:p>
          <a:r>
            <a:rPr lang="en-US" sz="1800">
              <a:latin typeface="Times New Roman" panose="02020603050405020304" pitchFamily="18" charset="0"/>
              <a:cs typeface="Times New Roman" panose="02020603050405020304" pitchFamily="18" charset="0"/>
            </a:rPr>
            <a:t>Leadership and management</a:t>
          </a:r>
        </a:p>
      </dgm:t>
    </dgm:pt>
    <dgm:pt modelId="{359401D1-FA63-4019-8100-66F48BAF2135}" type="parTrans" cxnId="{27B886E4-8919-4E86-96E2-230D85C41987}">
      <dgm:prSet/>
      <dgm:spPr/>
      <dgm:t>
        <a:bodyPr/>
        <a:lstStyle/>
        <a:p>
          <a:endParaRPr lang="en-US"/>
        </a:p>
      </dgm:t>
    </dgm:pt>
    <dgm:pt modelId="{8B30D7C2-C2CB-4B22-A2D4-9C966D95EFAB}" type="sibTrans" cxnId="{27B886E4-8919-4E86-96E2-230D85C41987}">
      <dgm:prSet/>
      <dgm:spPr/>
      <dgm:t>
        <a:bodyPr/>
        <a:lstStyle/>
        <a:p>
          <a:endParaRPr lang="en-US"/>
        </a:p>
      </dgm:t>
    </dgm:pt>
    <dgm:pt modelId="{C2BC8EF1-0CFE-44E0-AF5B-EE9A5D453342}" type="pres">
      <dgm:prSet presAssocID="{A0FB53C4-3F01-43F9-9872-908430FD81D2}" presName="linearFlow" presStyleCnt="0">
        <dgm:presLayoutVars>
          <dgm:dir/>
          <dgm:animLvl val="lvl"/>
          <dgm:resizeHandles val="exact"/>
        </dgm:presLayoutVars>
      </dgm:prSet>
      <dgm:spPr/>
    </dgm:pt>
    <dgm:pt modelId="{949C0FF1-0C66-4372-843A-E7A49C259132}" type="pres">
      <dgm:prSet presAssocID="{98718A85-6B36-4F63-AD28-600C6FC61497}" presName="composite" presStyleCnt="0"/>
      <dgm:spPr/>
    </dgm:pt>
    <dgm:pt modelId="{64BAC31B-3750-4224-8790-FE738CE8966D}" type="pres">
      <dgm:prSet presAssocID="{98718A85-6B36-4F63-AD28-600C6FC61497}" presName="parentText" presStyleLbl="alignNode1" presStyleIdx="0" presStyleCnt="3">
        <dgm:presLayoutVars>
          <dgm:chMax val="1"/>
          <dgm:bulletEnabled val="1"/>
        </dgm:presLayoutVars>
      </dgm:prSet>
      <dgm:spPr/>
    </dgm:pt>
    <dgm:pt modelId="{E1773F69-B39A-4EEB-811D-C29AD0309CCC}" type="pres">
      <dgm:prSet presAssocID="{98718A85-6B36-4F63-AD28-600C6FC61497}" presName="descendantText" presStyleLbl="alignAcc1" presStyleIdx="0" presStyleCnt="3">
        <dgm:presLayoutVars>
          <dgm:bulletEnabled val="1"/>
        </dgm:presLayoutVars>
      </dgm:prSet>
      <dgm:spPr/>
    </dgm:pt>
    <dgm:pt modelId="{CC811CDA-3C79-4D2D-BF96-75F5BD0AD228}" type="pres">
      <dgm:prSet presAssocID="{0F2E3F9B-83F0-49F3-84EB-7CE5DA91F482}" presName="sp" presStyleCnt="0"/>
      <dgm:spPr/>
    </dgm:pt>
    <dgm:pt modelId="{247FE34C-31D6-4A3E-8B89-3EE0E323715E}" type="pres">
      <dgm:prSet presAssocID="{3DC8E8C5-0496-4EAD-9303-780A41CFC73A}" presName="composite" presStyleCnt="0"/>
      <dgm:spPr/>
    </dgm:pt>
    <dgm:pt modelId="{15F5F27C-4F80-479D-8D4D-0D7BF10A7DBC}" type="pres">
      <dgm:prSet presAssocID="{3DC8E8C5-0496-4EAD-9303-780A41CFC73A}" presName="parentText" presStyleLbl="alignNode1" presStyleIdx="1" presStyleCnt="3">
        <dgm:presLayoutVars>
          <dgm:chMax val="1"/>
          <dgm:bulletEnabled val="1"/>
        </dgm:presLayoutVars>
      </dgm:prSet>
      <dgm:spPr/>
    </dgm:pt>
    <dgm:pt modelId="{7D93995B-2FD8-4ABA-BA48-775D261A3D8A}" type="pres">
      <dgm:prSet presAssocID="{3DC8E8C5-0496-4EAD-9303-780A41CFC73A}" presName="descendantText" presStyleLbl="alignAcc1" presStyleIdx="1" presStyleCnt="3">
        <dgm:presLayoutVars>
          <dgm:bulletEnabled val="1"/>
        </dgm:presLayoutVars>
      </dgm:prSet>
      <dgm:spPr/>
    </dgm:pt>
    <dgm:pt modelId="{C3224130-6EAE-4BC5-998A-4AC367B89935}" type="pres">
      <dgm:prSet presAssocID="{1D24F4C0-9E87-4E5A-9EF5-524DBC7E00A9}" presName="sp" presStyleCnt="0"/>
      <dgm:spPr/>
    </dgm:pt>
    <dgm:pt modelId="{938203BE-E69A-4523-B03A-BA1C2827EF7F}" type="pres">
      <dgm:prSet presAssocID="{27F96C22-68E2-4A0B-8994-A78783AED8AF}" presName="composite" presStyleCnt="0"/>
      <dgm:spPr/>
    </dgm:pt>
    <dgm:pt modelId="{4A2E3C5B-82FF-4F31-8334-99AEB687C729}" type="pres">
      <dgm:prSet presAssocID="{27F96C22-68E2-4A0B-8994-A78783AED8AF}" presName="parentText" presStyleLbl="alignNode1" presStyleIdx="2" presStyleCnt="3">
        <dgm:presLayoutVars>
          <dgm:chMax val="1"/>
          <dgm:bulletEnabled val="1"/>
        </dgm:presLayoutVars>
      </dgm:prSet>
      <dgm:spPr/>
    </dgm:pt>
    <dgm:pt modelId="{37C72A46-EB9D-4674-A324-3A491436BCD2}" type="pres">
      <dgm:prSet presAssocID="{27F96C22-68E2-4A0B-8994-A78783AED8AF}" presName="descendantText" presStyleLbl="alignAcc1" presStyleIdx="2" presStyleCnt="3">
        <dgm:presLayoutVars>
          <dgm:bulletEnabled val="1"/>
        </dgm:presLayoutVars>
      </dgm:prSet>
      <dgm:spPr/>
    </dgm:pt>
  </dgm:ptLst>
  <dgm:cxnLst>
    <dgm:cxn modelId="{AAA94E13-2C4D-4588-8305-7A6D0DF0B433}" srcId="{98718A85-6B36-4F63-AD28-600C6FC61497}" destId="{85FEF0DD-6E39-4F86-8DE9-E664183B3E49}" srcOrd="1" destOrd="0" parTransId="{595B8EA6-C29E-4D82-8F7D-F12F717F4EC1}" sibTransId="{9AE78EF1-14DC-48F1-A1E6-F96084521B5D}"/>
    <dgm:cxn modelId="{831FEB15-44B6-4A5F-8931-8EE3F817E176}" type="presOf" srcId="{98718A85-6B36-4F63-AD28-600C6FC61497}" destId="{64BAC31B-3750-4224-8790-FE738CE8966D}" srcOrd="0" destOrd="0" presId="urn:microsoft.com/office/officeart/2005/8/layout/chevron2"/>
    <dgm:cxn modelId="{FD98541B-FF9D-402E-83C5-C6AB8D3810A2}" type="presOf" srcId="{9620D266-E3EA-40FB-BF23-A09B630678C7}" destId="{37C72A46-EB9D-4674-A324-3A491436BCD2}" srcOrd="0" destOrd="1" presId="urn:microsoft.com/office/officeart/2005/8/layout/chevron2"/>
    <dgm:cxn modelId="{C849CD3C-96C4-42AA-AAF5-7E010228B945}" srcId="{98718A85-6B36-4F63-AD28-600C6FC61497}" destId="{F4376507-1DD8-46AB-AF86-96EA6E985394}" srcOrd="0" destOrd="0" parTransId="{F8061BA4-8CA5-45FC-A0DF-FE5A8AF10FA8}" sibTransId="{DDF26406-382E-499F-B693-BECFFADD32CB}"/>
    <dgm:cxn modelId="{CF2CDF3D-9BBF-4CC1-B879-226FF49652A3}" type="presOf" srcId="{71A8196B-5683-4C88-97D9-4423C9F6414E}" destId="{7D93995B-2FD8-4ABA-BA48-775D261A3D8A}" srcOrd="0" destOrd="2" presId="urn:microsoft.com/office/officeart/2005/8/layout/chevron2"/>
    <dgm:cxn modelId="{9248C540-36C0-4C5F-9EB5-84C035FACE0D}" srcId="{A0FB53C4-3F01-43F9-9872-908430FD81D2}" destId="{27F96C22-68E2-4A0B-8994-A78783AED8AF}" srcOrd="2" destOrd="0" parTransId="{047C24FB-6665-44D8-AF4B-F0B25DCB02C2}" sibTransId="{2B0A8434-F833-4E40-AA12-8545B34E1435}"/>
    <dgm:cxn modelId="{396D2364-488F-4769-85F9-C93FFED2E22C}" type="presOf" srcId="{F4376507-1DD8-46AB-AF86-96EA6E985394}" destId="{E1773F69-B39A-4EEB-811D-C29AD0309CCC}" srcOrd="0" destOrd="0" presId="urn:microsoft.com/office/officeart/2005/8/layout/chevron2"/>
    <dgm:cxn modelId="{8EB91D47-9D01-44A5-93A1-4570A4EE5795}" srcId="{3DC8E8C5-0496-4EAD-9303-780A41CFC73A}" destId="{71A8196B-5683-4C88-97D9-4423C9F6414E}" srcOrd="2" destOrd="0" parTransId="{250C7B58-3396-424B-A71B-E468E9A377CD}" sibTransId="{82630E8F-E60D-41DB-A666-736D5A3D37EA}"/>
    <dgm:cxn modelId="{03032C7D-088C-4A21-B0DC-E17D9EA8D4A8}" srcId="{27F96C22-68E2-4A0B-8994-A78783AED8AF}" destId="{66921F86-43AA-4D08-A618-45262EED2083}" srcOrd="0" destOrd="0" parTransId="{CCEF2E63-20BB-4717-9D31-2365E71CA798}" sibTransId="{0C8DEF83-E236-40EE-9FF1-1B01896D846D}"/>
    <dgm:cxn modelId="{E49CB09C-7FA9-4DB0-ACBE-C85BCD491CF3}" type="presOf" srcId="{66921F86-43AA-4D08-A618-45262EED2083}" destId="{37C72A46-EB9D-4674-A324-3A491436BCD2}" srcOrd="0" destOrd="0" presId="urn:microsoft.com/office/officeart/2005/8/layout/chevron2"/>
    <dgm:cxn modelId="{C24DF2A7-3380-482F-A361-706E0EE0C599}" type="presOf" srcId="{3DC8E8C5-0496-4EAD-9303-780A41CFC73A}" destId="{15F5F27C-4F80-479D-8D4D-0D7BF10A7DBC}" srcOrd="0" destOrd="0" presId="urn:microsoft.com/office/officeart/2005/8/layout/chevron2"/>
    <dgm:cxn modelId="{E03B0FAF-6C48-46C2-A9B8-A395A4AF7E06}" srcId="{3DC8E8C5-0496-4EAD-9303-780A41CFC73A}" destId="{D16BC722-A69D-44BB-8291-ED75D52794AC}" srcOrd="1" destOrd="0" parTransId="{20DF847B-4A87-4C49-9026-9FE2CD6F7958}" sibTransId="{26155A9F-1B9F-4B42-8941-2A397FCED979}"/>
    <dgm:cxn modelId="{36FC86B2-05CF-417E-B7DA-738D09AE37D5}" type="presOf" srcId="{85FEF0DD-6E39-4F86-8DE9-E664183B3E49}" destId="{E1773F69-B39A-4EEB-811D-C29AD0309CCC}" srcOrd="0" destOrd="1" presId="urn:microsoft.com/office/officeart/2005/8/layout/chevron2"/>
    <dgm:cxn modelId="{6E7712B6-798B-46F4-9388-97BBFEF57466}" type="presOf" srcId="{CEBA0055-1514-41F8-9E3C-6847123C11F4}" destId="{E1773F69-B39A-4EEB-811D-C29AD0309CCC}" srcOrd="0" destOrd="2" presId="urn:microsoft.com/office/officeart/2005/8/layout/chevron2"/>
    <dgm:cxn modelId="{6869C9BB-81EB-4D6B-B206-AFE05B78DE94}" srcId="{A0FB53C4-3F01-43F9-9872-908430FD81D2}" destId="{98718A85-6B36-4F63-AD28-600C6FC61497}" srcOrd="0" destOrd="0" parTransId="{1B42A316-5387-434D-9309-B4AE6C169081}" sibTransId="{0F2E3F9B-83F0-49F3-84EB-7CE5DA91F482}"/>
    <dgm:cxn modelId="{CF8C5CBD-1770-41BE-89C4-D823E12BDDC7}" srcId="{98718A85-6B36-4F63-AD28-600C6FC61497}" destId="{CEBA0055-1514-41F8-9E3C-6847123C11F4}" srcOrd="2" destOrd="0" parTransId="{D064A052-89C6-49D7-AF4C-BB7FE30E6213}" sibTransId="{74DFCB67-B6EC-4277-A1D3-40B57C9ECD0A}"/>
    <dgm:cxn modelId="{44ECA2CF-8291-45B3-BE59-6D5950AF8362}" type="presOf" srcId="{C41B2BDC-EB42-4D65-AF26-EDC408D5A5C7}" destId="{7D93995B-2FD8-4ABA-BA48-775D261A3D8A}" srcOrd="0" destOrd="0" presId="urn:microsoft.com/office/officeart/2005/8/layout/chevron2"/>
    <dgm:cxn modelId="{3C7A5DD1-48A8-4CAD-AC46-7D2914D2925D}" type="presOf" srcId="{F1070B6C-35FA-4EBE-A5F5-F42C9C8AF979}" destId="{37C72A46-EB9D-4674-A324-3A491436BCD2}" srcOrd="0" destOrd="2" presId="urn:microsoft.com/office/officeart/2005/8/layout/chevron2"/>
    <dgm:cxn modelId="{4FE5DAD9-DFED-46C3-99F3-8BD8925D30B3}" type="presOf" srcId="{D16BC722-A69D-44BB-8291-ED75D52794AC}" destId="{7D93995B-2FD8-4ABA-BA48-775D261A3D8A}" srcOrd="0" destOrd="1" presId="urn:microsoft.com/office/officeart/2005/8/layout/chevron2"/>
    <dgm:cxn modelId="{943D43DC-D7D8-46E3-A666-D3BE572AC383}" srcId="{27F96C22-68E2-4A0B-8994-A78783AED8AF}" destId="{9620D266-E3EA-40FB-BF23-A09B630678C7}" srcOrd="1" destOrd="0" parTransId="{70B135F8-2388-437A-B007-8CFC05463BA9}" sibTransId="{6CB07EAC-972B-4435-99E7-85BAA4685AF0}"/>
    <dgm:cxn modelId="{10851FDF-E366-4A8E-A5A7-67E4E8AA5BBB}" srcId="{3DC8E8C5-0496-4EAD-9303-780A41CFC73A}" destId="{C41B2BDC-EB42-4D65-AF26-EDC408D5A5C7}" srcOrd="0" destOrd="0" parTransId="{87636C4E-3A28-4C5C-A848-5BD7C6B30414}" sibTransId="{CC420F95-DF99-4FF9-8A04-2FFF6791BE32}"/>
    <dgm:cxn modelId="{27B886E4-8919-4E86-96E2-230D85C41987}" srcId="{27F96C22-68E2-4A0B-8994-A78783AED8AF}" destId="{F1070B6C-35FA-4EBE-A5F5-F42C9C8AF979}" srcOrd="2" destOrd="0" parTransId="{359401D1-FA63-4019-8100-66F48BAF2135}" sibTransId="{8B30D7C2-C2CB-4B22-A2D4-9C966D95EFAB}"/>
    <dgm:cxn modelId="{166E9DEB-D255-4E25-B12F-753962FCA42E}" srcId="{A0FB53C4-3F01-43F9-9872-908430FD81D2}" destId="{3DC8E8C5-0496-4EAD-9303-780A41CFC73A}" srcOrd="1" destOrd="0" parTransId="{3DFBBC35-2D7B-4E44-82BD-7EA725043163}" sibTransId="{1D24F4C0-9E87-4E5A-9EF5-524DBC7E00A9}"/>
    <dgm:cxn modelId="{61528CFB-7D4B-4C59-8011-E411D55EC988}" type="presOf" srcId="{A0FB53C4-3F01-43F9-9872-908430FD81D2}" destId="{C2BC8EF1-0CFE-44E0-AF5B-EE9A5D453342}" srcOrd="0" destOrd="0" presId="urn:microsoft.com/office/officeart/2005/8/layout/chevron2"/>
    <dgm:cxn modelId="{758579FF-B549-4CBB-AD5A-E5BEBE2A74B8}" type="presOf" srcId="{27F96C22-68E2-4A0B-8994-A78783AED8AF}" destId="{4A2E3C5B-82FF-4F31-8334-99AEB687C729}" srcOrd="0" destOrd="0" presId="urn:microsoft.com/office/officeart/2005/8/layout/chevron2"/>
    <dgm:cxn modelId="{5FF34251-5AB7-439B-90D6-D3C174E20E40}" type="presParOf" srcId="{C2BC8EF1-0CFE-44E0-AF5B-EE9A5D453342}" destId="{949C0FF1-0C66-4372-843A-E7A49C259132}" srcOrd="0" destOrd="0" presId="urn:microsoft.com/office/officeart/2005/8/layout/chevron2"/>
    <dgm:cxn modelId="{DD165ABF-55AD-4AC2-9B58-A0EB9C98CB1E}" type="presParOf" srcId="{949C0FF1-0C66-4372-843A-E7A49C259132}" destId="{64BAC31B-3750-4224-8790-FE738CE8966D}" srcOrd="0" destOrd="0" presId="urn:microsoft.com/office/officeart/2005/8/layout/chevron2"/>
    <dgm:cxn modelId="{420B7B9C-D9F9-4595-BB89-6924BE25312F}" type="presParOf" srcId="{949C0FF1-0C66-4372-843A-E7A49C259132}" destId="{E1773F69-B39A-4EEB-811D-C29AD0309CCC}" srcOrd="1" destOrd="0" presId="urn:microsoft.com/office/officeart/2005/8/layout/chevron2"/>
    <dgm:cxn modelId="{D5E53B9D-4F06-4EF8-8F29-BECAAEDBCD37}" type="presParOf" srcId="{C2BC8EF1-0CFE-44E0-AF5B-EE9A5D453342}" destId="{CC811CDA-3C79-4D2D-BF96-75F5BD0AD228}" srcOrd="1" destOrd="0" presId="urn:microsoft.com/office/officeart/2005/8/layout/chevron2"/>
    <dgm:cxn modelId="{D1D96CE9-F0CC-43FC-8D16-4C0C2396028D}" type="presParOf" srcId="{C2BC8EF1-0CFE-44E0-AF5B-EE9A5D453342}" destId="{247FE34C-31D6-4A3E-8B89-3EE0E323715E}" srcOrd="2" destOrd="0" presId="urn:microsoft.com/office/officeart/2005/8/layout/chevron2"/>
    <dgm:cxn modelId="{63163C86-0345-480F-822E-C4C68E66600E}" type="presParOf" srcId="{247FE34C-31D6-4A3E-8B89-3EE0E323715E}" destId="{15F5F27C-4F80-479D-8D4D-0D7BF10A7DBC}" srcOrd="0" destOrd="0" presId="urn:microsoft.com/office/officeart/2005/8/layout/chevron2"/>
    <dgm:cxn modelId="{1F14AAF7-CAB6-4043-A0CC-29E807A298C5}" type="presParOf" srcId="{247FE34C-31D6-4A3E-8B89-3EE0E323715E}" destId="{7D93995B-2FD8-4ABA-BA48-775D261A3D8A}" srcOrd="1" destOrd="0" presId="urn:microsoft.com/office/officeart/2005/8/layout/chevron2"/>
    <dgm:cxn modelId="{1348AB14-1496-4D15-9C25-883B2A7AD50D}" type="presParOf" srcId="{C2BC8EF1-0CFE-44E0-AF5B-EE9A5D453342}" destId="{C3224130-6EAE-4BC5-998A-4AC367B89935}" srcOrd="3" destOrd="0" presId="urn:microsoft.com/office/officeart/2005/8/layout/chevron2"/>
    <dgm:cxn modelId="{4B843961-6530-445F-9047-ABF60ED453DD}" type="presParOf" srcId="{C2BC8EF1-0CFE-44E0-AF5B-EE9A5D453342}" destId="{938203BE-E69A-4523-B03A-BA1C2827EF7F}" srcOrd="4" destOrd="0" presId="urn:microsoft.com/office/officeart/2005/8/layout/chevron2"/>
    <dgm:cxn modelId="{0ACC7F3A-D321-43F6-8F3A-622FD2B88E79}" type="presParOf" srcId="{938203BE-E69A-4523-B03A-BA1C2827EF7F}" destId="{4A2E3C5B-82FF-4F31-8334-99AEB687C729}" srcOrd="0" destOrd="0" presId="urn:microsoft.com/office/officeart/2005/8/layout/chevron2"/>
    <dgm:cxn modelId="{09A4DB4C-5519-4C10-9F4C-00BE9ACB84EF}" type="presParOf" srcId="{938203BE-E69A-4523-B03A-BA1C2827EF7F}" destId="{37C72A46-EB9D-4674-A324-3A491436BCD2}" srcOrd="1" destOrd="0" presId="urn:microsoft.com/office/officeart/2005/8/layout/chevron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BAC31B-3750-4224-8790-FE738CE8966D}">
      <dsp:nvSpPr>
        <dsp:cNvPr id="0" name=""/>
        <dsp:cNvSpPr/>
      </dsp:nvSpPr>
      <dsp:spPr>
        <a:xfrm rot="5400000">
          <a:off x="-231575" y="234566"/>
          <a:ext cx="1543838" cy="1080686"/>
        </a:xfrm>
        <a:prstGeom prst="chevron">
          <a:avLst/>
        </a:prstGeom>
        <a:gradFill rotWithShape="0">
          <a:gsLst>
            <a:gs pos="0">
              <a:schemeClr val="accent2">
                <a:shade val="80000"/>
                <a:hueOff val="0"/>
                <a:satOff val="0"/>
                <a:lumOff val="0"/>
                <a:alphaOff val="0"/>
                <a:satMod val="103000"/>
                <a:lumMod val="102000"/>
                <a:tint val="94000"/>
              </a:schemeClr>
            </a:gs>
            <a:gs pos="50000">
              <a:schemeClr val="accent2">
                <a:shade val="80000"/>
                <a:hueOff val="0"/>
                <a:satOff val="0"/>
                <a:lumOff val="0"/>
                <a:alphaOff val="0"/>
                <a:satMod val="110000"/>
                <a:lumMod val="100000"/>
                <a:shade val="100000"/>
              </a:schemeClr>
            </a:gs>
            <a:gs pos="100000">
              <a:schemeClr val="accent2">
                <a:shade val="80000"/>
                <a:hueOff val="0"/>
                <a:satOff val="0"/>
                <a:lumOff val="0"/>
                <a:alphaOff val="0"/>
                <a:lumMod val="99000"/>
                <a:satMod val="120000"/>
                <a:shade val="78000"/>
              </a:schemeClr>
            </a:gs>
          </a:gsLst>
          <a:lin ang="5400000" scaled="0"/>
        </a:gradFill>
        <a:ln w="6350" cap="flat" cmpd="sng" algn="ctr">
          <a:solidFill>
            <a:schemeClr val="accent2">
              <a:shade val="80000"/>
              <a:hueOff val="0"/>
              <a:satOff val="0"/>
              <a:lumOff val="0"/>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Patient related </a:t>
          </a:r>
        </a:p>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factors</a:t>
          </a:r>
        </a:p>
      </dsp:txBody>
      <dsp:txXfrm rot="-5400000">
        <a:off x="1" y="543333"/>
        <a:ext cx="1080686" cy="463152"/>
      </dsp:txXfrm>
    </dsp:sp>
    <dsp:sp modelId="{E1773F69-B39A-4EEB-811D-C29AD0309CCC}">
      <dsp:nvSpPr>
        <dsp:cNvPr id="0" name=""/>
        <dsp:cNvSpPr/>
      </dsp:nvSpPr>
      <dsp:spPr>
        <a:xfrm rot="5400000">
          <a:off x="2781795" y="-1698117"/>
          <a:ext cx="1003494" cy="4405713"/>
        </a:xfrm>
        <a:prstGeom prst="round2SameRect">
          <a:avLst/>
        </a:prstGeom>
        <a:solidFill>
          <a:schemeClr val="lt1">
            <a:alpha val="90000"/>
            <a:hueOff val="0"/>
            <a:satOff val="0"/>
            <a:lumOff val="0"/>
            <a:alphaOff val="0"/>
          </a:schemeClr>
        </a:solidFill>
        <a:ln w="6350" cap="flat" cmpd="sng" algn="ctr">
          <a:solidFill>
            <a:schemeClr val="accent2">
              <a:shade val="80000"/>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Patient socio-demographic variables</a:t>
          </a:r>
        </a:p>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Patient cooperation</a:t>
          </a:r>
        </a:p>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Type of patient illness</a:t>
          </a:r>
        </a:p>
      </dsp:txBody>
      <dsp:txXfrm rot="-5400000">
        <a:off x="1080686" y="51979"/>
        <a:ext cx="4356726" cy="905520"/>
      </dsp:txXfrm>
    </dsp:sp>
    <dsp:sp modelId="{15F5F27C-4F80-479D-8D4D-0D7BF10A7DBC}">
      <dsp:nvSpPr>
        <dsp:cNvPr id="0" name=""/>
        <dsp:cNvSpPr/>
      </dsp:nvSpPr>
      <dsp:spPr>
        <a:xfrm rot="5400000">
          <a:off x="-231575" y="1583731"/>
          <a:ext cx="1543838" cy="1080686"/>
        </a:xfrm>
        <a:prstGeom prst="chevron">
          <a:avLst/>
        </a:prstGeom>
        <a:gradFill rotWithShape="0">
          <a:gsLst>
            <a:gs pos="0">
              <a:schemeClr val="accent2">
                <a:shade val="80000"/>
                <a:hueOff val="-240708"/>
                <a:satOff val="5083"/>
                <a:lumOff val="13541"/>
                <a:alphaOff val="0"/>
                <a:satMod val="103000"/>
                <a:lumMod val="102000"/>
                <a:tint val="94000"/>
              </a:schemeClr>
            </a:gs>
            <a:gs pos="50000">
              <a:schemeClr val="accent2">
                <a:shade val="80000"/>
                <a:hueOff val="-240708"/>
                <a:satOff val="5083"/>
                <a:lumOff val="13541"/>
                <a:alphaOff val="0"/>
                <a:satMod val="110000"/>
                <a:lumMod val="100000"/>
                <a:shade val="100000"/>
              </a:schemeClr>
            </a:gs>
            <a:gs pos="100000">
              <a:schemeClr val="accent2">
                <a:shade val="80000"/>
                <a:hueOff val="-240708"/>
                <a:satOff val="5083"/>
                <a:lumOff val="13541"/>
                <a:alphaOff val="0"/>
                <a:lumMod val="99000"/>
                <a:satMod val="120000"/>
                <a:shade val="78000"/>
              </a:schemeClr>
            </a:gs>
          </a:gsLst>
          <a:lin ang="5400000" scaled="0"/>
        </a:gradFill>
        <a:ln w="6350" cap="flat" cmpd="sng" algn="ctr">
          <a:solidFill>
            <a:schemeClr val="accent2">
              <a:shade val="80000"/>
              <a:hueOff val="-240708"/>
              <a:satOff val="5083"/>
              <a:lumOff val="13541"/>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Provider </a:t>
          </a:r>
        </a:p>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related </a:t>
          </a:r>
        </a:p>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factors</a:t>
          </a:r>
        </a:p>
      </dsp:txBody>
      <dsp:txXfrm rot="-5400000">
        <a:off x="1" y="1892498"/>
        <a:ext cx="1080686" cy="463152"/>
      </dsp:txXfrm>
    </dsp:sp>
    <dsp:sp modelId="{7D93995B-2FD8-4ABA-BA48-775D261A3D8A}">
      <dsp:nvSpPr>
        <dsp:cNvPr id="0" name=""/>
        <dsp:cNvSpPr/>
      </dsp:nvSpPr>
      <dsp:spPr>
        <a:xfrm rot="5400000">
          <a:off x="2781532" y="-348689"/>
          <a:ext cx="1004022" cy="4405713"/>
        </a:xfrm>
        <a:prstGeom prst="round2SameRect">
          <a:avLst/>
        </a:prstGeom>
        <a:solidFill>
          <a:schemeClr val="lt1">
            <a:alpha val="90000"/>
            <a:hueOff val="0"/>
            <a:satOff val="0"/>
            <a:lumOff val="0"/>
            <a:alphaOff val="0"/>
          </a:schemeClr>
        </a:solidFill>
        <a:ln w="6350" cap="flat" cmpd="sng" algn="ctr">
          <a:solidFill>
            <a:schemeClr val="accent2">
              <a:shade val="80000"/>
              <a:hueOff val="-240708"/>
              <a:satOff val="5083"/>
              <a:lumOff val="1354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Provider socio-demographic variables</a:t>
          </a:r>
        </a:p>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Provider competency</a:t>
          </a:r>
        </a:p>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Provider motivation and satisfaction</a:t>
          </a:r>
        </a:p>
      </dsp:txBody>
      <dsp:txXfrm rot="-5400000">
        <a:off x="1080687" y="1401168"/>
        <a:ext cx="4356701" cy="905998"/>
      </dsp:txXfrm>
    </dsp:sp>
    <dsp:sp modelId="{4A2E3C5B-82FF-4F31-8334-99AEB687C729}">
      <dsp:nvSpPr>
        <dsp:cNvPr id="0" name=""/>
        <dsp:cNvSpPr/>
      </dsp:nvSpPr>
      <dsp:spPr>
        <a:xfrm rot="5400000">
          <a:off x="-231575" y="2932896"/>
          <a:ext cx="1543838" cy="1080686"/>
        </a:xfrm>
        <a:prstGeom prst="chevron">
          <a:avLst/>
        </a:prstGeom>
        <a:gradFill rotWithShape="0">
          <a:gsLst>
            <a:gs pos="0">
              <a:schemeClr val="accent2">
                <a:shade val="80000"/>
                <a:hueOff val="-481415"/>
                <a:satOff val="10166"/>
                <a:lumOff val="27081"/>
                <a:alphaOff val="0"/>
                <a:satMod val="103000"/>
                <a:lumMod val="102000"/>
                <a:tint val="94000"/>
              </a:schemeClr>
            </a:gs>
            <a:gs pos="50000">
              <a:schemeClr val="accent2">
                <a:shade val="80000"/>
                <a:hueOff val="-481415"/>
                <a:satOff val="10166"/>
                <a:lumOff val="27081"/>
                <a:alphaOff val="0"/>
                <a:satMod val="110000"/>
                <a:lumMod val="100000"/>
                <a:shade val="100000"/>
              </a:schemeClr>
            </a:gs>
            <a:gs pos="100000">
              <a:schemeClr val="accent2">
                <a:shade val="80000"/>
                <a:hueOff val="-481415"/>
                <a:satOff val="10166"/>
                <a:lumOff val="27081"/>
                <a:alphaOff val="0"/>
                <a:lumMod val="99000"/>
                <a:satMod val="120000"/>
                <a:shade val="78000"/>
              </a:schemeClr>
            </a:gs>
          </a:gsLst>
          <a:lin ang="5400000" scaled="0"/>
        </a:gradFill>
        <a:ln w="6350" cap="flat" cmpd="sng" algn="ctr">
          <a:solidFill>
            <a:schemeClr val="accent2">
              <a:shade val="80000"/>
              <a:hueOff val="-481415"/>
              <a:satOff val="10166"/>
              <a:lumOff val="27081"/>
              <a:alphaOff val="0"/>
            </a:schemeClr>
          </a:solidFill>
          <a:prstDash val="solid"/>
          <a:miter lim="800000"/>
        </a:ln>
        <a:effectLst>
          <a:outerShdw blurRad="57150" dist="19050" dir="5400000" algn="ctr" rotWithShape="0">
            <a:srgbClr val="000000">
              <a:alpha val="63000"/>
            </a:srgbClr>
          </a:outerShdw>
        </a:effectLst>
      </dsp:spPr>
      <dsp:style>
        <a:lnRef idx="1">
          <a:scrgbClr r="0" g="0" b="0"/>
        </a:lnRef>
        <a:fillRef idx="3">
          <a:scrgbClr r="0" g="0" b="0"/>
        </a:fillRef>
        <a:effectRef idx="3">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i="1" kern="1200">
              <a:latin typeface="Times New Roman" panose="02020603050405020304" pitchFamily="18" charset="0"/>
              <a:cs typeface="Times New Roman" panose="02020603050405020304" pitchFamily="18" charset="0"/>
            </a:rPr>
            <a:t>Environmental Factors</a:t>
          </a:r>
        </a:p>
      </dsp:txBody>
      <dsp:txXfrm rot="-5400000">
        <a:off x="1" y="3241663"/>
        <a:ext cx="1080686" cy="463152"/>
      </dsp:txXfrm>
    </dsp:sp>
    <dsp:sp modelId="{37C72A46-EB9D-4674-A324-3A491436BCD2}">
      <dsp:nvSpPr>
        <dsp:cNvPr id="0" name=""/>
        <dsp:cNvSpPr/>
      </dsp:nvSpPr>
      <dsp:spPr>
        <a:xfrm rot="5400000">
          <a:off x="2781795" y="1000211"/>
          <a:ext cx="1003494" cy="4405713"/>
        </a:xfrm>
        <a:prstGeom prst="round2SameRect">
          <a:avLst/>
        </a:prstGeom>
        <a:solidFill>
          <a:schemeClr val="lt1">
            <a:alpha val="90000"/>
            <a:hueOff val="0"/>
            <a:satOff val="0"/>
            <a:lumOff val="0"/>
            <a:alphaOff val="0"/>
          </a:schemeClr>
        </a:solidFill>
        <a:ln w="6350" cap="flat" cmpd="sng" algn="ctr">
          <a:solidFill>
            <a:schemeClr val="accent2">
              <a:shade val="80000"/>
              <a:hueOff val="-481415"/>
              <a:satOff val="10166"/>
              <a:lumOff val="27081"/>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Healthcare system</a:t>
          </a:r>
        </a:p>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Resource and facilities</a:t>
          </a:r>
        </a:p>
        <a:p>
          <a:pPr marL="171450" lvl="1" indent="-171450" algn="l" defTabSz="800100">
            <a:lnSpc>
              <a:spcPct val="90000"/>
            </a:lnSpc>
            <a:spcBef>
              <a:spcPct val="0"/>
            </a:spcBef>
            <a:spcAft>
              <a:spcPct val="15000"/>
            </a:spcAft>
            <a:buChar char="•"/>
          </a:pPr>
          <a:r>
            <a:rPr lang="en-US" sz="1800" kern="1200">
              <a:latin typeface="Times New Roman" panose="02020603050405020304" pitchFamily="18" charset="0"/>
              <a:cs typeface="Times New Roman" panose="02020603050405020304" pitchFamily="18" charset="0"/>
            </a:rPr>
            <a:t>Leadership and management</a:t>
          </a:r>
        </a:p>
      </dsp:txBody>
      <dsp:txXfrm rot="-5400000">
        <a:off x="1080686" y="2750308"/>
        <a:ext cx="4356726" cy="90552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2.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3.xml><?xml version="1.0" encoding="utf-8"?>
<ds:datastoreItem xmlns:ds="http://schemas.openxmlformats.org/officeDocument/2006/customXml" ds:itemID="{FB2217AB-D75A-4F93-8E4B-A3F59D87A6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21</Pages>
  <Words>6444</Words>
  <Characters>36735</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43093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Assignment template</dc:subject>
  <dc:creator>Julia Ault</dc:creator>
  <cp:keywords/>
  <dc:description/>
  <cp:lastModifiedBy>Monica Iftode (2008839)</cp:lastModifiedBy>
  <cp:revision>37</cp:revision>
  <dcterms:created xsi:type="dcterms:W3CDTF">2022-03-17T14:30:00Z</dcterms:created>
  <dcterms:modified xsi:type="dcterms:W3CDTF">2022-12-04T12:47:00Z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ies>
</file>