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64CB9" w:rsidRDefault="00864CB9">
      <w:pPr>
        <w:rPr>
          <w:rFonts w:asciiTheme="majorHAnsi" w:hAnsiTheme="majorHAnsi"/>
          <w:sz w:val="28"/>
          <w:szCs w:val="28"/>
          <w:u w:val="single"/>
        </w:rPr>
      </w:pPr>
      <w:r w:rsidRPr="00864CB9">
        <w:rPr>
          <w:rFonts w:asciiTheme="majorHAnsi" w:hAnsiTheme="majorHAnsi"/>
          <w:sz w:val="28"/>
          <w:szCs w:val="28"/>
          <w:u w:val="single"/>
        </w:rPr>
        <w:t>Modulated space</w:t>
      </w:r>
    </w:p>
    <w:p w:rsidR="0092205D" w:rsidRPr="00864CB9" w:rsidRDefault="0092205D">
      <w:pPr>
        <w:rPr>
          <w:rFonts w:asciiTheme="majorHAnsi" w:hAnsiTheme="majorHAnsi"/>
          <w:sz w:val="28"/>
          <w:szCs w:val="28"/>
          <w:u w:val="single"/>
        </w:rPr>
      </w:pPr>
      <w:r>
        <w:rPr>
          <w:rFonts w:asciiTheme="majorHAnsi" w:hAnsiTheme="majorHAnsi"/>
          <w:sz w:val="28"/>
          <w:szCs w:val="28"/>
          <w:u w:val="single"/>
        </w:rPr>
        <w:t>Word count: 1310</w:t>
      </w:r>
      <w:bookmarkStart w:id="0" w:name="_GoBack"/>
      <w:bookmarkEnd w:id="0"/>
    </w:p>
    <w:p w:rsidR="00F567D2" w:rsidRDefault="00F567D2">
      <w:r>
        <w:t xml:space="preserve">The exhibition that I’ll be curating </w:t>
      </w:r>
      <w:r w:rsidR="00EC56C6">
        <w:t>will take</w:t>
      </w:r>
      <w:r w:rsidR="00864CB9">
        <w:t xml:space="preserve"> place in the mission gallery and </w:t>
      </w:r>
      <w:r>
        <w:t>is</w:t>
      </w:r>
      <w:r w:rsidR="00864CB9">
        <w:t xml:space="preserve"> called</w:t>
      </w:r>
      <w:r>
        <w:t xml:space="preserve"> Modulated space and the artists/designers that I’ll be showcasing are USM design, Lego, Andy Warhol, Leda Luss – Luyken and Carsten Holler.</w:t>
      </w:r>
    </w:p>
    <w:p w:rsidR="002413AC" w:rsidRDefault="005A502A">
      <w:r>
        <w:t>(</w:t>
      </w:r>
      <w:r w:rsidR="009E4131">
        <w:t>Osborne</w:t>
      </w:r>
      <w:r>
        <w:t xml:space="preserve"> 1980, p.37) states that ‘’Fire</w:t>
      </w:r>
      <w:r w:rsidR="009E4131">
        <w:t xml:space="preserve"> has fascinated man ever since he first learned to control it for his own </w:t>
      </w:r>
      <w:r>
        <w:t>purposes’’</w:t>
      </w:r>
      <w:r w:rsidR="006574B7">
        <w:t xml:space="preserve">. </w:t>
      </w:r>
      <w:r w:rsidR="0042151C">
        <w:t xml:space="preserve"> From pagans worshiping the sun to artists trying to represent light in their work there has always been an interest in how the world around us is shown due to light and how to understand </w:t>
      </w:r>
      <w:r w:rsidR="00943439">
        <w:t>wh</w:t>
      </w:r>
      <w:r w:rsidR="0042151C">
        <w:t>y we are drawn to a source that emits a light</w:t>
      </w:r>
      <w:r w:rsidR="00943439">
        <w:t xml:space="preserve">. Over time we developed this interest in to creating various light sources to meet our own needs. </w:t>
      </w:r>
    </w:p>
    <w:p w:rsidR="00032766" w:rsidRDefault="00943439">
      <w:r>
        <w:t xml:space="preserve">A main feature in any household is how we choose to light up the space/ area by either natural (candles etc.) or electrical sources. </w:t>
      </w:r>
      <w:r w:rsidR="006574B7">
        <w:t xml:space="preserve">These sources come in various forms of design so that the consumer of these products is not limited in choosing. One of the benefits this provides is that e.g. a lamp or </w:t>
      </w:r>
      <w:r w:rsidR="00827BFC">
        <w:t>chandelier can</w:t>
      </w:r>
      <w:r w:rsidR="006574B7">
        <w:t xml:space="preserve"> be constantly </w:t>
      </w:r>
      <w:r w:rsidR="00827BFC">
        <w:t xml:space="preserve">redesigned. As the redesigning developed over time </w:t>
      </w:r>
      <w:r w:rsidR="00BD299C">
        <w:t xml:space="preserve">it </w:t>
      </w:r>
      <w:r w:rsidR="002A5E7E">
        <w:t>came apparent</w:t>
      </w:r>
      <w:r w:rsidR="00BD299C">
        <w:t xml:space="preserve"> that there was limitation in</w:t>
      </w:r>
      <w:r w:rsidR="00951852">
        <w:t xml:space="preserve"> how it could transform its form</w:t>
      </w:r>
      <w:r w:rsidR="00BD299C">
        <w:t>/shape</w:t>
      </w:r>
      <w:r w:rsidR="00951852">
        <w:t xml:space="preserve"> and how it could move</w:t>
      </w:r>
      <w:r w:rsidR="00BD299C">
        <w:t xml:space="preserve"> or </w:t>
      </w:r>
      <w:r w:rsidR="002A5E7E">
        <w:t>adapt to different areas in the space it was meant to light up.</w:t>
      </w:r>
      <w:r w:rsidR="00951852">
        <w:t xml:space="preserve"> To solve this matter various approaches were considered and looked into </w:t>
      </w:r>
      <w:r w:rsidR="00BD299C">
        <w:t>and after time a conclusion came about that could explain and fulfil what was trying to be achieved which was called modular.</w:t>
      </w:r>
    </w:p>
    <w:p w:rsidR="00BD299C" w:rsidRDefault="00BD299C">
      <w:r>
        <w:t xml:space="preserve"> ‘’The modular did not have to be invented: it can be found everywhere’’ (Meltzer and Von Oppeln 2016)</w:t>
      </w:r>
    </w:p>
    <w:p w:rsidR="00F52325" w:rsidRDefault="00E35A44">
      <w:r>
        <w:t xml:space="preserve">Modular is a term that </w:t>
      </w:r>
      <w:r w:rsidR="00250D7D">
        <w:t xml:space="preserve">is </w:t>
      </w:r>
      <w:r>
        <w:t xml:space="preserve">not only confined to </w:t>
      </w:r>
      <w:r w:rsidR="00151B50">
        <w:t>one particular</w:t>
      </w:r>
      <w:r>
        <w:t xml:space="preserve"> field of work, it’s a </w:t>
      </w:r>
      <w:r w:rsidR="00151B50">
        <w:t xml:space="preserve">universal concept that has been around for as long the term design has been.  </w:t>
      </w:r>
      <w:r w:rsidR="00250D7D">
        <w:t xml:space="preserve">Alexander </w:t>
      </w:r>
      <w:r w:rsidR="00F52325">
        <w:t>Scharer</w:t>
      </w:r>
      <w:r w:rsidR="00F84A49">
        <w:t xml:space="preserve"> </w:t>
      </w:r>
      <w:r w:rsidR="00132898">
        <w:t>(Cited</w:t>
      </w:r>
      <w:r w:rsidR="00F84A49">
        <w:t xml:space="preserve"> by Meltzer and Von Oppeln 2016</w:t>
      </w:r>
      <w:r w:rsidR="006D7F70">
        <w:t xml:space="preserve">, </w:t>
      </w:r>
      <w:r w:rsidR="00132898">
        <w:t>p.7)</w:t>
      </w:r>
      <w:r w:rsidR="00250D7D">
        <w:t xml:space="preserve"> explains</w:t>
      </w:r>
      <w:r w:rsidR="00CC4942">
        <w:t xml:space="preserve"> how</w:t>
      </w:r>
      <w:r w:rsidR="00250D7D">
        <w:t xml:space="preserve"> religion is ‘’</w:t>
      </w:r>
      <w:r w:rsidR="00F84A49">
        <w:t>P</w:t>
      </w:r>
      <w:r w:rsidR="00250D7D">
        <w:t xml:space="preserve">erhaps the ultimate and certainly the oldest modular system’’ but </w:t>
      </w:r>
      <w:r w:rsidR="00D36BAC">
        <w:t>i</w:t>
      </w:r>
      <w:r w:rsidR="00CC4942">
        <w:t>f you were looking for an easier example to u</w:t>
      </w:r>
      <w:r w:rsidR="001B1EBA">
        <w:t>nderstand,</w:t>
      </w:r>
      <w:r w:rsidR="00CC4942">
        <w:t xml:space="preserve"> </w:t>
      </w:r>
      <w:r w:rsidR="00250D7D">
        <w:t xml:space="preserve">Lego is </w:t>
      </w:r>
      <w:r w:rsidR="001B1EBA">
        <w:t xml:space="preserve">perhaps </w:t>
      </w:r>
      <w:r w:rsidR="00250D7D">
        <w:t xml:space="preserve">the best </w:t>
      </w:r>
      <w:r w:rsidR="00CC4942">
        <w:t>example</w:t>
      </w:r>
      <w:r w:rsidR="00F84A49">
        <w:t xml:space="preserve"> because of how it has a</w:t>
      </w:r>
      <w:r w:rsidR="00F52325">
        <w:t xml:space="preserve"> ‘</w:t>
      </w:r>
      <w:r w:rsidR="00F84A49">
        <w:t>M</w:t>
      </w:r>
      <w:r w:rsidR="00F52325">
        <w:t>odular approach</w:t>
      </w:r>
      <w:r w:rsidR="00CC4942">
        <w:t xml:space="preserve"> of</w:t>
      </w:r>
      <w:r w:rsidR="00F84A49">
        <w:t xml:space="preserve"> using building blocks of different sizes</w:t>
      </w:r>
      <w:r w:rsidR="00F52325">
        <w:t xml:space="preserve"> used universally to create almost </w:t>
      </w:r>
      <w:r w:rsidR="00250D7D">
        <w:t>any toy a</w:t>
      </w:r>
      <w:r w:rsidR="00F52325">
        <w:t xml:space="preserve"> </w:t>
      </w:r>
      <w:r w:rsidR="00250D7D">
        <w:t>child could imagine</w:t>
      </w:r>
      <w:r w:rsidR="00F84A49">
        <w:t>’’.</w:t>
      </w:r>
    </w:p>
    <w:p w:rsidR="008B6694" w:rsidRDefault="008B6694">
      <w:r>
        <w:rPr>
          <w:noProof/>
          <w:lang w:eastAsia="en-GB"/>
        </w:rPr>
        <w:lastRenderedPageBreak/>
        <w:drawing>
          <wp:inline distT="0" distB="0" distL="0" distR="0" wp14:anchorId="13540856" wp14:editId="19BB1473">
            <wp:extent cx="5731510" cy="3582194"/>
            <wp:effectExtent l="0" t="0" r="2540" b="0"/>
            <wp:docPr id="4" name="Picture 4" descr="https://gazettereview.com/wp-content/uploads/2016/09/Lego-Blocks-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gazettereview.com/wp-content/uploads/2016/09/Lego-Blocks-1.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582194"/>
                    </a:xfrm>
                    <a:prstGeom prst="rect">
                      <a:avLst/>
                    </a:prstGeom>
                    <a:noFill/>
                    <a:ln>
                      <a:noFill/>
                    </a:ln>
                  </pic:spPr>
                </pic:pic>
              </a:graphicData>
            </a:graphic>
          </wp:inline>
        </w:drawing>
      </w:r>
      <w:r w:rsidR="00F96610">
        <w:t xml:space="preserve"> Farlow (2016)</w:t>
      </w:r>
    </w:p>
    <w:p w:rsidR="00EA1A76" w:rsidRDefault="00EA1A76">
      <w:r>
        <w:t>The term modular became more of a concept when there became a demand for functional objects that could</w:t>
      </w:r>
      <w:r w:rsidR="001D5D93">
        <w:t xml:space="preserve"> work and adapt with each other so they could eventually become suited to</w:t>
      </w:r>
      <w:r>
        <w:t xml:space="preserve"> multiple spaces</w:t>
      </w:r>
      <w:r w:rsidR="001D5D93">
        <w:t xml:space="preserve"> and not just one fixed location/position.  Instead of replacing the object due to th</w:t>
      </w:r>
      <w:r w:rsidR="000C23A5">
        <w:t>e change in the space</w:t>
      </w:r>
      <w:r w:rsidR="00435BA9">
        <w:t xml:space="preserve"> that it was part of, a modular object could remain due to how it can adapt to the change.</w:t>
      </w:r>
      <w:r w:rsidR="00132898">
        <w:t xml:space="preserve"> This therefore means that the customer is able to customize the product to suite the new area they beside in, instead of going out and buying a new product.</w:t>
      </w:r>
    </w:p>
    <w:p w:rsidR="00203D1A" w:rsidRDefault="00203D1A">
      <w:r>
        <w:t>‘’Space is not there for the eye only: it is not a picture’’ Lissizky (cited by Bishop 2005, p.48)</w:t>
      </w:r>
    </w:p>
    <w:p w:rsidR="00F01AA6" w:rsidRDefault="00F01AA6">
      <w:r>
        <w:t>A notable example of such a design that has accomplished the use of modular is the USM modular furniture.  During the 60’s the USM Company created a ball joint has been popular in office planning  ever since due to how easy it is to reform the  shape of furniture when different requirements are needed or if fancied a change in how the space around you looked.</w:t>
      </w:r>
    </w:p>
    <w:p w:rsidR="00085609" w:rsidRDefault="00085609">
      <w:pPr>
        <w:rPr>
          <w:noProof/>
          <w:lang w:eastAsia="en-GB"/>
        </w:rPr>
      </w:pPr>
      <w:r>
        <w:rPr>
          <w:noProof/>
          <w:lang w:eastAsia="en-GB"/>
        </w:rPr>
        <w:lastRenderedPageBreak/>
        <w:drawing>
          <wp:inline distT="0" distB="0" distL="0" distR="0" wp14:anchorId="42CE04E1" wp14:editId="14FDAB0D">
            <wp:extent cx="1843980" cy="2809875"/>
            <wp:effectExtent l="0" t="6985" r="0" b="0"/>
            <wp:docPr id="3" name="Picture 3" descr="https://tlmagazine.com/wp-content/uploads/2016/07/usm_483_highres-672x10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tlmagazine.com/wp-content/uploads/2016/07/usm_483_highres-672x1024.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5400000">
                      <a:off x="0" y="0"/>
                      <a:ext cx="1844046" cy="2809975"/>
                    </a:xfrm>
                    <a:prstGeom prst="rect">
                      <a:avLst/>
                    </a:prstGeom>
                    <a:noFill/>
                    <a:ln>
                      <a:noFill/>
                    </a:ln>
                  </pic:spPr>
                </pic:pic>
              </a:graphicData>
            </a:graphic>
          </wp:inline>
        </w:drawing>
      </w:r>
      <w:r>
        <w:t>Burkhard (2016)</w:t>
      </w:r>
      <w:r w:rsidR="0070787E" w:rsidRPr="0070787E">
        <w:rPr>
          <w:noProof/>
          <w:lang w:eastAsia="en-GB"/>
        </w:rPr>
        <w:t xml:space="preserve"> </w:t>
      </w:r>
      <w:r w:rsidR="0070787E">
        <w:rPr>
          <w:noProof/>
          <w:lang w:eastAsia="en-GB"/>
        </w:rPr>
        <w:drawing>
          <wp:inline distT="0" distB="0" distL="0" distR="0" wp14:anchorId="56E92DA7" wp14:editId="11ABB125">
            <wp:extent cx="2744168" cy="17804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2756055" cy="1788197"/>
                    </a:xfrm>
                    <a:prstGeom prst="rect">
                      <a:avLst/>
                    </a:prstGeom>
                  </pic:spPr>
                </pic:pic>
              </a:graphicData>
            </a:graphic>
          </wp:inline>
        </w:drawing>
      </w:r>
      <w:r w:rsidR="00B75950">
        <w:rPr>
          <w:noProof/>
          <w:lang w:eastAsia="en-GB"/>
        </w:rPr>
        <w:t>Poloczek (2017)</w:t>
      </w:r>
    </w:p>
    <w:p w:rsidR="00B75950" w:rsidRDefault="00B75950">
      <w:r>
        <w:rPr>
          <w:noProof/>
          <w:lang w:eastAsia="en-GB"/>
        </w:rPr>
        <w:drawing>
          <wp:inline distT="0" distB="0" distL="0" distR="0" wp14:anchorId="23B8D252" wp14:editId="57A03933">
            <wp:extent cx="5731510" cy="3821007"/>
            <wp:effectExtent l="0" t="0" r="254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731510" cy="3821007"/>
                    </a:xfrm>
                    <a:prstGeom prst="rect">
                      <a:avLst/>
                    </a:prstGeom>
                  </pic:spPr>
                </pic:pic>
              </a:graphicData>
            </a:graphic>
          </wp:inline>
        </w:drawing>
      </w:r>
      <w:r>
        <w:t>Poloczek (2107)</w:t>
      </w:r>
    </w:p>
    <w:p w:rsidR="00F01AA6" w:rsidRDefault="00F01AA6">
      <w:r>
        <w:t>The images above show how the ball joint creates multiple choices for the consumer to choose from allowing freedom of choice and flexibility come naturally</w:t>
      </w:r>
      <w:r w:rsidR="00792ED8">
        <w:t>.</w:t>
      </w:r>
    </w:p>
    <w:p w:rsidR="00792ED8" w:rsidRDefault="00792ED8">
      <w:r>
        <w:lastRenderedPageBreak/>
        <w:t xml:space="preserve">If modular can be found everywhere then there would certainly be different opinions on what modular is and not. Now, because design and art are constantly developing around each other, there is such a thing called modular art. </w:t>
      </w:r>
      <w:r w:rsidR="00477DBF">
        <w:t>LeBlon mentioned in 1735 that ‘’</w:t>
      </w:r>
      <w:r w:rsidR="00153D51">
        <w:t>P</w:t>
      </w:r>
      <w:r w:rsidR="00477DBF">
        <w:t>ainting can represent all visible objects’’</w:t>
      </w:r>
      <w:r w:rsidR="002650DC">
        <w:t>(Osborne 1980,p.99)</w:t>
      </w:r>
      <w:r w:rsidR="00477DBF">
        <w:t xml:space="preserve"> if this is so then you could actually use art to show how there is a debate </w:t>
      </w:r>
      <w:r w:rsidR="00153D51">
        <w:t xml:space="preserve">between </w:t>
      </w:r>
      <w:r w:rsidR="00477DBF">
        <w:t xml:space="preserve">what is modular and what isn’t modular because of how people taste in art varies. </w:t>
      </w:r>
    </w:p>
    <w:p w:rsidR="00D32848" w:rsidRDefault="00D32848">
      <w:r>
        <w:t xml:space="preserve">Leda Luss- Luyken creates paintings that are not only done on one canvas but painted on to a number of panels, so that the image can be rearranged. By doing this each time the panels are rearranged to create different perspectives of what emotion the work of art is trying stimulate in the onlooker.  </w:t>
      </w:r>
    </w:p>
    <w:p w:rsidR="00971CE0" w:rsidRDefault="00971CE0">
      <w:pPr>
        <w:rPr>
          <w:noProof/>
          <w:lang w:eastAsia="en-GB"/>
        </w:rPr>
      </w:pPr>
      <w:r>
        <w:rPr>
          <w:noProof/>
          <w:lang w:eastAsia="en-GB"/>
        </w:rPr>
        <w:drawing>
          <wp:inline distT="0" distB="0" distL="0" distR="0" wp14:anchorId="3F296C2E" wp14:editId="52E4488D">
            <wp:extent cx="2870200" cy="2152650"/>
            <wp:effectExtent l="0" t="0" r="6350" b="0"/>
            <wp:docPr id="8" name="Picture 8" descr="https://www.hedwig-hanf.com/wp-content/uploads/2016/02/2016-02-21-luss-luyken-leda-wohn-atelier-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hedwig-hanf.com/wp-content/uploads/2016/02/2016-02-21-luss-luyken-leda-wohn-atelier-14.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74950" cy="2156212"/>
                    </a:xfrm>
                    <a:prstGeom prst="rect">
                      <a:avLst/>
                    </a:prstGeom>
                    <a:noFill/>
                    <a:ln>
                      <a:noFill/>
                    </a:ln>
                  </pic:spPr>
                </pic:pic>
              </a:graphicData>
            </a:graphic>
          </wp:inline>
        </w:drawing>
      </w:r>
      <w:r w:rsidRPr="00971CE0">
        <w:rPr>
          <w:noProof/>
          <w:lang w:eastAsia="en-GB"/>
        </w:rPr>
        <w:t xml:space="preserve"> </w:t>
      </w:r>
      <w:r>
        <w:rPr>
          <w:noProof/>
          <w:lang w:eastAsia="en-GB"/>
        </w:rPr>
        <w:drawing>
          <wp:inline distT="0" distB="0" distL="0" distR="0" wp14:anchorId="2B69FE63" wp14:editId="5C724655">
            <wp:extent cx="2524125" cy="1893094"/>
            <wp:effectExtent l="0" t="0" r="0" b="0"/>
            <wp:docPr id="9" name="Picture 9" descr="https://www.hedwig-hanf.com/wp-content/uploads/2016/02/2016-02-21-luss-luyken-leda-wohn-atelier-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hedwig-hanf.com/wp-content/uploads/2016/02/2016-02-21-luss-luyken-leda-wohn-atelier-13.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25805" cy="1894354"/>
                    </a:xfrm>
                    <a:prstGeom prst="rect">
                      <a:avLst/>
                    </a:prstGeom>
                    <a:noFill/>
                    <a:ln>
                      <a:noFill/>
                    </a:ln>
                  </pic:spPr>
                </pic:pic>
              </a:graphicData>
            </a:graphic>
          </wp:inline>
        </w:drawing>
      </w:r>
    </w:p>
    <w:p w:rsidR="00971CE0" w:rsidRDefault="00971CE0">
      <w:r>
        <w:rPr>
          <w:noProof/>
          <w:lang w:eastAsia="en-GB"/>
        </w:rPr>
        <w:t>Hemp(2017) both images</w:t>
      </w:r>
    </w:p>
    <w:p w:rsidR="001C2D38" w:rsidRDefault="001C2D38"/>
    <w:p w:rsidR="00D32848" w:rsidRDefault="00D32848">
      <w:r>
        <w:t xml:space="preserve">Due to how the painting would be exhibited on a wall e.g. the space that the modular piece of work occupies, then you could say it modulates because </w:t>
      </w:r>
      <w:r w:rsidR="00153D51">
        <w:t>of how</w:t>
      </w:r>
      <w:r>
        <w:t xml:space="preserve"> the painting can constantly be arranged on the wall (the space). This style of art clearly shows how it’s modular art because no explanation is needed to explain how the modular in the art functions.</w:t>
      </w:r>
    </w:p>
    <w:p w:rsidR="00153D51" w:rsidRDefault="00153D51">
      <w:r>
        <w:t xml:space="preserve">If you were to compare another piece of art to the work just shown, you would need to take into account if the modular concept in the art is visually </w:t>
      </w:r>
      <w:r w:rsidR="00DE0A63">
        <w:t>or theoretically. This</w:t>
      </w:r>
      <w:r>
        <w:t xml:space="preserve"> is because </w:t>
      </w:r>
      <w:r w:rsidR="00A95F07">
        <w:t>‘’</w:t>
      </w:r>
      <w:r w:rsidR="004E4CD1">
        <w:t>All art</w:t>
      </w:r>
      <w:r>
        <w:t xml:space="preserve"> is experimental or it isn’t art’’ Youngblood (cited by Rush 1999</w:t>
      </w:r>
      <w:r w:rsidR="003C5269">
        <w:t>, p.7</w:t>
      </w:r>
      <w:r>
        <w:t xml:space="preserve">). </w:t>
      </w:r>
      <w:r w:rsidR="004E4CD1">
        <w:t xml:space="preserve">Therefore could you actually make a modular piece of art or design that doesn’t need a modular function because of how the purpose it’s trying to achieve is the idea of creating a modular response </w:t>
      </w:r>
      <w:r w:rsidR="003C5269">
        <w:t xml:space="preserve">rather </w:t>
      </w:r>
      <w:r w:rsidR="004E4CD1">
        <w:t xml:space="preserve">than a modular </w:t>
      </w:r>
      <w:r w:rsidR="003C5269">
        <w:t>interaction.</w:t>
      </w:r>
    </w:p>
    <w:p w:rsidR="000C23A5" w:rsidRDefault="000C23A5">
      <w:r>
        <w:rPr>
          <w:noProof/>
          <w:lang w:eastAsia="en-GB"/>
        </w:rPr>
        <w:lastRenderedPageBreak/>
        <w:drawing>
          <wp:inline distT="0" distB="0" distL="0" distR="0" wp14:anchorId="56525092" wp14:editId="7AE6D0F3">
            <wp:extent cx="5731510" cy="4298633"/>
            <wp:effectExtent l="0" t="0" r="2540" b="6985"/>
            <wp:docPr id="2" name="Picture 2" descr="https://static.independent.co.uk/s3fs-public/styles/article_small/public/thumbnails/image/2017/02/22/13/andy-warhol-monro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static.independent.co.uk/s3fs-public/styles/article_small/public/thumbnails/image/2017/02/22/13/andy-warhol-monroe.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r>
        <w:t>Spencer (</w:t>
      </w:r>
      <w:r w:rsidR="00890237">
        <w:t>2017)</w:t>
      </w:r>
    </w:p>
    <w:p w:rsidR="00DE0A63" w:rsidRDefault="0087026A">
      <w:r>
        <w:t xml:space="preserve">Well some might say that Andy Warhol was able to achieve this throughout multiple pieces of his own work by how he would repeat the image in a different colour scheme and then would exhibit them together or individually. </w:t>
      </w:r>
      <w:r w:rsidR="003C5269">
        <w:t>The modular idea in this style of work would function by how</w:t>
      </w:r>
      <w:r w:rsidR="00DE0A63">
        <w:t xml:space="preserve"> everyone’s response to a colour is different to one and another. This creates a theoretical modular system because the image shown is perceived differentially by every person, creating the perception that the images response is always changing. </w:t>
      </w:r>
      <w:proofErr w:type="spellStart"/>
      <w:r w:rsidR="00DE0A63">
        <w:t>N</w:t>
      </w:r>
      <w:r w:rsidR="0047442B">
        <w:t>olde</w:t>
      </w:r>
      <w:proofErr w:type="spellEnd"/>
      <w:r w:rsidR="0047442B">
        <w:t xml:space="preserve"> explains how </w:t>
      </w:r>
      <w:r w:rsidR="0088422D">
        <w:t>‘’every</w:t>
      </w:r>
      <w:r w:rsidR="00A95F07">
        <w:t xml:space="preserve"> colour harbours its own soul, delighting or disgusting or stimulating </w:t>
      </w:r>
      <w:r w:rsidR="007168B6">
        <w:t>me’’ (</w:t>
      </w:r>
      <w:r w:rsidR="00A95F07">
        <w:t xml:space="preserve">cited by Osborne 1980, p.29) this statement explains how this style of work creates the modular system </w:t>
      </w:r>
      <w:r w:rsidR="00213D35">
        <w:t xml:space="preserve">theoretically. But some people will still argue that this isn’t module because no interaction is taking place to change its shape physically. </w:t>
      </w:r>
    </w:p>
    <w:p w:rsidR="00064E26" w:rsidRDefault="00D3402C">
      <w:r>
        <w:t>Now both of these paintings only occupy a small space e.g. a wall so although they modulate the wall, they don’t modulate the entire surrounding space e.g. the entire room. The same can be said for modulated furniture such as the USM office planning since it only occupies the floor. So how could you a</w:t>
      </w:r>
      <w:r w:rsidR="00064E26">
        <w:t>ctually modulate an entire space?</w:t>
      </w:r>
    </w:p>
    <w:p w:rsidR="00864520" w:rsidRDefault="00864520">
      <w:r>
        <w:t>Carsten holler is an installation artist whose work involves the use of manipulating space to create ‘’Glimpses of the world from radically different perspectives’’ (Bishop 2005, p.48) by using light to create hallucinations of different forms. These halluc</w:t>
      </w:r>
      <w:r w:rsidR="009F7447">
        <w:t>inations happen due to how he uses a modulating colour system that involves the visitor since he or she has to participate with his work so that the modulating system can operate by ‘’Harnessing the viewers  physical and mental engagement to provoke alternations of consciousness</w:t>
      </w:r>
      <w:r w:rsidR="0088422D">
        <w:t>’’(Bishop 2005, p.48)</w:t>
      </w:r>
      <w:r w:rsidR="009F7447">
        <w:t>.</w:t>
      </w:r>
      <w:r w:rsidR="00064E26">
        <w:t xml:space="preserve"> </w:t>
      </w:r>
    </w:p>
    <w:p w:rsidR="00064E26" w:rsidRDefault="00064E26">
      <w:r>
        <w:lastRenderedPageBreak/>
        <w:t>The way in which C. Holler manipulates the space to create a different response from every person, forms a system that can modulate an entire space. This is because the lighting effect throughout his work stimulates the idea that the space that you are occupying is changing around you. But the other individuals who are present at the same time may not experience the same effect that you are experiencing. Therefore this creates a modulated space by how the lights allow every individual who is there in that space to feel and see something completely different from everyone. Various exa</w:t>
      </w:r>
      <w:r w:rsidR="007C670B">
        <w:t>mples of C. Holler work</w:t>
      </w:r>
      <w:r w:rsidR="007B6A30">
        <w:t xml:space="preserve"> (shown below)</w:t>
      </w:r>
      <w:r w:rsidR="007C670B">
        <w:t xml:space="preserve"> can be used to show how an entire space can be modulated by how everyone</w:t>
      </w:r>
      <w:r w:rsidR="00991990">
        <w:t>s</w:t>
      </w:r>
      <w:r w:rsidR="007C670B">
        <w:t xml:space="preserve"> response to light is individually unique. </w:t>
      </w:r>
    </w:p>
    <w:p w:rsidR="009F7447" w:rsidRDefault="0088422D">
      <w:r>
        <w:t>Light wall</w:t>
      </w:r>
      <w:r w:rsidR="00E33058">
        <w:t xml:space="preserve"> 2008</w:t>
      </w:r>
    </w:p>
    <w:p w:rsidR="00E33058" w:rsidRDefault="00E33058">
      <w:r>
        <w:rPr>
          <w:noProof/>
          <w:lang w:eastAsia="en-GB"/>
        </w:rPr>
        <w:drawing>
          <wp:inline distT="0" distB="0" distL="0" distR="0" wp14:anchorId="16F7E431" wp14:editId="5E107341">
            <wp:extent cx="4724400" cy="2610232"/>
            <wp:effectExtent l="0" t="0" r="0" b="0"/>
            <wp:docPr id="10" name="Picture 10" descr="Carsten Holler, Lichtraum (Light Room), 2008 - Photo: Attilio Maranzano. Courtesy the art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arsten Holler, Lichtraum (Light Room), 2008 - Photo: Attilio Maranzano. Courtesy the artis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742016" cy="2619965"/>
                    </a:xfrm>
                    <a:prstGeom prst="rect">
                      <a:avLst/>
                    </a:prstGeom>
                    <a:noFill/>
                    <a:ln>
                      <a:noFill/>
                    </a:ln>
                  </pic:spPr>
                </pic:pic>
              </a:graphicData>
            </a:graphic>
          </wp:inline>
        </w:drawing>
      </w:r>
      <w:r>
        <w:t>Maranzano (2008)</w:t>
      </w:r>
    </w:p>
    <w:p w:rsidR="00C10B0B" w:rsidRDefault="00C10B0B">
      <w:r>
        <w:rPr>
          <w:noProof/>
          <w:lang w:eastAsia="en-GB"/>
        </w:rPr>
        <w:drawing>
          <wp:inline distT="0" distB="0" distL="0" distR="0" wp14:anchorId="1295C2B1" wp14:editId="41344E89">
            <wp:extent cx="3109956" cy="2495550"/>
            <wp:effectExtent l="0" t="0" r="0" b="0"/>
            <wp:docPr id="11" name="Picture 11" descr="Carsten HÃ¶ller, Neon Circle (2001) and BALTIC Phi Wall, 2002 (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arsten HÃ¶ller, Neon Circle (2001) and BALTIC Phi Wall, 2002 (0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110931" cy="2496332"/>
                    </a:xfrm>
                    <a:prstGeom prst="rect">
                      <a:avLst/>
                    </a:prstGeom>
                    <a:noFill/>
                    <a:ln>
                      <a:noFill/>
                    </a:ln>
                  </pic:spPr>
                </pic:pic>
              </a:graphicData>
            </a:graphic>
          </wp:inline>
        </w:drawing>
      </w:r>
      <w:r>
        <w:t xml:space="preserve"> Phi wall &amp; Neon lights (2002)</w:t>
      </w:r>
    </w:p>
    <w:p w:rsidR="00C10B0B" w:rsidRDefault="00C10B0B"/>
    <w:p w:rsidR="00CE537A" w:rsidRDefault="00CE537A"/>
    <w:p w:rsidR="001F4B4C" w:rsidRDefault="00C43027">
      <w:r>
        <w:t>Below is the exhibition layout</w:t>
      </w:r>
    </w:p>
    <w:p w:rsidR="00D54077" w:rsidRDefault="00864CB9">
      <w:r>
        <w:rPr>
          <w:noProof/>
          <w:lang w:eastAsia="en-GB"/>
        </w:rPr>
        <w:lastRenderedPageBreak/>
        <w:drawing>
          <wp:inline distT="0" distB="0" distL="0" distR="0">
            <wp:extent cx="5731510" cy="8107313"/>
            <wp:effectExtent l="0" t="0" r="2540" b="8255"/>
            <wp:docPr id="5" name="Picture 5" descr="C:\Users\lee\Desktop\nicks\Untitled-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lee\Desktop\nicks\Untitled-11.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8107313"/>
                    </a:xfrm>
                    <a:prstGeom prst="rect">
                      <a:avLst/>
                    </a:prstGeom>
                    <a:noFill/>
                    <a:ln>
                      <a:noFill/>
                    </a:ln>
                  </pic:spPr>
                </pic:pic>
              </a:graphicData>
            </a:graphic>
          </wp:inline>
        </w:drawing>
      </w:r>
    </w:p>
    <w:p w:rsidR="00DC6580" w:rsidRDefault="00DC6580"/>
    <w:p w:rsidR="008B6694" w:rsidRDefault="008B6694">
      <w:pPr>
        <w:rPr>
          <w:rFonts w:asciiTheme="majorHAnsi" w:hAnsiTheme="majorHAnsi"/>
          <w:b/>
          <w:sz w:val="24"/>
          <w:szCs w:val="24"/>
          <w:u w:val="single"/>
        </w:rPr>
      </w:pPr>
    </w:p>
    <w:p w:rsidR="00D20BE2" w:rsidRDefault="00D20BE2">
      <w:pPr>
        <w:rPr>
          <w:rFonts w:asciiTheme="majorHAnsi" w:hAnsiTheme="majorHAnsi"/>
          <w:b/>
          <w:sz w:val="24"/>
          <w:szCs w:val="24"/>
          <w:u w:val="single"/>
        </w:rPr>
      </w:pPr>
      <w:r w:rsidRPr="00D20BE2">
        <w:rPr>
          <w:rFonts w:asciiTheme="majorHAnsi" w:hAnsiTheme="majorHAnsi"/>
          <w:b/>
          <w:sz w:val="24"/>
          <w:szCs w:val="24"/>
          <w:u w:val="single"/>
        </w:rPr>
        <w:lastRenderedPageBreak/>
        <w:t>Bibliography</w:t>
      </w:r>
    </w:p>
    <w:p w:rsidR="000551CD" w:rsidRDefault="000551CD" w:rsidP="00153D51">
      <w:pPr>
        <w:rPr>
          <w:rFonts w:cstheme="minorHAnsi"/>
        </w:rPr>
      </w:pPr>
      <w:r>
        <w:rPr>
          <w:rFonts w:cstheme="minorHAnsi"/>
        </w:rPr>
        <w:t xml:space="preserve">Bishop, C. (2005) </w:t>
      </w:r>
      <w:r w:rsidRPr="000551CD">
        <w:rPr>
          <w:rFonts w:cstheme="minorHAnsi"/>
          <w:i/>
        </w:rPr>
        <w:t>Installation art</w:t>
      </w:r>
      <w:r>
        <w:rPr>
          <w:rFonts w:cstheme="minorHAnsi"/>
        </w:rPr>
        <w:t>, London, Tate</w:t>
      </w:r>
    </w:p>
    <w:p w:rsidR="00153D51" w:rsidRDefault="00153D51" w:rsidP="00153D51">
      <w:pPr>
        <w:rPr>
          <w:rFonts w:cstheme="minorHAnsi"/>
        </w:rPr>
      </w:pPr>
      <w:r>
        <w:rPr>
          <w:rFonts w:cstheme="minorHAnsi"/>
        </w:rPr>
        <w:t xml:space="preserve">Meltzer, B. and Von Oppeln, T. (2016) </w:t>
      </w:r>
      <w:r w:rsidRPr="003F3047">
        <w:rPr>
          <w:rFonts w:cstheme="minorHAnsi"/>
          <w:i/>
        </w:rPr>
        <w:t>Rethinking the modular</w:t>
      </w:r>
      <w:r>
        <w:rPr>
          <w:rFonts w:cstheme="minorHAnsi"/>
          <w:i/>
        </w:rPr>
        <w:t>,</w:t>
      </w:r>
      <w:r>
        <w:rPr>
          <w:rFonts w:cstheme="minorHAnsi"/>
        </w:rPr>
        <w:t xml:space="preserve"> Thames &amp; Hudson</w:t>
      </w:r>
    </w:p>
    <w:p w:rsidR="00D20BE2" w:rsidRDefault="00B62710">
      <w:pPr>
        <w:rPr>
          <w:rFonts w:cstheme="minorHAnsi"/>
        </w:rPr>
      </w:pPr>
      <w:r>
        <w:rPr>
          <w:rFonts w:cstheme="minorHAnsi"/>
        </w:rPr>
        <w:t>Osborne, R</w:t>
      </w:r>
      <w:r w:rsidR="003F3047">
        <w:rPr>
          <w:rFonts w:cstheme="minorHAnsi"/>
        </w:rPr>
        <w:t>.</w:t>
      </w:r>
      <w:r>
        <w:rPr>
          <w:rFonts w:cstheme="minorHAnsi"/>
        </w:rPr>
        <w:t xml:space="preserve"> (1980) </w:t>
      </w:r>
      <w:r w:rsidRPr="00B62710">
        <w:rPr>
          <w:rFonts w:cstheme="minorHAnsi"/>
          <w:i/>
        </w:rPr>
        <w:t>Lights &amp; Pigments, Colour principles for artists</w:t>
      </w:r>
      <w:r>
        <w:rPr>
          <w:rFonts w:cstheme="minorHAnsi"/>
          <w:i/>
        </w:rPr>
        <w:t xml:space="preserve">, </w:t>
      </w:r>
      <w:r w:rsidR="000551CD">
        <w:rPr>
          <w:rFonts w:cstheme="minorHAnsi"/>
        </w:rPr>
        <w:t>London:</w:t>
      </w:r>
      <w:r>
        <w:rPr>
          <w:rFonts w:cstheme="minorHAnsi"/>
        </w:rPr>
        <w:t xml:space="preserve"> John Murry</w:t>
      </w:r>
    </w:p>
    <w:p w:rsidR="000551CD" w:rsidRDefault="00153D51">
      <w:pPr>
        <w:rPr>
          <w:rFonts w:cstheme="minorHAnsi"/>
        </w:rPr>
      </w:pPr>
      <w:r>
        <w:rPr>
          <w:rFonts w:cstheme="minorHAnsi"/>
        </w:rPr>
        <w:t>Rush, M. (19</w:t>
      </w:r>
      <w:r w:rsidR="000551CD">
        <w:rPr>
          <w:rFonts w:cstheme="minorHAnsi"/>
        </w:rPr>
        <w:t>99)</w:t>
      </w:r>
      <w:r>
        <w:rPr>
          <w:rFonts w:cstheme="minorHAnsi"/>
        </w:rPr>
        <w:t xml:space="preserve"> </w:t>
      </w:r>
      <w:r w:rsidR="0088422D" w:rsidRPr="00153D51">
        <w:rPr>
          <w:rFonts w:cstheme="minorHAnsi"/>
          <w:i/>
        </w:rPr>
        <w:t>new</w:t>
      </w:r>
      <w:r w:rsidRPr="00153D51">
        <w:rPr>
          <w:rFonts w:cstheme="minorHAnsi"/>
          <w:i/>
        </w:rPr>
        <w:t xml:space="preserve"> media in the late 20</w:t>
      </w:r>
      <w:r w:rsidRPr="00153D51">
        <w:rPr>
          <w:rFonts w:cstheme="minorHAnsi"/>
          <w:i/>
          <w:vertAlign w:val="superscript"/>
        </w:rPr>
        <w:t>th</w:t>
      </w:r>
      <w:r w:rsidRPr="00153D51">
        <w:rPr>
          <w:rFonts w:cstheme="minorHAnsi"/>
          <w:i/>
        </w:rPr>
        <w:t>- century art</w:t>
      </w:r>
      <w:r>
        <w:rPr>
          <w:rFonts w:cstheme="minorHAnsi"/>
        </w:rPr>
        <w:t>. London, Thames &amp; Hudson</w:t>
      </w:r>
    </w:p>
    <w:p w:rsidR="002C27EA" w:rsidRDefault="002C27EA">
      <w:pPr>
        <w:rPr>
          <w:rFonts w:cstheme="minorHAnsi"/>
        </w:rPr>
      </w:pPr>
    </w:p>
    <w:p w:rsidR="00085609" w:rsidRDefault="00085609">
      <w:pPr>
        <w:rPr>
          <w:rFonts w:cstheme="minorHAnsi"/>
        </w:rPr>
      </w:pPr>
      <w:r>
        <w:rPr>
          <w:rFonts w:cstheme="minorHAnsi"/>
        </w:rPr>
        <w:t>Burkhard,</w:t>
      </w:r>
      <w:r w:rsidR="00B75950">
        <w:rPr>
          <w:rFonts w:cstheme="minorHAnsi"/>
        </w:rPr>
        <w:t xml:space="preserve"> </w:t>
      </w:r>
      <w:r>
        <w:rPr>
          <w:rFonts w:cstheme="minorHAnsi"/>
        </w:rPr>
        <w:t>B. (2016)</w:t>
      </w:r>
      <w:r w:rsidR="00696416">
        <w:rPr>
          <w:rFonts w:cstheme="minorHAnsi"/>
        </w:rPr>
        <w:t xml:space="preserve"> </w:t>
      </w:r>
      <w:r w:rsidR="00696416" w:rsidRPr="00696416">
        <w:rPr>
          <w:rFonts w:cstheme="minorHAnsi"/>
          <w:i/>
        </w:rPr>
        <w:t>USM ball joint</w:t>
      </w:r>
      <w:r w:rsidR="00696416">
        <w:rPr>
          <w:rFonts w:cstheme="minorHAnsi"/>
        </w:rPr>
        <w:t xml:space="preserve"> [online]. Available at: </w:t>
      </w:r>
      <w:hyperlink r:id="rId16" w:history="1">
        <w:r w:rsidR="00696416" w:rsidRPr="00EE79E5">
          <w:rPr>
            <w:rStyle w:val="Hyperlink"/>
            <w:rFonts w:cstheme="minorHAnsi"/>
          </w:rPr>
          <w:t>https://tlmagazine.com/usm-a-work-of-applied-art/</w:t>
        </w:r>
      </w:hyperlink>
      <w:r w:rsidR="00696416">
        <w:rPr>
          <w:rFonts w:cstheme="minorHAnsi"/>
        </w:rPr>
        <w:t xml:space="preserve"> (Accessed: 23</w:t>
      </w:r>
      <w:r w:rsidR="00696416" w:rsidRPr="00696416">
        <w:rPr>
          <w:rFonts w:cstheme="minorHAnsi"/>
          <w:vertAlign w:val="superscript"/>
        </w:rPr>
        <w:t>rd</w:t>
      </w:r>
      <w:r w:rsidR="00696416">
        <w:rPr>
          <w:rFonts w:cstheme="minorHAnsi"/>
        </w:rPr>
        <w:t xml:space="preserve"> M</w:t>
      </w:r>
      <w:r w:rsidR="00971CE0">
        <w:rPr>
          <w:rFonts w:cstheme="minorHAnsi"/>
        </w:rPr>
        <w:t>arch 2018</w:t>
      </w:r>
      <w:r w:rsidR="00696416">
        <w:rPr>
          <w:rFonts w:cstheme="minorHAnsi"/>
        </w:rPr>
        <w:t>)</w:t>
      </w:r>
    </w:p>
    <w:p w:rsidR="002C27EA" w:rsidRDefault="002C27EA" w:rsidP="002C27EA">
      <w:pPr>
        <w:rPr>
          <w:rFonts w:cstheme="minorHAnsi"/>
        </w:rPr>
      </w:pPr>
      <w:r>
        <w:rPr>
          <w:rFonts w:cstheme="minorHAnsi"/>
        </w:rPr>
        <w:t xml:space="preserve">Farlow, S. (2016) </w:t>
      </w:r>
      <w:r w:rsidRPr="00F96610">
        <w:rPr>
          <w:rFonts w:cstheme="minorHAnsi"/>
          <w:i/>
        </w:rPr>
        <w:t>Lego</w:t>
      </w:r>
      <w:r>
        <w:rPr>
          <w:rFonts w:cstheme="minorHAnsi"/>
          <w:i/>
        </w:rPr>
        <w:t xml:space="preserve"> </w:t>
      </w:r>
      <w:r w:rsidRPr="00F96610">
        <w:rPr>
          <w:rFonts w:cstheme="minorHAnsi"/>
        </w:rPr>
        <w:t xml:space="preserve">[online]. Available </w:t>
      </w:r>
      <w:r w:rsidR="0088422D" w:rsidRPr="00F96610">
        <w:rPr>
          <w:rFonts w:cstheme="minorHAnsi"/>
        </w:rPr>
        <w:t>at</w:t>
      </w:r>
      <w:r w:rsidR="0088422D">
        <w:rPr>
          <w:rFonts w:cstheme="minorHAnsi"/>
        </w:rPr>
        <w:t>:</w:t>
      </w:r>
      <w:r>
        <w:rPr>
          <w:rFonts w:cstheme="minorHAnsi"/>
        </w:rPr>
        <w:t xml:space="preserve"> </w:t>
      </w:r>
      <w:hyperlink r:id="rId17" w:history="1">
        <w:r w:rsidRPr="00EE79E5">
          <w:rPr>
            <w:rStyle w:val="Hyperlink"/>
            <w:rFonts w:cstheme="minorHAnsi"/>
          </w:rPr>
          <w:t>https://gazettereview.com/2016/09/uk-study-says-millions-lego-blocks-flushed-toilet/</w:t>
        </w:r>
      </w:hyperlink>
      <w:r>
        <w:rPr>
          <w:rFonts w:cstheme="minorHAnsi"/>
        </w:rPr>
        <w:t xml:space="preserve"> ( Accessed: 26</w:t>
      </w:r>
      <w:r w:rsidRPr="00F96610">
        <w:rPr>
          <w:rFonts w:cstheme="minorHAnsi"/>
          <w:vertAlign w:val="superscript"/>
        </w:rPr>
        <w:t>th</w:t>
      </w:r>
      <w:r>
        <w:rPr>
          <w:rFonts w:cstheme="minorHAnsi"/>
        </w:rPr>
        <w:t xml:space="preserve"> March 2018)</w:t>
      </w:r>
    </w:p>
    <w:p w:rsidR="002C27EA" w:rsidRDefault="002C27EA" w:rsidP="002C27EA">
      <w:pPr>
        <w:pStyle w:val="HTMLPreformatted"/>
        <w:shd w:val="clear" w:color="auto" w:fill="FFFFFF"/>
        <w:rPr>
          <w:rFonts w:asciiTheme="minorHAnsi" w:eastAsia="Times New Roman" w:hAnsiTheme="minorHAnsi" w:cstheme="minorHAnsi"/>
          <w:sz w:val="22"/>
          <w:szCs w:val="22"/>
          <w:lang w:eastAsia="en-GB"/>
        </w:rPr>
      </w:pPr>
      <w:r>
        <w:rPr>
          <w:rFonts w:asciiTheme="minorHAnsi" w:eastAsia="Times New Roman" w:hAnsiTheme="minorHAnsi" w:cstheme="minorHAnsi"/>
          <w:sz w:val="22"/>
          <w:szCs w:val="22"/>
          <w:lang w:eastAsia="en-GB"/>
        </w:rPr>
        <w:t xml:space="preserve">Hardman-Jones, J. (2002) </w:t>
      </w:r>
      <w:r w:rsidRPr="00E33058">
        <w:rPr>
          <w:rFonts w:asciiTheme="minorHAnsi" w:eastAsia="Times New Roman" w:hAnsiTheme="minorHAnsi" w:cstheme="minorHAnsi"/>
          <w:i/>
          <w:sz w:val="22"/>
          <w:szCs w:val="22"/>
          <w:lang w:eastAsia="en-GB"/>
        </w:rPr>
        <w:t>B.OPEN</w:t>
      </w:r>
      <w:r>
        <w:rPr>
          <w:rFonts w:asciiTheme="minorHAnsi" w:eastAsia="Times New Roman" w:hAnsiTheme="minorHAnsi" w:cstheme="minorHAnsi"/>
          <w:sz w:val="22"/>
          <w:szCs w:val="22"/>
          <w:lang w:eastAsia="en-GB"/>
        </w:rPr>
        <w:t xml:space="preserve"> [online]. Available at: </w:t>
      </w:r>
      <w:hyperlink r:id="rId18" w:history="1">
        <w:r w:rsidRPr="00EE79E5">
          <w:rPr>
            <w:rStyle w:val="Hyperlink"/>
            <w:rFonts w:asciiTheme="minorHAnsi" w:eastAsia="Times New Roman" w:hAnsiTheme="minorHAnsi" w:cstheme="minorHAnsi"/>
            <w:sz w:val="22"/>
            <w:szCs w:val="22"/>
            <w:lang w:eastAsia="en-GB"/>
          </w:rPr>
          <w:t>http://balticplus.uk/carsten-holler,-neon-circle-2001-and-baltic-phi-wall,-2002-07-c8380/</w:t>
        </w:r>
      </w:hyperlink>
      <w:r>
        <w:rPr>
          <w:rFonts w:asciiTheme="minorHAnsi" w:eastAsia="Times New Roman" w:hAnsiTheme="minorHAnsi" w:cstheme="minorHAnsi"/>
          <w:sz w:val="22"/>
          <w:szCs w:val="22"/>
          <w:lang w:eastAsia="en-GB"/>
        </w:rPr>
        <w:t xml:space="preserve"> (Accessed: 23</w:t>
      </w:r>
      <w:r w:rsidRPr="00E33058">
        <w:rPr>
          <w:rFonts w:asciiTheme="minorHAnsi" w:eastAsia="Times New Roman" w:hAnsiTheme="minorHAnsi" w:cstheme="minorHAnsi"/>
          <w:sz w:val="22"/>
          <w:szCs w:val="22"/>
          <w:vertAlign w:val="superscript"/>
          <w:lang w:eastAsia="en-GB"/>
        </w:rPr>
        <w:t>rd</w:t>
      </w:r>
      <w:r>
        <w:rPr>
          <w:rFonts w:asciiTheme="minorHAnsi" w:eastAsia="Times New Roman" w:hAnsiTheme="minorHAnsi" w:cstheme="minorHAnsi"/>
          <w:sz w:val="22"/>
          <w:szCs w:val="22"/>
          <w:lang w:eastAsia="en-GB"/>
        </w:rPr>
        <w:t xml:space="preserve"> March 2018)</w:t>
      </w:r>
    </w:p>
    <w:p w:rsidR="002C27EA" w:rsidRDefault="002C27EA">
      <w:pPr>
        <w:rPr>
          <w:rFonts w:cstheme="minorHAnsi"/>
        </w:rPr>
      </w:pPr>
    </w:p>
    <w:p w:rsidR="002C27EA" w:rsidRDefault="002C27EA" w:rsidP="002C27EA">
      <w:pPr>
        <w:pStyle w:val="HTMLPreformatted"/>
        <w:shd w:val="clear" w:color="auto" w:fill="FFFFFF"/>
        <w:rPr>
          <w:rFonts w:asciiTheme="minorHAnsi" w:eastAsia="Times New Roman" w:hAnsiTheme="minorHAnsi" w:cstheme="minorHAnsi"/>
          <w:sz w:val="22"/>
          <w:szCs w:val="22"/>
          <w:lang w:val="en" w:eastAsia="en-GB"/>
        </w:rPr>
      </w:pPr>
      <w:r w:rsidRPr="00971CE0">
        <w:rPr>
          <w:rFonts w:asciiTheme="minorHAnsi" w:hAnsiTheme="minorHAnsi" w:cstheme="minorHAnsi"/>
          <w:sz w:val="22"/>
          <w:szCs w:val="22"/>
        </w:rPr>
        <w:t xml:space="preserve">Hemp, H. (2016) </w:t>
      </w:r>
      <w:r w:rsidRPr="00971CE0">
        <w:rPr>
          <w:rFonts w:asciiTheme="minorHAnsi" w:eastAsia="Times New Roman" w:hAnsiTheme="minorHAnsi" w:cstheme="minorHAnsi"/>
          <w:i/>
          <w:sz w:val="22"/>
          <w:szCs w:val="22"/>
          <w:lang w:val="en" w:eastAsia="en-GB"/>
        </w:rPr>
        <w:t>Guest in the living-studio of Leda Luss Luyken</w:t>
      </w:r>
      <w:r>
        <w:rPr>
          <w:rFonts w:asciiTheme="minorHAnsi" w:eastAsia="Times New Roman" w:hAnsiTheme="minorHAnsi" w:cstheme="minorHAnsi"/>
          <w:sz w:val="22"/>
          <w:szCs w:val="22"/>
          <w:lang w:val="en" w:eastAsia="en-GB"/>
        </w:rPr>
        <w:t xml:space="preserve"> [online]. Available </w:t>
      </w:r>
      <w:r w:rsidR="0088422D">
        <w:rPr>
          <w:rFonts w:asciiTheme="minorHAnsi" w:eastAsia="Times New Roman" w:hAnsiTheme="minorHAnsi" w:cstheme="minorHAnsi"/>
          <w:sz w:val="22"/>
          <w:szCs w:val="22"/>
          <w:lang w:val="en" w:eastAsia="en-GB"/>
        </w:rPr>
        <w:t>at:</w:t>
      </w:r>
      <w:r>
        <w:rPr>
          <w:rFonts w:asciiTheme="minorHAnsi" w:eastAsia="Times New Roman" w:hAnsiTheme="minorHAnsi" w:cstheme="minorHAnsi"/>
          <w:sz w:val="22"/>
          <w:szCs w:val="22"/>
          <w:lang w:val="en" w:eastAsia="en-GB"/>
        </w:rPr>
        <w:t xml:space="preserve"> </w:t>
      </w:r>
      <w:hyperlink r:id="rId19" w:history="1">
        <w:r w:rsidRPr="00EE79E5">
          <w:rPr>
            <w:rStyle w:val="Hyperlink"/>
            <w:rFonts w:asciiTheme="minorHAnsi" w:eastAsia="Times New Roman" w:hAnsiTheme="minorHAnsi" w:cstheme="minorHAnsi"/>
            <w:sz w:val="22"/>
            <w:szCs w:val="22"/>
            <w:lang w:val="en" w:eastAsia="en-GB"/>
          </w:rPr>
          <w:t>https://www.hedwig-hanf.com/galleries/leda-luss-luyken/</w:t>
        </w:r>
      </w:hyperlink>
      <w:r>
        <w:rPr>
          <w:rFonts w:asciiTheme="minorHAnsi" w:eastAsia="Times New Roman" w:hAnsiTheme="minorHAnsi" w:cstheme="minorHAnsi"/>
          <w:sz w:val="22"/>
          <w:szCs w:val="22"/>
          <w:lang w:val="en" w:eastAsia="en-GB"/>
        </w:rPr>
        <w:t xml:space="preserve"> (Accessed: 23</w:t>
      </w:r>
      <w:r w:rsidRPr="00971CE0">
        <w:rPr>
          <w:rFonts w:asciiTheme="minorHAnsi" w:eastAsia="Times New Roman" w:hAnsiTheme="minorHAnsi" w:cstheme="minorHAnsi"/>
          <w:sz w:val="22"/>
          <w:szCs w:val="22"/>
          <w:vertAlign w:val="superscript"/>
          <w:lang w:val="en" w:eastAsia="en-GB"/>
        </w:rPr>
        <w:t>rd</w:t>
      </w:r>
      <w:r>
        <w:rPr>
          <w:rFonts w:asciiTheme="minorHAnsi" w:eastAsia="Times New Roman" w:hAnsiTheme="minorHAnsi" w:cstheme="minorHAnsi"/>
          <w:sz w:val="22"/>
          <w:szCs w:val="22"/>
          <w:lang w:val="en" w:eastAsia="en-GB"/>
        </w:rPr>
        <w:t xml:space="preserve"> March 2018)</w:t>
      </w:r>
    </w:p>
    <w:p w:rsidR="002C27EA" w:rsidRDefault="002C27EA" w:rsidP="002C27EA">
      <w:pPr>
        <w:pStyle w:val="HTMLPreformatted"/>
        <w:shd w:val="clear" w:color="auto" w:fill="FFFFFF"/>
        <w:rPr>
          <w:rFonts w:asciiTheme="minorHAnsi" w:eastAsia="Times New Roman" w:hAnsiTheme="minorHAnsi" w:cstheme="minorHAnsi"/>
          <w:sz w:val="22"/>
          <w:szCs w:val="22"/>
          <w:lang w:val="en" w:eastAsia="en-GB"/>
        </w:rPr>
      </w:pPr>
    </w:p>
    <w:p w:rsidR="002C27EA" w:rsidRPr="00E33058" w:rsidRDefault="002C27EA" w:rsidP="002C27EA">
      <w:pPr>
        <w:pStyle w:val="HTMLPreformatted"/>
        <w:shd w:val="clear" w:color="auto" w:fill="FFFFFF"/>
        <w:rPr>
          <w:rFonts w:asciiTheme="minorHAnsi" w:eastAsia="Times New Roman" w:hAnsiTheme="minorHAnsi" w:cstheme="minorHAnsi"/>
          <w:sz w:val="22"/>
          <w:szCs w:val="22"/>
          <w:lang w:val="en" w:eastAsia="en-GB"/>
        </w:rPr>
      </w:pPr>
      <w:r>
        <w:rPr>
          <w:rFonts w:asciiTheme="minorHAnsi" w:eastAsia="Times New Roman" w:hAnsiTheme="minorHAnsi" w:cstheme="minorHAnsi"/>
          <w:sz w:val="22"/>
          <w:szCs w:val="22"/>
          <w:lang w:val="en" w:eastAsia="en-GB"/>
        </w:rPr>
        <w:t xml:space="preserve">Maranzano, A. (2008) </w:t>
      </w:r>
      <w:r>
        <w:rPr>
          <w:rFonts w:asciiTheme="minorHAnsi" w:hAnsiTheme="minorHAnsi" w:cstheme="minorHAnsi"/>
          <w:i/>
          <w:sz w:val="22"/>
          <w:szCs w:val="22"/>
          <w:shd w:val="clear" w:color="auto" w:fill="FFFFFF"/>
        </w:rPr>
        <w:t xml:space="preserve">Lichtraum (Light Room) </w:t>
      </w:r>
      <w:r w:rsidRPr="00E33058">
        <w:rPr>
          <w:rFonts w:asciiTheme="minorHAnsi" w:hAnsiTheme="minorHAnsi" w:cstheme="minorHAnsi"/>
          <w:i/>
          <w:sz w:val="22"/>
          <w:szCs w:val="22"/>
          <w:shd w:val="clear" w:color="auto" w:fill="FFFFFF"/>
        </w:rPr>
        <w:t>2008</w:t>
      </w:r>
      <w:r>
        <w:rPr>
          <w:rFonts w:asciiTheme="minorHAnsi" w:hAnsiTheme="minorHAnsi" w:cstheme="minorHAnsi"/>
          <w:i/>
          <w:sz w:val="22"/>
          <w:szCs w:val="22"/>
          <w:shd w:val="clear" w:color="auto" w:fill="FFFFFF"/>
        </w:rPr>
        <w:t xml:space="preserve"> </w:t>
      </w:r>
      <w:r>
        <w:rPr>
          <w:rFonts w:asciiTheme="minorHAnsi" w:hAnsiTheme="minorHAnsi" w:cstheme="minorHAnsi"/>
          <w:sz w:val="22"/>
          <w:szCs w:val="22"/>
          <w:shd w:val="clear" w:color="auto" w:fill="FFFFFF"/>
        </w:rPr>
        <w:t xml:space="preserve">[online]. Available at:  </w:t>
      </w:r>
      <w:hyperlink r:id="rId20" w:history="1">
        <w:r w:rsidRPr="00EE79E5">
          <w:rPr>
            <w:rStyle w:val="Hyperlink"/>
            <w:rFonts w:asciiTheme="minorHAnsi" w:hAnsiTheme="minorHAnsi" w:cstheme="minorHAnsi"/>
            <w:sz w:val="22"/>
            <w:szCs w:val="22"/>
            <w:shd w:val="clear" w:color="auto" w:fill="FFFFFF"/>
          </w:rPr>
          <w:t>https://www.artfund.org/what-to-see/exhibitions/2015/06/10/carsten-holler-decision-exhibition</w:t>
        </w:r>
      </w:hyperlink>
      <w:r>
        <w:rPr>
          <w:rFonts w:asciiTheme="minorHAnsi" w:hAnsiTheme="minorHAnsi" w:cstheme="minorHAnsi"/>
          <w:sz w:val="22"/>
          <w:szCs w:val="22"/>
          <w:shd w:val="clear" w:color="auto" w:fill="FFFFFF"/>
        </w:rPr>
        <w:t xml:space="preserve"> (Accessed: 23</w:t>
      </w:r>
      <w:r w:rsidRPr="00E33058">
        <w:rPr>
          <w:rFonts w:asciiTheme="minorHAnsi" w:hAnsiTheme="minorHAnsi" w:cstheme="minorHAnsi"/>
          <w:sz w:val="22"/>
          <w:szCs w:val="22"/>
          <w:shd w:val="clear" w:color="auto" w:fill="FFFFFF"/>
          <w:vertAlign w:val="superscript"/>
        </w:rPr>
        <w:t>rd</w:t>
      </w:r>
      <w:r>
        <w:rPr>
          <w:rFonts w:asciiTheme="minorHAnsi" w:hAnsiTheme="minorHAnsi" w:cstheme="minorHAnsi"/>
          <w:sz w:val="22"/>
          <w:szCs w:val="22"/>
          <w:shd w:val="clear" w:color="auto" w:fill="FFFFFF"/>
        </w:rPr>
        <w:t xml:space="preserve"> March 2018)</w:t>
      </w:r>
    </w:p>
    <w:p w:rsidR="002C27EA" w:rsidRDefault="002C27EA">
      <w:pPr>
        <w:rPr>
          <w:rFonts w:cstheme="minorHAnsi"/>
        </w:rPr>
      </w:pPr>
    </w:p>
    <w:p w:rsidR="0070787E" w:rsidRDefault="00B75950">
      <w:pPr>
        <w:rPr>
          <w:rFonts w:cstheme="minorHAnsi"/>
        </w:rPr>
      </w:pPr>
      <w:r>
        <w:rPr>
          <w:rFonts w:cstheme="minorHAnsi"/>
        </w:rPr>
        <w:t>Poloczek, C. (2017) USM Furniture [online]. Available at:</w:t>
      </w:r>
      <w:r w:rsidRPr="00B75950">
        <w:t xml:space="preserve"> </w:t>
      </w:r>
      <w:hyperlink r:id="rId21" w:history="1">
        <w:r w:rsidRPr="00EE79E5">
          <w:rPr>
            <w:rStyle w:val="Hyperlink"/>
            <w:rFonts w:cstheme="minorHAnsi"/>
          </w:rPr>
          <w:t>https://www.ignant.com/2017/05/03/the-philosophical-furniture-systems-of-usm-haller/</w:t>
        </w:r>
      </w:hyperlink>
      <w:r>
        <w:rPr>
          <w:rFonts w:cstheme="minorHAnsi"/>
        </w:rPr>
        <w:t xml:space="preserve"> (Accessed: 23</w:t>
      </w:r>
      <w:r w:rsidRPr="00B75950">
        <w:rPr>
          <w:rFonts w:cstheme="minorHAnsi"/>
          <w:vertAlign w:val="superscript"/>
        </w:rPr>
        <w:t>rd</w:t>
      </w:r>
      <w:r w:rsidR="00971CE0">
        <w:rPr>
          <w:rFonts w:cstheme="minorHAnsi"/>
        </w:rPr>
        <w:t xml:space="preserve"> March 2018</w:t>
      </w:r>
      <w:r>
        <w:rPr>
          <w:rFonts w:cstheme="minorHAnsi"/>
        </w:rPr>
        <w:t>)</w:t>
      </w:r>
    </w:p>
    <w:p w:rsidR="001C2D38" w:rsidRDefault="00890237">
      <w:pPr>
        <w:rPr>
          <w:rFonts w:cstheme="minorHAnsi"/>
        </w:rPr>
      </w:pPr>
      <w:r>
        <w:rPr>
          <w:rFonts w:cstheme="minorHAnsi"/>
        </w:rPr>
        <w:t xml:space="preserve">Spencer, C. (2017) </w:t>
      </w:r>
      <w:r w:rsidRPr="00890237">
        <w:rPr>
          <w:rFonts w:cstheme="minorHAnsi"/>
          <w:i/>
        </w:rPr>
        <w:t>Ten Marilyn’s</w:t>
      </w:r>
      <w:r>
        <w:rPr>
          <w:rFonts w:cstheme="minorHAnsi"/>
          <w:i/>
        </w:rPr>
        <w:t xml:space="preserve"> </w:t>
      </w:r>
      <w:r>
        <w:rPr>
          <w:rFonts w:cstheme="minorHAnsi"/>
        </w:rPr>
        <w:t xml:space="preserve">[online].Available at: </w:t>
      </w:r>
      <w:r>
        <w:rPr>
          <w:rFonts w:cstheme="minorHAnsi"/>
          <w:i/>
        </w:rPr>
        <w:t xml:space="preserve"> </w:t>
      </w:r>
      <w:r>
        <w:rPr>
          <w:rFonts w:cstheme="minorHAnsi"/>
        </w:rPr>
        <w:t xml:space="preserve"> </w:t>
      </w:r>
      <w:hyperlink r:id="rId22" w:history="1">
        <w:r w:rsidRPr="00EE79E5">
          <w:rPr>
            <w:rStyle w:val="Hyperlink"/>
            <w:rFonts w:cstheme="minorHAnsi"/>
          </w:rPr>
          <w:t>https://www.independent.co.uk/arts-entertainment/art/features/andy-warhol-pop-art-30-year-anniversary-time-capsules-the-factory-a7592816.html</w:t>
        </w:r>
      </w:hyperlink>
      <w:r>
        <w:rPr>
          <w:rFonts w:cstheme="minorHAnsi"/>
        </w:rPr>
        <w:t xml:space="preserve"> (Accessed: 26</w:t>
      </w:r>
      <w:r w:rsidRPr="00890237">
        <w:rPr>
          <w:rFonts w:cstheme="minorHAnsi"/>
          <w:vertAlign w:val="superscript"/>
        </w:rPr>
        <w:t>th</w:t>
      </w:r>
      <w:r>
        <w:rPr>
          <w:rFonts w:cstheme="minorHAnsi"/>
        </w:rPr>
        <w:t xml:space="preserve"> March 2018)</w:t>
      </w:r>
    </w:p>
    <w:p w:rsidR="00F96610" w:rsidRPr="00890237" w:rsidRDefault="00F96610">
      <w:pPr>
        <w:rPr>
          <w:rFonts w:cstheme="minorHAnsi"/>
        </w:rPr>
      </w:pPr>
    </w:p>
    <w:p w:rsidR="00B75950" w:rsidRPr="00696416" w:rsidRDefault="00B75950">
      <w:pPr>
        <w:rPr>
          <w:rFonts w:cstheme="minorHAnsi"/>
        </w:rPr>
      </w:pPr>
    </w:p>
    <w:p w:rsidR="00132898" w:rsidRDefault="00132898">
      <w:pPr>
        <w:rPr>
          <w:rFonts w:cstheme="minorHAnsi"/>
        </w:rPr>
      </w:pPr>
    </w:p>
    <w:p w:rsidR="00F84A49" w:rsidRDefault="00F84A49">
      <w:pPr>
        <w:rPr>
          <w:rFonts w:cstheme="minorHAnsi"/>
        </w:rPr>
      </w:pPr>
    </w:p>
    <w:p w:rsidR="00F84A49" w:rsidRPr="003F3047" w:rsidRDefault="00F84A49">
      <w:pPr>
        <w:rPr>
          <w:rFonts w:cstheme="minorHAnsi"/>
        </w:rPr>
      </w:pPr>
    </w:p>
    <w:p w:rsidR="00827BFC" w:rsidRDefault="00827BFC"/>
    <w:sectPr w:rsidR="00827BFC">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15DEC" w:rsidRDefault="00E15DEC" w:rsidP="008B6694">
      <w:pPr>
        <w:spacing w:after="0" w:line="240" w:lineRule="auto"/>
      </w:pPr>
      <w:r>
        <w:separator/>
      </w:r>
    </w:p>
  </w:endnote>
  <w:endnote w:type="continuationSeparator" w:id="0">
    <w:p w:rsidR="00E15DEC" w:rsidRDefault="00E15DEC" w:rsidP="008B66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15DEC" w:rsidRDefault="00E15DEC" w:rsidP="008B6694">
      <w:pPr>
        <w:spacing w:after="0" w:line="240" w:lineRule="auto"/>
      </w:pPr>
      <w:r>
        <w:separator/>
      </w:r>
    </w:p>
  </w:footnote>
  <w:footnote w:type="continuationSeparator" w:id="0">
    <w:p w:rsidR="00E15DEC" w:rsidRDefault="00E15DEC" w:rsidP="008B66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B6694" w:rsidRDefault="008B6694">
    <w:pPr>
      <w:pStyle w:val="Header"/>
    </w:pPr>
    <w:r>
      <w:t>Nicholas Richards p149016</w:t>
    </w:r>
  </w:p>
  <w:p w:rsidR="008B6694" w:rsidRDefault="008B669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574B7"/>
    <w:rsid w:val="00027071"/>
    <w:rsid w:val="00032766"/>
    <w:rsid w:val="0004612E"/>
    <w:rsid w:val="000551CD"/>
    <w:rsid w:val="00064E26"/>
    <w:rsid w:val="00085609"/>
    <w:rsid w:val="000C23A5"/>
    <w:rsid w:val="000E777F"/>
    <w:rsid w:val="00132898"/>
    <w:rsid w:val="00151B50"/>
    <w:rsid w:val="00153D51"/>
    <w:rsid w:val="00166D18"/>
    <w:rsid w:val="001B1EBA"/>
    <w:rsid w:val="001C2CCE"/>
    <w:rsid w:val="001C2D38"/>
    <w:rsid w:val="001D1580"/>
    <w:rsid w:val="001D5D93"/>
    <w:rsid w:val="001F4B4C"/>
    <w:rsid w:val="00203D1A"/>
    <w:rsid w:val="00210914"/>
    <w:rsid w:val="00213D35"/>
    <w:rsid w:val="002413AC"/>
    <w:rsid w:val="00250D7D"/>
    <w:rsid w:val="00263811"/>
    <w:rsid w:val="002650DC"/>
    <w:rsid w:val="00273FEF"/>
    <w:rsid w:val="002A5E7E"/>
    <w:rsid w:val="002C27EA"/>
    <w:rsid w:val="003C5269"/>
    <w:rsid w:val="003F3047"/>
    <w:rsid w:val="003F6548"/>
    <w:rsid w:val="004161C6"/>
    <w:rsid w:val="0042151C"/>
    <w:rsid w:val="00435BA9"/>
    <w:rsid w:val="0047442B"/>
    <w:rsid w:val="00477DBF"/>
    <w:rsid w:val="004E4CD1"/>
    <w:rsid w:val="00566A7D"/>
    <w:rsid w:val="005A502A"/>
    <w:rsid w:val="006574B7"/>
    <w:rsid w:val="00696416"/>
    <w:rsid w:val="006D7F70"/>
    <w:rsid w:val="0070787E"/>
    <w:rsid w:val="007168B6"/>
    <w:rsid w:val="007404A5"/>
    <w:rsid w:val="00763756"/>
    <w:rsid w:val="00792ED8"/>
    <w:rsid w:val="007B6A30"/>
    <w:rsid w:val="007C2906"/>
    <w:rsid w:val="007C670B"/>
    <w:rsid w:val="00827BFC"/>
    <w:rsid w:val="00846661"/>
    <w:rsid w:val="00864520"/>
    <w:rsid w:val="00864CB9"/>
    <w:rsid w:val="0087026A"/>
    <w:rsid w:val="0088422D"/>
    <w:rsid w:val="00890237"/>
    <w:rsid w:val="008B6694"/>
    <w:rsid w:val="008C67FF"/>
    <w:rsid w:val="0092205D"/>
    <w:rsid w:val="00943439"/>
    <w:rsid w:val="00951852"/>
    <w:rsid w:val="00961659"/>
    <w:rsid w:val="00971CE0"/>
    <w:rsid w:val="00991990"/>
    <w:rsid w:val="009E4131"/>
    <w:rsid w:val="009F7447"/>
    <w:rsid w:val="00A05F04"/>
    <w:rsid w:val="00A344A0"/>
    <w:rsid w:val="00A95F07"/>
    <w:rsid w:val="00AC2BF7"/>
    <w:rsid w:val="00B62710"/>
    <w:rsid w:val="00B75950"/>
    <w:rsid w:val="00BD299C"/>
    <w:rsid w:val="00C10B0B"/>
    <w:rsid w:val="00C43027"/>
    <w:rsid w:val="00C80FA0"/>
    <w:rsid w:val="00CC4942"/>
    <w:rsid w:val="00CE537A"/>
    <w:rsid w:val="00D20BE2"/>
    <w:rsid w:val="00D32848"/>
    <w:rsid w:val="00D3402C"/>
    <w:rsid w:val="00D36BAC"/>
    <w:rsid w:val="00D3717A"/>
    <w:rsid w:val="00D54077"/>
    <w:rsid w:val="00DB7D1A"/>
    <w:rsid w:val="00DC6580"/>
    <w:rsid w:val="00DE0A63"/>
    <w:rsid w:val="00E15DEC"/>
    <w:rsid w:val="00E33058"/>
    <w:rsid w:val="00E35A44"/>
    <w:rsid w:val="00EA1A76"/>
    <w:rsid w:val="00EC56C6"/>
    <w:rsid w:val="00EE18C9"/>
    <w:rsid w:val="00F01AA6"/>
    <w:rsid w:val="00F23726"/>
    <w:rsid w:val="00F52325"/>
    <w:rsid w:val="00F54743"/>
    <w:rsid w:val="00F567D2"/>
    <w:rsid w:val="00F84A49"/>
    <w:rsid w:val="00F96610"/>
    <w:rsid w:val="00FC7C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08E74"/>
  <w15:docId w15:val="{30D44A7F-979B-49B9-8FC2-017F59636D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4612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84666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328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2898"/>
    <w:rPr>
      <w:rFonts w:ascii="Tahoma" w:hAnsi="Tahoma" w:cs="Tahoma"/>
      <w:sz w:val="16"/>
      <w:szCs w:val="16"/>
    </w:rPr>
  </w:style>
  <w:style w:type="character" w:customStyle="1" w:styleId="Heading2Char">
    <w:name w:val="Heading 2 Char"/>
    <w:basedOn w:val="DefaultParagraphFont"/>
    <w:link w:val="Heading2"/>
    <w:uiPriority w:val="9"/>
    <w:semiHidden/>
    <w:rsid w:val="00846661"/>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04612E"/>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696416"/>
    <w:rPr>
      <w:color w:val="0000FF" w:themeColor="hyperlink"/>
      <w:u w:val="single"/>
    </w:rPr>
  </w:style>
  <w:style w:type="paragraph" w:styleId="HTMLPreformatted">
    <w:name w:val="HTML Preformatted"/>
    <w:basedOn w:val="Normal"/>
    <w:link w:val="HTMLPreformattedChar"/>
    <w:uiPriority w:val="99"/>
    <w:semiHidden/>
    <w:unhideWhenUsed/>
    <w:rsid w:val="00971CE0"/>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971CE0"/>
    <w:rPr>
      <w:rFonts w:ascii="Consolas" w:hAnsi="Consolas"/>
      <w:sz w:val="20"/>
      <w:szCs w:val="20"/>
    </w:rPr>
  </w:style>
  <w:style w:type="paragraph" w:styleId="Header">
    <w:name w:val="header"/>
    <w:basedOn w:val="Normal"/>
    <w:link w:val="HeaderChar"/>
    <w:uiPriority w:val="99"/>
    <w:unhideWhenUsed/>
    <w:rsid w:val="008B66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6694"/>
  </w:style>
  <w:style w:type="paragraph" w:styleId="Footer">
    <w:name w:val="footer"/>
    <w:basedOn w:val="Normal"/>
    <w:link w:val="FooterChar"/>
    <w:uiPriority w:val="99"/>
    <w:unhideWhenUsed/>
    <w:rsid w:val="008B66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66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89450011">
      <w:bodyDiv w:val="1"/>
      <w:marLeft w:val="0"/>
      <w:marRight w:val="0"/>
      <w:marTop w:val="0"/>
      <w:marBottom w:val="0"/>
      <w:divBdr>
        <w:top w:val="none" w:sz="0" w:space="0" w:color="auto"/>
        <w:left w:val="none" w:sz="0" w:space="0" w:color="auto"/>
        <w:bottom w:val="none" w:sz="0" w:space="0" w:color="auto"/>
        <w:right w:val="none" w:sz="0" w:space="0" w:color="auto"/>
      </w:divBdr>
    </w:div>
    <w:div w:id="1570965753">
      <w:bodyDiv w:val="1"/>
      <w:marLeft w:val="0"/>
      <w:marRight w:val="0"/>
      <w:marTop w:val="0"/>
      <w:marBottom w:val="0"/>
      <w:divBdr>
        <w:top w:val="none" w:sz="0" w:space="0" w:color="auto"/>
        <w:left w:val="none" w:sz="0" w:space="0" w:color="auto"/>
        <w:bottom w:val="none" w:sz="0" w:space="0" w:color="auto"/>
        <w:right w:val="none" w:sz="0" w:space="0" w:color="auto"/>
      </w:divBdr>
    </w:div>
    <w:div w:id="1841509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openxmlformats.org/officeDocument/2006/relationships/hyperlink" Target="http://balticplus.uk/carsten-holler,-neon-circle-2001-and-baltic-phi-wall,-2002-07-c8380/" TargetMode="External"/><Relationship Id="rId3" Type="http://schemas.openxmlformats.org/officeDocument/2006/relationships/webSettings" Target="webSettings.xml"/><Relationship Id="rId21" Type="http://schemas.openxmlformats.org/officeDocument/2006/relationships/hyperlink" Target="https://www.ignant.com/2017/05/03/the-philosophical-furniture-systems-of-usm-haller/" TargetMode="Externa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hyperlink" Target="https://gazettereview.com/2016/09/uk-study-says-millions-lego-blocks-flushed-toilet/"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tlmagazine.com/usm-a-work-of-applied-art/" TargetMode="External"/><Relationship Id="rId20" Type="http://schemas.openxmlformats.org/officeDocument/2006/relationships/hyperlink" Target="https://www.artfund.org/what-to-see/exhibitions/2015/06/10/carsten-holler-decision-exhibition"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image" Target="media/image10.jpeg"/><Relationship Id="rId23" Type="http://schemas.openxmlformats.org/officeDocument/2006/relationships/header" Target="header1.xml"/><Relationship Id="rId10" Type="http://schemas.openxmlformats.org/officeDocument/2006/relationships/image" Target="media/image5.jpeg"/><Relationship Id="rId19" Type="http://schemas.openxmlformats.org/officeDocument/2006/relationships/hyperlink" Target="https://www.hedwig-hanf.com/galleries/leda-luss-luyken/"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jpeg"/><Relationship Id="rId22" Type="http://schemas.openxmlformats.org/officeDocument/2006/relationships/hyperlink" Target="https://www.independent.co.uk/arts-entertainment/art/features/andy-warhol-pop-art-30-year-anniversary-time-capsules-the-factory-a759281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3225</TotalTime>
  <Pages>8</Pages>
  <Words>1485</Words>
  <Characters>8467</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Nicholas Richards (P149016)</dc:creator>
  <cp:lastModifiedBy>Nicholas Richards (P149016)</cp:lastModifiedBy>
  <cp:revision>59</cp:revision>
  <cp:lastPrinted>2018-03-22T20:09:00Z</cp:lastPrinted>
  <dcterms:created xsi:type="dcterms:W3CDTF">2018-03-13T16:31:00Z</dcterms:created>
  <dcterms:modified xsi:type="dcterms:W3CDTF">2018-05-02T10:19:00Z</dcterms:modified>
</cp:coreProperties>
</file>