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C5C127" w14:textId="121359BC" w:rsidR="00D75F68" w:rsidRPr="00D75F68" w:rsidRDefault="00D75F68" w:rsidP="00D75F68">
      <w:pPr>
        <w:jc w:val="center"/>
        <w:rPr>
          <w:rFonts w:ascii="Times New Roman" w:hAnsi="Times New Roman" w:cs="Times New Roman"/>
          <w:b/>
          <w:sz w:val="24"/>
          <w:u w:val="single"/>
        </w:rPr>
      </w:pPr>
      <w:r w:rsidRPr="00D75F68">
        <w:rPr>
          <w:rFonts w:ascii="Times New Roman" w:hAnsi="Times New Roman" w:cs="Times New Roman"/>
          <w:b/>
          <w:sz w:val="24"/>
          <w:u w:val="single"/>
        </w:rPr>
        <w:t>The Tomb of John FitzAlan, fourteenth Earl of Arundel</w:t>
      </w:r>
    </w:p>
    <w:p w14:paraId="7B87B7EE" w14:textId="77777777" w:rsidR="003D7787" w:rsidRPr="00111112" w:rsidRDefault="003D7787" w:rsidP="00111112">
      <w:pPr>
        <w:jc w:val="both"/>
        <w:rPr>
          <w:rFonts w:ascii="Times New Roman" w:hAnsi="Times New Roman" w:cs="Times New Roman"/>
          <w:color w:val="FF0000"/>
          <w:sz w:val="24"/>
        </w:rPr>
      </w:pPr>
      <w:r w:rsidRPr="00111112">
        <w:rPr>
          <w:rFonts w:ascii="Times New Roman" w:hAnsi="Times New Roman" w:cs="Times New Roman"/>
          <w:sz w:val="24"/>
        </w:rPr>
        <w:t>This pair of images show the tomb of John FitzAlan, fourteenth Earl of Arundel, located in the FitzAlan Chapel, West Sussex</w:t>
      </w:r>
      <w:r w:rsidR="009E3E8E" w:rsidRPr="00111112">
        <w:rPr>
          <w:rFonts w:ascii="Times New Roman" w:hAnsi="Times New Roman" w:cs="Times New Roman"/>
          <w:sz w:val="24"/>
        </w:rPr>
        <w:t xml:space="preserve"> (see appendix one and two)</w:t>
      </w:r>
      <w:r w:rsidRPr="00111112">
        <w:rPr>
          <w:rFonts w:ascii="Times New Roman" w:hAnsi="Times New Roman" w:cs="Times New Roman"/>
          <w:sz w:val="24"/>
        </w:rPr>
        <w:t>. The tomb</w:t>
      </w:r>
      <w:r w:rsidR="00D022A2" w:rsidRPr="00111112">
        <w:rPr>
          <w:rFonts w:ascii="Times New Roman" w:hAnsi="Times New Roman" w:cs="Times New Roman"/>
          <w:sz w:val="24"/>
        </w:rPr>
        <w:t xml:space="preserve"> was designed by John FitzAlan himself but</w:t>
      </w:r>
      <w:r w:rsidRPr="00111112">
        <w:rPr>
          <w:rFonts w:ascii="Times New Roman" w:hAnsi="Times New Roman" w:cs="Times New Roman"/>
          <w:sz w:val="24"/>
        </w:rPr>
        <w:t xml:space="preserve"> was commissioned by John FitzAlan’s brother </w:t>
      </w:r>
      <w:r w:rsidR="00D022A2" w:rsidRPr="00111112">
        <w:rPr>
          <w:rFonts w:ascii="Times New Roman" w:hAnsi="Times New Roman" w:cs="Times New Roman"/>
          <w:sz w:val="24"/>
        </w:rPr>
        <w:t>William, sixteenth Earl of Arundel, following the death of his son Humphrey, fifteenth Earl of Arundel less than 3 years after than of John FitzAlan.</w:t>
      </w:r>
      <w:r w:rsidR="00D022A2" w:rsidRPr="00111112">
        <w:rPr>
          <w:rStyle w:val="FootnoteReference"/>
          <w:rFonts w:ascii="Times New Roman" w:hAnsi="Times New Roman" w:cs="Times New Roman"/>
          <w:sz w:val="24"/>
        </w:rPr>
        <w:footnoteReference w:id="1"/>
      </w:r>
    </w:p>
    <w:p w14:paraId="20A81DB9" w14:textId="77777777" w:rsidR="00B778E5" w:rsidRPr="00111112" w:rsidRDefault="003D7787" w:rsidP="00111112">
      <w:pPr>
        <w:jc w:val="both"/>
        <w:rPr>
          <w:rFonts w:ascii="Times New Roman" w:hAnsi="Times New Roman" w:cs="Times New Roman"/>
          <w:sz w:val="24"/>
        </w:rPr>
      </w:pPr>
      <w:r w:rsidRPr="00111112">
        <w:rPr>
          <w:rFonts w:ascii="Times New Roman" w:hAnsi="Times New Roman" w:cs="Times New Roman"/>
          <w:sz w:val="24"/>
        </w:rPr>
        <w:t xml:space="preserve">The tomb itself is a transi tomb, and shows the decaying body below the effigy of FitzAlan himself. This style of tomb may well have been chosen give the lack of body at the time of the tombs creation. FitzAlan, died in </w:t>
      </w:r>
      <w:r w:rsidR="00D022A2" w:rsidRPr="00111112">
        <w:rPr>
          <w:rFonts w:ascii="Times New Roman" w:hAnsi="Times New Roman" w:cs="Times New Roman"/>
          <w:sz w:val="24"/>
        </w:rPr>
        <w:t>Beauvais, France, as a result of wounds sustained in fighting the French for control of the area as part of the Hundred Years War in 1435.</w:t>
      </w:r>
      <w:r w:rsidR="00D022A2" w:rsidRPr="00111112">
        <w:rPr>
          <w:rStyle w:val="FootnoteReference"/>
          <w:rFonts w:ascii="Times New Roman" w:hAnsi="Times New Roman" w:cs="Times New Roman"/>
          <w:sz w:val="24"/>
        </w:rPr>
        <w:footnoteReference w:id="2"/>
      </w:r>
      <w:r w:rsidR="00862EFE" w:rsidRPr="00111112">
        <w:rPr>
          <w:rFonts w:ascii="Times New Roman" w:hAnsi="Times New Roman" w:cs="Times New Roman"/>
          <w:sz w:val="24"/>
        </w:rPr>
        <w:t xml:space="preserve"> Given that FitzAlan’s body was </w:t>
      </w:r>
      <w:r w:rsidRPr="00111112">
        <w:rPr>
          <w:rFonts w:ascii="Times New Roman" w:hAnsi="Times New Roman" w:cs="Times New Roman"/>
          <w:sz w:val="24"/>
        </w:rPr>
        <w:t xml:space="preserve">held hostage by </w:t>
      </w:r>
      <w:r w:rsidR="00862EFE" w:rsidRPr="00111112">
        <w:rPr>
          <w:rFonts w:ascii="Times New Roman" w:hAnsi="Times New Roman" w:cs="Times New Roman"/>
          <w:sz w:val="24"/>
        </w:rPr>
        <w:t>the French</w:t>
      </w:r>
      <w:r w:rsidRPr="00111112">
        <w:rPr>
          <w:rFonts w:ascii="Times New Roman" w:hAnsi="Times New Roman" w:cs="Times New Roman"/>
          <w:sz w:val="24"/>
        </w:rPr>
        <w:t xml:space="preserve"> </w:t>
      </w:r>
      <w:r w:rsidR="00862EFE" w:rsidRPr="00111112">
        <w:rPr>
          <w:rFonts w:ascii="Times New Roman" w:hAnsi="Times New Roman" w:cs="Times New Roman"/>
          <w:sz w:val="24"/>
        </w:rPr>
        <w:t>un</w:t>
      </w:r>
      <w:r w:rsidRPr="00111112">
        <w:rPr>
          <w:rFonts w:ascii="Times New Roman" w:hAnsi="Times New Roman" w:cs="Times New Roman"/>
          <w:sz w:val="24"/>
        </w:rPr>
        <w:t>ti</w:t>
      </w:r>
      <w:r w:rsidR="00862EFE" w:rsidRPr="00111112">
        <w:rPr>
          <w:rFonts w:ascii="Times New Roman" w:hAnsi="Times New Roman" w:cs="Times New Roman"/>
          <w:sz w:val="24"/>
        </w:rPr>
        <w:t>l 1454</w:t>
      </w:r>
      <w:r w:rsidRPr="00111112">
        <w:rPr>
          <w:rFonts w:ascii="Times New Roman" w:hAnsi="Times New Roman" w:cs="Times New Roman"/>
          <w:sz w:val="24"/>
        </w:rPr>
        <w:t xml:space="preserve"> </w:t>
      </w:r>
      <w:r w:rsidR="00B778E5" w:rsidRPr="00111112">
        <w:rPr>
          <w:rFonts w:ascii="Times New Roman" w:hAnsi="Times New Roman" w:cs="Times New Roman"/>
          <w:sz w:val="24"/>
        </w:rPr>
        <w:t>when it was finally returned to Sussex</w:t>
      </w:r>
      <w:r w:rsidR="00862EFE" w:rsidRPr="00111112">
        <w:rPr>
          <w:rFonts w:ascii="Times New Roman" w:hAnsi="Times New Roman" w:cs="Times New Roman"/>
          <w:sz w:val="24"/>
        </w:rPr>
        <w:t>, while the tomb was created in the 1440s, the appearance of the decaying body may well be as a replacement for actual remains in the tomb</w:t>
      </w:r>
      <w:r w:rsidR="00B778E5" w:rsidRPr="00111112">
        <w:rPr>
          <w:rFonts w:ascii="Times New Roman" w:hAnsi="Times New Roman" w:cs="Times New Roman"/>
          <w:sz w:val="24"/>
        </w:rPr>
        <w:t xml:space="preserve">. </w:t>
      </w:r>
    </w:p>
    <w:p w14:paraId="4D0F7217" w14:textId="066EBE41" w:rsidR="009C52DC" w:rsidRPr="009C52DC" w:rsidRDefault="009C52DC" w:rsidP="009C52DC">
      <w:pPr>
        <w:rPr>
          <w:rFonts w:ascii="Times New Roman" w:hAnsi="Times New Roman" w:cs="Times New Roman"/>
          <w:sz w:val="24"/>
        </w:rPr>
      </w:pPr>
      <w:r w:rsidRPr="009C52DC">
        <w:rPr>
          <w:rFonts w:ascii="Times New Roman" w:hAnsi="Times New Roman" w:cs="Times New Roman"/>
          <w:sz w:val="24"/>
        </w:rPr>
        <w:t>The cadaver tomb appears to have originated in northern Europe during the late fourteenth and early fifteenth centuries.</w:t>
      </w:r>
      <w:r w:rsidRPr="009C52DC">
        <w:rPr>
          <w:rStyle w:val="FootnoteReference"/>
          <w:rFonts w:ascii="Times New Roman" w:hAnsi="Times New Roman" w:cs="Times New Roman"/>
          <w:sz w:val="24"/>
        </w:rPr>
        <w:footnoteReference w:id="3"/>
      </w:r>
      <w:r w:rsidRPr="009C52DC">
        <w:rPr>
          <w:rFonts w:ascii="Times New Roman" w:hAnsi="Times New Roman" w:cs="Times New Roman"/>
          <w:sz w:val="24"/>
        </w:rPr>
        <w:t xml:space="preserve"> Given that 1346 onwards saw the Black Death and further outbreaks of the plague and long lasting warfare, such as the Hundred Year War, decimated the population of Europe.</w:t>
      </w:r>
      <w:r w:rsidRPr="009C52DC">
        <w:rPr>
          <w:rStyle w:val="FootnoteReference"/>
          <w:rFonts w:ascii="Times New Roman" w:hAnsi="Times New Roman" w:cs="Times New Roman"/>
          <w:sz w:val="24"/>
        </w:rPr>
        <w:footnoteReference w:id="4"/>
      </w:r>
      <w:r w:rsidRPr="009C52DC">
        <w:rPr>
          <w:rFonts w:ascii="Times New Roman" w:hAnsi="Times New Roman" w:cs="Times New Roman"/>
          <w:sz w:val="24"/>
        </w:rPr>
        <w:t xml:space="preserve"> The sight of slowly decomposing bodies would most likely, not only have made the fifteenth century person less prudish about what happens to the body after death than modern minds but also allowed them to see what really happened to the body after death and therefore that all physical bodies are the same in death regardless of status. On top of this, around the same time as development of the cadaver tomb the </w:t>
      </w:r>
      <w:proofErr w:type="spellStart"/>
      <w:r w:rsidRPr="009C52DC">
        <w:rPr>
          <w:rFonts w:ascii="Times New Roman" w:hAnsi="Times New Roman" w:cs="Times New Roman"/>
          <w:sz w:val="24"/>
        </w:rPr>
        <w:t>Danse</w:t>
      </w:r>
      <w:proofErr w:type="spellEnd"/>
      <w:r w:rsidRPr="009C52DC">
        <w:rPr>
          <w:rFonts w:ascii="Times New Roman" w:hAnsi="Times New Roman" w:cs="Times New Roman"/>
          <w:sz w:val="24"/>
        </w:rPr>
        <w:t xml:space="preserve"> Macabre appears to have also grown in popularity. </w:t>
      </w:r>
      <w:proofErr w:type="spellStart"/>
      <w:r w:rsidRPr="009C52DC">
        <w:rPr>
          <w:rFonts w:ascii="Times New Roman" w:hAnsi="Times New Roman" w:cs="Times New Roman"/>
          <w:sz w:val="24"/>
        </w:rPr>
        <w:t>Danse</w:t>
      </w:r>
      <w:proofErr w:type="spellEnd"/>
      <w:r w:rsidRPr="009C52DC">
        <w:rPr>
          <w:rFonts w:ascii="Times New Roman" w:hAnsi="Times New Roman" w:cs="Times New Roman"/>
          <w:sz w:val="24"/>
        </w:rPr>
        <w:t xml:space="preserve"> Macabre r</w:t>
      </w:r>
      <w:r w:rsidR="00556CD4">
        <w:rPr>
          <w:rFonts w:ascii="Times New Roman" w:hAnsi="Times New Roman" w:cs="Times New Roman"/>
          <w:sz w:val="24"/>
        </w:rPr>
        <w:t>efers to images, which is believed to have become popular in artistic depiction from 1424</w:t>
      </w:r>
      <w:r w:rsidRPr="009C52DC">
        <w:rPr>
          <w:rFonts w:ascii="Times New Roman" w:hAnsi="Times New Roman" w:cs="Times New Roman"/>
          <w:sz w:val="24"/>
        </w:rPr>
        <w:t>, of the dead interacting with the living.</w:t>
      </w:r>
      <w:r w:rsidRPr="009C52DC">
        <w:rPr>
          <w:rStyle w:val="FootnoteReference"/>
          <w:rFonts w:ascii="Times New Roman" w:hAnsi="Times New Roman" w:cs="Times New Roman"/>
          <w:sz w:val="24"/>
        </w:rPr>
        <w:t xml:space="preserve"> </w:t>
      </w:r>
      <w:r w:rsidRPr="009C52DC">
        <w:rPr>
          <w:rStyle w:val="FootnoteReference"/>
          <w:rFonts w:ascii="Times New Roman" w:hAnsi="Times New Roman" w:cs="Times New Roman"/>
          <w:sz w:val="24"/>
        </w:rPr>
        <w:footnoteReference w:id="5"/>
      </w:r>
      <w:r w:rsidRPr="009C52DC">
        <w:rPr>
          <w:rFonts w:ascii="Times New Roman" w:hAnsi="Times New Roman" w:cs="Times New Roman"/>
          <w:sz w:val="24"/>
        </w:rPr>
        <w:t xml:space="preserve"> Images such as these became common place in the medieval world and show how the fifteenth Century person was aware of their own mortality. This acceptance of one’s mortality </w:t>
      </w:r>
      <w:r w:rsidRPr="009C52DC">
        <w:rPr>
          <w:rFonts w:ascii="Times New Roman" w:hAnsi="Times New Roman" w:cs="Times New Roman"/>
          <w:sz w:val="24"/>
        </w:rPr>
        <w:lastRenderedPageBreak/>
        <w:t xml:space="preserve">also represented in the FitzAlan tomb given the decaying body representing the body after death. This understanding of the body in death is likely to be one of the reasons for the creation of the cadaver tomb as it would show that no matter how great a person their body would still decay. </w:t>
      </w:r>
    </w:p>
    <w:p w14:paraId="6059A8CF" w14:textId="659FE73B" w:rsidR="00E43C92" w:rsidRPr="00111112" w:rsidRDefault="00F968E7" w:rsidP="00111112">
      <w:pPr>
        <w:jc w:val="both"/>
        <w:rPr>
          <w:rFonts w:ascii="Times New Roman" w:hAnsi="Times New Roman" w:cs="Times New Roman"/>
          <w:sz w:val="24"/>
        </w:rPr>
      </w:pPr>
      <w:r w:rsidRPr="00111112">
        <w:rPr>
          <w:rFonts w:ascii="Times New Roman" w:hAnsi="Times New Roman" w:cs="Times New Roman"/>
          <w:sz w:val="24"/>
        </w:rPr>
        <w:t>If, therefore t</w:t>
      </w:r>
      <w:r w:rsidR="00E43C92" w:rsidRPr="00111112">
        <w:rPr>
          <w:rFonts w:ascii="Times New Roman" w:hAnsi="Times New Roman" w:cs="Times New Roman"/>
          <w:sz w:val="24"/>
        </w:rPr>
        <w:t xml:space="preserve">o the Fifteenth Century person, death and decay </w:t>
      </w:r>
      <w:r w:rsidR="00F07CFC" w:rsidRPr="00111112">
        <w:rPr>
          <w:rFonts w:ascii="Times New Roman" w:hAnsi="Times New Roman" w:cs="Times New Roman"/>
          <w:sz w:val="24"/>
        </w:rPr>
        <w:t xml:space="preserve">were considered to be part and parcel of life and were therefore not to be feared. In the poem </w:t>
      </w:r>
      <w:r w:rsidR="00472375" w:rsidRPr="00111112">
        <w:rPr>
          <w:rFonts w:ascii="Times New Roman" w:hAnsi="Times New Roman" w:cs="Times New Roman"/>
          <w:i/>
          <w:sz w:val="24"/>
        </w:rPr>
        <w:t xml:space="preserve">A Disputation </w:t>
      </w:r>
      <w:proofErr w:type="spellStart"/>
      <w:r w:rsidR="00472375" w:rsidRPr="00111112">
        <w:rPr>
          <w:rFonts w:ascii="Times New Roman" w:hAnsi="Times New Roman" w:cs="Times New Roman"/>
          <w:i/>
          <w:sz w:val="24"/>
        </w:rPr>
        <w:t>betwyx</w:t>
      </w:r>
      <w:proofErr w:type="spellEnd"/>
      <w:r w:rsidR="00472375" w:rsidRPr="00111112">
        <w:rPr>
          <w:rFonts w:ascii="Times New Roman" w:hAnsi="Times New Roman" w:cs="Times New Roman"/>
          <w:i/>
          <w:sz w:val="24"/>
        </w:rPr>
        <w:t xml:space="preserve"> </w:t>
      </w:r>
      <w:proofErr w:type="spellStart"/>
      <w:r w:rsidR="00472375" w:rsidRPr="00111112">
        <w:rPr>
          <w:rFonts w:ascii="Times New Roman" w:hAnsi="Times New Roman" w:cs="Times New Roman"/>
          <w:i/>
          <w:sz w:val="24"/>
        </w:rPr>
        <w:t>þe</w:t>
      </w:r>
      <w:proofErr w:type="spellEnd"/>
      <w:r w:rsidR="00472375" w:rsidRPr="00111112">
        <w:rPr>
          <w:rFonts w:ascii="Times New Roman" w:hAnsi="Times New Roman" w:cs="Times New Roman"/>
          <w:sz w:val="24"/>
        </w:rPr>
        <w:t xml:space="preserve"> </w:t>
      </w:r>
      <w:r w:rsidR="000466A4" w:rsidRPr="00111112">
        <w:rPr>
          <w:rFonts w:ascii="Times New Roman" w:hAnsi="Times New Roman" w:cs="Times New Roman"/>
          <w:sz w:val="24"/>
        </w:rPr>
        <w:t>B</w:t>
      </w:r>
      <w:r w:rsidR="00472375" w:rsidRPr="00111112">
        <w:rPr>
          <w:rFonts w:ascii="Times New Roman" w:hAnsi="Times New Roman" w:cs="Times New Roman"/>
          <w:i/>
          <w:sz w:val="24"/>
        </w:rPr>
        <w:t xml:space="preserve">ody and </w:t>
      </w:r>
      <w:proofErr w:type="spellStart"/>
      <w:r w:rsidR="000466A4" w:rsidRPr="00111112">
        <w:rPr>
          <w:rFonts w:ascii="Times New Roman" w:hAnsi="Times New Roman" w:cs="Times New Roman"/>
          <w:i/>
          <w:sz w:val="24"/>
        </w:rPr>
        <w:t>W</w:t>
      </w:r>
      <w:r w:rsidR="00472375" w:rsidRPr="00111112">
        <w:rPr>
          <w:rFonts w:ascii="Times New Roman" w:hAnsi="Times New Roman" w:cs="Times New Roman"/>
          <w:i/>
          <w:sz w:val="24"/>
        </w:rPr>
        <w:t>ormes</w:t>
      </w:r>
      <w:proofErr w:type="spellEnd"/>
      <w:r w:rsidR="00472375" w:rsidRPr="00111112">
        <w:rPr>
          <w:rFonts w:ascii="Times New Roman" w:hAnsi="Times New Roman" w:cs="Times New Roman"/>
          <w:i/>
          <w:sz w:val="24"/>
        </w:rPr>
        <w:t>,</w:t>
      </w:r>
      <w:r w:rsidR="00472375" w:rsidRPr="00111112">
        <w:rPr>
          <w:rFonts w:ascii="Times New Roman" w:hAnsi="Times New Roman" w:cs="Times New Roman"/>
          <w:sz w:val="24"/>
        </w:rPr>
        <w:t xml:space="preserve"> </w:t>
      </w:r>
      <w:r w:rsidR="00F07CFC" w:rsidRPr="00111112">
        <w:rPr>
          <w:rFonts w:ascii="Times New Roman" w:hAnsi="Times New Roman" w:cs="Times New Roman"/>
          <w:sz w:val="24"/>
        </w:rPr>
        <w:t>the decaying woman is seen having a conversation with the worms who are slowly eating her body.</w:t>
      </w:r>
      <w:r w:rsidR="00472375" w:rsidRPr="00111112">
        <w:rPr>
          <w:rStyle w:val="FootnoteReference"/>
          <w:rFonts w:ascii="Times New Roman" w:hAnsi="Times New Roman" w:cs="Times New Roman"/>
          <w:sz w:val="24"/>
        </w:rPr>
        <w:footnoteReference w:id="6"/>
      </w:r>
      <w:r w:rsidR="00F07CFC" w:rsidRPr="00111112">
        <w:rPr>
          <w:rFonts w:ascii="Times New Roman" w:hAnsi="Times New Roman" w:cs="Times New Roman"/>
          <w:sz w:val="24"/>
        </w:rPr>
        <w:t xml:space="preserve"> </w:t>
      </w:r>
      <w:r w:rsidR="009B6806" w:rsidRPr="00111112">
        <w:rPr>
          <w:rFonts w:ascii="Times New Roman" w:hAnsi="Times New Roman" w:cs="Times New Roman"/>
          <w:sz w:val="24"/>
        </w:rPr>
        <w:t>The poem itself appears in a text for the instruction of Carthusian clerics in Northern England.</w:t>
      </w:r>
      <w:r w:rsidR="009B6806" w:rsidRPr="00111112">
        <w:rPr>
          <w:rStyle w:val="FootnoteReference"/>
          <w:rFonts w:ascii="Times New Roman" w:hAnsi="Times New Roman" w:cs="Times New Roman"/>
          <w:sz w:val="24"/>
        </w:rPr>
        <w:footnoteReference w:id="7"/>
      </w:r>
      <w:r w:rsidR="009B6806" w:rsidRPr="00111112">
        <w:rPr>
          <w:rFonts w:ascii="Times New Roman" w:hAnsi="Times New Roman" w:cs="Times New Roman"/>
          <w:sz w:val="24"/>
        </w:rPr>
        <w:t xml:space="preserve"> Given that this text was held by a clerical institution, it seems that society and religion were both accepting of what happened to the physical body after death. In t</w:t>
      </w:r>
      <w:r w:rsidR="000466A4" w:rsidRPr="00111112">
        <w:rPr>
          <w:rFonts w:ascii="Times New Roman" w:hAnsi="Times New Roman" w:cs="Times New Roman"/>
          <w:sz w:val="24"/>
        </w:rPr>
        <w:t>he</w:t>
      </w:r>
      <w:r w:rsidR="009B6806" w:rsidRPr="00111112">
        <w:rPr>
          <w:rFonts w:ascii="Times New Roman" w:hAnsi="Times New Roman" w:cs="Times New Roman"/>
          <w:sz w:val="24"/>
        </w:rPr>
        <w:t xml:space="preserve"> poem the</w:t>
      </w:r>
      <w:r w:rsidR="000466A4" w:rsidRPr="00111112">
        <w:rPr>
          <w:rFonts w:ascii="Times New Roman" w:hAnsi="Times New Roman" w:cs="Times New Roman"/>
          <w:sz w:val="24"/>
        </w:rPr>
        <w:t xml:space="preserve"> dead woman, </w:t>
      </w:r>
      <w:r w:rsidR="009B6806" w:rsidRPr="00111112">
        <w:rPr>
          <w:rFonts w:ascii="Times New Roman" w:hAnsi="Times New Roman" w:cs="Times New Roman"/>
          <w:sz w:val="24"/>
        </w:rPr>
        <w:t>uses the line ‘</w:t>
      </w:r>
      <w:r w:rsidR="00EA2C8B" w:rsidRPr="00111112">
        <w:rPr>
          <w:rFonts w:ascii="Times New Roman" w:hAnsi="Times New Roman" w:cs="Times New Roman"/>
          <w:sz w:val="24"/>
        </w:rPr>
        <w:t>what should I do but let them enjoy me?’</w:t>
      </w:r>
      <w:r w:rsidR="00111112" w:rsidRPr="00111112">
        <w:rPr>
          <w:rFonts w:ascii="Times New Roman" w:hAnsi="Times New Roman" w:cs="Times New Roman"/>
          <w:sz w:val="24"/>
        </w:rPr>
        <w:t>,</w:t>
      </w:r>
      <w:r w:rsidR="00EA2C8B" w:rsidRPr="00111112">
        <w:rPr>
          <w:rFonts w:ascii="Times New Roman" w:hAnsi="Times New Roman" w:cs="Times New Roman"/>
          <w:sz w:val="24"/>
        </w:rPr>
        <w:t xml:space="preserve"> clearly showing that she has come to terms with the fate of her physical body while her so</w:t>
      </w:r>
      <w:r w:rsidR="00111112" w:rsidRPr="00111112">
        <w:rPr>
          <w:rFonts w:ascii="Times New Roman" w:hAnsi="Times New Roman" w:cs="Times New Roman"/>
          <w:sz w:val="24"/>
        </w:rPr>
        <w:t>ul</w:t>
      </w:r>
      <w:r w:rsidR="00EA2C8B" w:rsidRPr="00111112">
        <w:rPr>
          <w:rFonts w:ascii="Times New Roman" w:hAnsi="Times New Roman" w:cs="Times New Roman"/>
          <w:sz w:val="24"/>
        </w:rPr>
        <w:t xml:space="preserve"> waits for the last judgement to come.</w:t>
      </w:r>
      <w:r w:rsidR="00EA2C8B" w:rsidRPr="00111112">
        <w:rPr>
          <w:rStyle w:val="FootnoteReference"/>
          <w:rFonts w:ascii="Times New Roman" w:hAnsi="Times New Roman" w:cs="Times New Roman"/>
          <w:sz w:val="24"/>
        </w:rPr>
        <w:footnoteReference w:id="8"/>
      </w:r>
      <w:r w:rsidR="00F07CFC" w:rsidRPr="00111112">
        <w:rPr>
          <w:rFonts w:ascii="Times New Roman" w:hAnsi="Times New Roman" w:cs="Times New Roman"/>
          <w:sz w:val="24"/>
        </w:rPr>
        <w:t xml:space="preserve">If therefore, those living in the Fifteenth Century were accepting of their own mortality then the transi tomb is simply a representation of this acceptance. </w:t>
      </w:r>
    </w:p>
    <w:p w14:paraId="6AADFC51" w14:textId="77777777" w:rsidR="00B778E5" w:rsidRPr="00111112" w:rsidRDefault="00B778E5" w:rsidP="00111112">
      <w:pPr>
        <w:jc w:val="both"/>
        <w:rPr>
          <w:rFonts w:ascii="Times New Roman" w:hAnsi="Times New Roman" w:cs="Times New Roman"/>
          <w:sz w:val="24"/>
        </w:rPr>
      </w:pPr>
      <w:r w:rsidRPr="00111112">
        <w:rPr>
          <w:rFonts w:ascii="Times New Roman" w:hAnsi="Times New Roman" w:cs="Times New Roman"/>
          <w:sz w:val="24"/>
        </w:rPr>
        <w:t>In order to work out</w:t>
      </w:r>
      <w:r w:rsidR="00E43C92" w:rsidRPr="00111112">
        <w:rPr>
          <w:rFonts w:ascii="Times New Roman" w:hAnsi="Times New Roman" w:cs="Times New Roman"/>
          <w:sz w:val="24"/>
        </w:rPr>
        <w:t xml:space="preserve"> if the transi tomb was commonly used in Fifteenth Century England, we must look to other tombs. </w:t>
      </w:r>
      <w:r w:rsidR="00D20CDF" w:rsidRPr="00111112">
        <w:rPr>
          <w:rFonts w:ascii="Times New Roman" w:hAnsi="Times New Roman" w:cs="Times New Roman"/>
          <w:sz w:val="24"/>
        </w:rPr>
        <w:t xml:space="preserve">The tomb of Archbishop Henry </w:t>
      </w:r>
      <w:proofErr w:type="spellStart"/>
      <w:r w:rsidR="00D20CDF" w:rsidRPr="00111112">
        <w:rPr>
          <w:rFonts w:ascii="Times New Roman" w:hAnsi="Times New Roman" w:cs="Times New Roman"/>
          <w:sz w:val="24"/>
        </w:rPr>
        <w:t>Chichele</w:t>
      </w:r>
      <w:proofErr w:type="spellEnd"/>
      <w:r w:rsidR="00D20CDF" w:rsidRPr="00111112">
        <w:rPr>
          <w:rFonts w:ascii="Times New Roman" w:hAnsi="Times New Roman" w:cs="Times New Roman"/>
          <w:sz w:val="24"/>
        </w:rPr>
        <w:t xml:space="preserve"> is believed to be the first double cadaver tomb, like that of FitzAlan’s produced in England, between 1426 and 1428.</w:t>
      </w:r>
      <w:r w:rsidR="00D20CDF" w:rsidRPr="00111112">
        <w:rPr>
          <w:rStyle w:val="FootnoteReference"/>
          <w:rFonts w:ascii="Times New Roman" w:hAnsi="Times New Roman" w:cs="Times New Roman"/>
          <w:sz w:val="24"/>
        </w:rPr>
        <w:footnoteReference w:id="9"/>
      </w:r>
      <w:r w:rsidR="00D20CDF" w:rsidRPr="00111112">
        <w:rPr>
          <w:rFonts w:ascii="Times New Roman" w:hAnsi="Times New Roman" w:cs="Times New Roman"/>
          <w:sz w:val="24"/>
        </w:rPr>
        <w:t xml:space="preserve"> Given that the Archbishop did not die until 1443, he clearly chose to both design and commission his own tomb before his death, thus furthering the case for FitzAlan’s tomb being of his own design.</w:t>
      </w:r>
      <w:r w:rsidR="00D20CDF" w:rsidRPr="00111112">
        <w:rPr>
          <w:rStyle w:val="FootnoteReference"/>
          <w:rFonts w:ascii="Times New Roman" w:hAnsi="Times New Roman" w:cs="Times New Roman"/>
          <w:sz w:val="24"/>
        </w:rPr>
        <w:footnoteReference w:id="10"/>
      </w:r>
      <w:r w:rsidR="00D20CDF" w:rsidRPr="00111112">
        <w:rPr>
          <w:rFonts w:ascii="Times New Roman" w:hAnsi="Times New Roman" w:cs="Times New Roman"/>
          <w:sz w:val="24"/>
        </w:rPr>
        <w:t xml:space="preserve"> Furthermore, if we look at the details of </w:t>
      </w:r>
      <w:r w:rsidR="003043C7" w:rsidRPr="00111112">
        <w:rPr>
          <w:rFonts w:ascii="Times New Roman" w:hAnsi="Times New Roman" w:cs="Times New Roman"/>
          <w:sz w:val="24"/>
        </w:rPr>
        <w:t xml:space="preserve">Archbishops </w:t>
      </w:r>
      <w:proofErr w:type="spellStart"/>
      <w:r w:rsidR="003043C7" w:rsidRPr="00111112">
        <w:rPr>
          <w:rFonts w:ascii="Times New Roman" w:hAnsi="Times New Roman" w:cs="Times New Roman"/>
          <w:sz w:val="24"/>
        </w:rPr>
        <w:t>Chichele’s</w:t>
      </w:r>
      <w:proofErr w:type="spellEnd"/>
      <w:r w:rsidR="003043C7" w:rsidRPr="00111112">
        <w:rPr>
          <w:rFonts w:ascii="Times New Roman" w:hAnsi="Times New Roman" w:cs="Times New Roman"/>
          <w:sz w:val="24"/>
        </w:rPr>
        <w:t xml:space="preserve"> tomb (see appendix three), it become clear that the simplistic style of tomb, with the archways revealing the decaying body inside the tomb was the typical style for fifteenth Century England as it is seen on both his and FitzAlan’s tomb. The striking similarity in not only the architecture of the tomb but also in the position of the decaying body are clear examples of how the concept of the cadaver tomb was still developing at the time of FitzAlan’s death. </w:t>
      </w:r>
    </w:p>
    <w:p w14:paraId="2FB59794" w14:textId="0825942D" w:rsidR="004879E7" w:rsidRPr="00111112" w:rsidRDefault="004879E7" w:rsidP="00111112">
      <w:pPr>
        <w:jc w:val="both"/>
        <w:rPr>
          <w:rFonts w:ascii="Times New Roman" w:hAnsi="Times New Roman" w:cs="Times New Roman"/>
          <w:sz w:val="24"/>
        </w:rPr>
      </w:pPr>
      <w:r w:rsidRPr="00111112">
        <w:rPr>
          <w:rFonts w:ascii="Times New Roman" w:hAnsi="Times New Roman" w:cs="Times New Roman"/>
          <w:sz w:val="24"/>
        </w:rPr>
        <w:lastRenderedPageBreak/>
        <w:t xml:space="preserve">If however, we compare FitzAlan’s tomb those of a similar nature in Europe it becomes clear that this particular tomb is actually much more simplistic in its style. </w:t>
      </w:r>
      <w:r w:rsidR="008E4107" w:rsidRPr="00111112">
        <w:rPr>
          <w:rFonts w:ascii="Times New Roman" w:hAnsi="Times New Roman" w:cs="Times New Roman"/>
          <w:sz w:val="24"/>
        </w:rPr>
        <w:t xml:space="preserve">Tombs such as that of Richard van </w:t>
      </w:r>
      <w:proofErr w:type="spellStart"/>
      <w:r w:rsidR="008E4107" w:rsidRPr="00111112">
        <w:rPr>
          <w:rFonts w:ascii="Times New Roman" w:hAnsi="Times New Roman" w:cs="Times New Roman"/>
          <w:sz w:val="24"/>
        </w:rPr>
        <w:t>Brederode</w:t>
      </w:r>
      <w:proofErr w:type="spellEnd"/>
      <w:r w:rsidR="008E4107" w:rsidRPr="00111112">
        <w:rPr>
          <w:rFonts w:ascii="Times New Roman" w:hAnsi="Times New Roman" w:cs="Times New Roman"/>
          <w:sz w:val="24"/>
        </w:rPr>
        <w:t xml:space="preserve"> and </w:t>
      </w:r>
      <w:proofErr w:type="spellStart"/>
      <w:r w:rsidR="008E4107" w:rsidRPr="00111112">
        <w:rPr>
          <w:rFonts w:ascii="Times New Roman" w:hAnsi="Times New Roman" w:cs="Times New Roman"/>
          <w:sz w:val="24"/>
        </w:rPr>
        <w:t>Philippote</w:t>
      </w:r>
      <w:proofErr w:type="spellEnd"/>
      <w:r w:rsidR="008E4107" w:rsidRPr="00111112">
        <w:rPr>
          <w:rFonts w:ascii="Times New Roman" w:hAnsi="Times New Roman" w:cs="Times New Roman"/>
          <w:sz w:val="24"/>
        </w:rPr>
        <w:t xml:space="preserve"> van </w:t>
      </w:r>
      <w:proofErr w:type="spellStart"/>
      <w:r w:rsidR="008E4107" w:rsidRPr="00111112">
        <w:rPr>
          <w:rFonts w:ascii="Times New Roman" w:hAnsi="Times New Roman" w:cs="Times New Roman"/>
          <w:sz w:val="24"/>
        </w:rPr>
        <w:t>Marack</w:t>
      </w:r>
      <w:proofErr w:type="spellEnd"/>
      <w:r w:rsidR="008E4107" w:rsidRPr="00111112">
        <w:rPr>
          <w:rFonts w:ascii="Times New Roman" w:hAnsi="Times New Roman" w:cs="Times New Roman"/>
          <w:sz w:val="24"/>
        </w:rPr>
        <w:t xml:space="preserve"> in </w:t>
      </w:r>
      <w:proofErr w:type="spellStart"/>
      <w:r w:rsidR="008E4107" w:rsidRPr="00111112">
        <w:rPr>
          <w:rFonts w:ascii="Times New Roman" w:hAnsi="Times New Roman" w:cs="Times New Roman"/>
          <w:sz w:val="24"/>
        </w:rPr>
        <w:t>Vianen</w:t>
      </w:r>
      <w:proofErr w:type="spellEnd"/>
      <w:r w:rsidR="00517847" w:rsidRPr="00111112">
        <w:rPr>
          <w:rFonts w:ascii="Times New Roman" w:hAnsi="Times New Roman" w:cs="Times New Roman"/>
          <w:sz w:val="24"/>
        </w:rPr>
        <w:t xml:space="preserve"> contain</w:t>
      </w:r>
      <w:r w:rsidR="008E4107" w:rsidRPr="00111112">
        <w:rPr>
          <w:rFonts w:ascii="Times New Roman" w:hAnsi="Times New Roman" w:cs="Times New Roman"/>
          <w:sz w:val="24"/>
        </w:rPr>
        <w:t>s</w:t>
      </w:r>
      <w:r w:rsidR="00517847" w:rsidRPr="00111112">
        <w:rPr>
          <w:rFonts w:ascii="Times New Roman" w:hAnsi="Times New Roman" w:cs="Times New Roman"/>
          <w:sz w:val="24"/>
        </w:rPr>
        <w:t xml:space="preserve"> even more </w:t>
      </w:r>
      <w:r w:rsidR="008E4107" w:rsidRPr="00111112">
        <w:rPr>
          <w:rFonts w:ascii="Times New Roman" w:hAnsi="Times New Roman" w:cs="Times New Roman"/>
          <w:sz w:val="24"/>
        </w:rPr>
        <w:t>realistic</w:t>
      </w:r>
      <w:r w:rsidR="00517847" w:rsidRPr="00111112">
        <w:rPr>
          <w:rFonts w:ascii="Times New Roman" w:hAnsi="Times New Roman" w:cs="Times New Roman"/>
          <w:sz w:val="24"/>
        </w:rPr>
        <w:t xml:space="preserve"> decaying bodies which not only show the body of the dead de</w:t>
      </w:r>
      <w:r w:rsidR="008E4107" w:rsidRPr="00111112">
        <w:rPr>
          <w:rFonts w:ascii="Times New Roman" w:hAnsi="Times New Roman" w:cs="Times New Roman"/>
          <w:sz w:val="24"/>
        </w:rPr>
        <w:t>composing</w:t>
      </w:r>
      <w:r w:rsidR="00517847" w:rsidRPr="00111112">
        <w:rPr>
          <w:rFonts w:ascii="Times New Roman" w:hAnsi="Times New Roman" w:cs="Times New Roman"/>
          <w:sz w:val="24"/>
        </w:rPr>
        <w:t xml:space="preserve"> but </w:t>
      </w:r>
      <w:r w:rsidR="008E4107" w:rsidRPr="00111112">
        <w:rPr>
          <w:rFonts w:ascii="Times New Roman" w:hAnsi="Times New Roman" w:cs="Times New Roman"/>
          <w:sz w:val="24"/>
        </w:rPr>
        <w:t xml:space="preserve">the worms and other animals that would eat the flesh of the dead. The tomb itself (see appendix four) is not only more elaborate in style to that of FitzAlan, with its cherubs and more classical style architecture surrounding the lower part of the tomb but also is clearly much more of a statement about the body in death than FitzAlan’s tomb. Although the </w:t>
      </w:r>
      <w:proofErr w:type="spellStart"/>
      <w:r w:rsidR="008E4107" w:rsidRPr="00111112">
        <w:rPr>
          <w:rFonts w:ascii="Times New Roman" w:hAnsi="Times New Roman" w:cs="Times New Roman"/>
          <w:sz w:val="24"/>
        </w:rPr>
        <w:t>Brederode</w:t>
      </w:r>
      <w:proofErr w:type="spellEnd"/>
      <w:r w:rsidR="008E4107" w:rsidRPr="00111112">
        <w:rPr>
          <w:rFonts w:ascii="Times New Roman" w:hAnsi="Times New Roman" w:cs="Times New Roman"/>
          <w:sz w:val="24"/>
        </w:rPr>
        <w:t xml:space="preserve"> tomb is a double tomb, that is it contains the effigies of both van </w:t>
      </w:r>
      <w:proofErr w:type="spellStart"/>
      <w:r w:rsidR="008E4107" w:rsidRPr="00111112">
        <w:rPr>
          <w:rFonts w:ascii="Times New Roman" w:hAnsi="Times New Roman" w:cs="Times New Roman"/>
          <w:sz w:val="24"/>
        </w:rPr>
        <w:t>Brederode</w:t>
      </w:r>
      <w:proofErr w:type="spellEnd"/>
      <w:r w:rsidR="008E4107" w:rsidRPr="00111112">
        <w:rPr>
          <w:rFonts w:ascii="Times New Roman" w:hAnsi="Times New Roman" w:cs="Times New Roman"/>
          <w:sz w:val="24"/>
        </w:rPr>
        <w:t xml:space="preserve"> and his wife, it only contains one decaying body in the lower part of the tomb. While this may simply be because the tomb is believed to have been converted to a cadaver tomb at the time of van </w:t>
      </w:r>
      <w:proofErr w:type="spellStart"/>
      <w:r w:rsidR="008E4107" w:rsidRPr="00111112">
        <w:rPr>
          <w:rFonts w:ascii="Times New Roman" w:hAnsi="Times New Roman" w:cs="Times New Roman"/>
          <w:sz w:val="24"/>
        </w:rPr>
        <w:t>Brederode’s</w:t>
      </w:r>
      <w:proofErr w:type="spellEnd"/>
      <w:r w:rsidR="008E4107" w:rsidRPr="00111112">
        <w:rPr>
          <w:rFonts w:ascii="Times New Roman" w:hAnsi="Times New Roman" w:cs="Times New Roman"/>
          <w:sz w:val="24"/>
        </w:rPr>
        <w:t xml:space="preserve"> death in 1556, his wife had died in 1537, the presence of only one decaying body may also be s</w:t>
      </w:r>
      <w:r w:rsidR="00111112" w:rsidRPr="00111112">
        <w:rPr>
          <w:rFonts w:ascii="Times New Roman" w:hAnsi="Times New Roman" w:cs="Times New Roman"/>
          <w:sz w:val="24"/>
        </w:rPr>
        <w:t>ymbol</w:t>
      </w:r>
      <w:r w:rsidR="008E4107" w:rsidRPr="00111112">
        <w:rPr>
          <w:rFonts w:ascii="Times New Roman" w:hAnsi="Times New Roman" w:cs="Times New Roman"/>
          <w:sz w:val="24"/>
        </w:rPr>
        <w:t>ic of the fact that all bodies are the same in death.</w:t>
      </w:r>
      <w:r w:rsidR="008E4107" w:rsidRPr="00111112">
        <w:rPr>
          <w:rStyle w:val="FootnoteReference"/>
          <w:rFonts w:ascii="Times New Roman" w:hAnsi="Times New Roman" w:cs="Times New Roman"/>
          <w:sz w:val="24"/>
        </w:rPr>
        <w:footnoteReference w:id="11"/>
      </w:r>
      <w:r w:rsidR="008E4107" w:rsidRPr="00111112">
        <w:rPr>
          <w:rFonts w:ascii="Times New Roman" w:hAnsi="Times New Roman" w:cs="Times New Roman"/>
          <w:sz w:val="24"/>
        </w:rPr>
        <w:t xml:space="preserve"> Given that this tomb was created almost a century after FitzAlan’s the more elaborate detail may simply be just a development of the style of cadaver tombs but it is more likely that the tomb was following the Dutch style than the English of FitzAlan’s tomb. </w:t>
      </w:r>
    </w:p>
    <w:p w14:paraId="6484CEAC" w14:textId="77777777" w:rsidR="003D7787" w:rsidRPr="00111112" w:rsidRDefault="00B778E5" w:rsidP="00111112">
      <w:pPr>
        <w:jc w:val="both"/>
        <w:rPr>
          <w:rFonts w:ascii="Times New Roman" w:hAnsi="Times New Roman" w:cs="Times New Roman"/>
          <w:sz w:val="24"/>
        </w:rPr>
      </w:pPr>
      <w:r w:rsidRPr="00111112">
        <w:rPr>
          <w:rFonts w:ascii="Times New Roman" w:hAnsi="Times New Roman" w:cs="Times New Roman"/>
          <w:sz w:val="24"/>
        </w:rPr>
        <w:t>John FitzAlan’s tomb is not only an excellent example of the transi tombs created in 15</w:t>
      </w:r>
      <w:r w:rsidRPr="00111112">
        <w:rPr>
          <w:rFonts w:ascii="Times New Roman" w:hAnsi="Times New Roman" w:cs="Times New Roman"/>
          <w:sz w:val="24"/>
          <w:vertAlign w:val="superscript"/>
        </w:rPr>
        <w:t>th</w:t>
      </w:r>
      <w:r w:rsidRPr="00111112">
        <w:rPr>
          <w:rFonts w:ascii="Times New Roman" w:hAnsi="Times New Roman" w:cs="Times New Roman"/>
          <w:sz w:val="24"/>
        </w:rPr>
        <w:t xml:space="preserve"> Century England but also shows what could potential</w:t>
      </w:r>
      <w:r w:rsidR="00734226" w:rsidRPr="00111112">
        <w:rPr>
          <w:rFonts w:ascii="Times New Roman" w:hAnsi="Times New Roman" w:cs="Times New Roman"/>
          <w:sz w:val="24"/>
        </w:rPr>
        <w:t xml:space="preserve">ly be created when there was not </w:t>
      </w:r>
      <w:r w:rsidRPr="00111112">
        <w:rPr>
          <w:rFonts w:ascii="Times New Roman" w:hAnsi="Times New Roman" w:cs="Times New Roman"/>
          <w:sz w:val="24"/>
        </w:rPr>
        <w:t xml:space="preserve">a body to be buried. On top of this the presence of the decaying body in the tomb shows the relationship society had with death and decay, it couldn’t not be avoided and so was accepted as part and parcel of life. </w:t>
      </w:r>
    </w:p>
    <w:p w14:paraId="55F98861" w14:textId="77777777" w:rsidR="00771895" w:rsidRDefault="00771895" w:rsidP="00111112">
      <w:pPr>
        <w:jc w:val="both"/>
        <w:rPr>
          <w:rFonts w:ascii="Times New Roman" w:hAnsi="Times New Roman" w:cs="Times New Roman"/>
          <w:sz w:val="24"/>
        </w:rPr>
      </w:pPr>
    </w:p>
    <w:p w14:paraId="5E20B805" w14:textId="77777777" w:rsidR="00EA31A6" w:rsidRDefault="00EA31A6" w:rsidP="00111112">
      <w:pPr>
        <w:jc w:val="both"/>
        <w:rPr>
          <w:rFonts w:ascii="Times New Roman" w:hAnsi="Times New Roman" w:cs="Times New Roman"/>
          <w:sz w:val="24"/>
        </w:rPr>
      </w:pPr>
    </w:p>
    <w:p w14:paraId="2840867D" w14:textId="77777777" w:rsidR="00EA31A6" w:rsidRDefault="00EA31A6" w:rsidP="00111112">
      <w:pPr>
        <w:jc w:val="both"/>
        <w:rPr>
          <w:rFonts w:ascii="Times New Roman" w:hAnsi="Times New Roman" w:cs="Times New Roman"/>
          <w:sz w:val="24"/>
        </w:rPr>
      </w:pPr>
    </w:p>
    <w:p w14:paraId="4E7427C0" w14:textId="77777777" w:rsidR="00EA31A6" w:rsidRDefault="00EA31A6" w:rsidP="00111112">
      <w:pPr>
        <w:jc w:val="both"/>
        <w:rPr>
          <w:rFonts w:ascii="Times New Roman" w:hAnsi="Times New Roman" w:cs="Times New Roman"/>
          <w:sz w:val="24"/>
        </w:rPr>
      </w:pPr>
    </w:p>
    <w:p w14:paraId="5925CF62" w14:textId="77777777" w:rsidR="00EA31A6" w:rsidRDefault="00EA31A6" w:rsidP="00111112">
      <w:pPr>
        <w:jc w:val="both"/>
        <w:rPr>
          <w:rFonts w:ascii="Times New Roman" w:hAnsi="Times New Roman" w:cs="Times New Roman"/>
          <w:sz w:val="24"/>
        </w:rPr>
      </w:pPr>
    </w:p>
    <w:p w14:paraId="1A91CC41" w14:textId="77777777" w:rsidR="00EA31A6" w:rsidRPr="00111112" w:rsidRDefault="00EA31A6" w:rsidP="00111112">
      <w:pPr>
        <w:jc w:val="both"/>
        <w:rPr>
          <w:rFonts w:ascii="Times New Roman" w:hAnsi="Times New Roman" w:cs="Times New Roman"/>
          <w:sz w:val="24"/>
        </w:rPr>
      </w:pPr>
    </w:p>
    <w:p w14:paraId="60F1E0A8" w14:textId="77777777" w:rsidR="00771895" w:rsidRPr="00111112" w:rsidRDefault="00771895" w:rsidP="00111112">
      <w:pPr>
        <w:jc w:val="both"/>
        <w:rPr>
          <w:rFonts w:ascii="Times New Roman" w:hAnsi="Times New Roman" w:cs="Times New Roman"/>
          <w:sz w:val="24"/>
        </w:rPr>
      </w:pPr>
    </w:p>
    <w:p w14:paraId="3A446AB1" w14:textId="77777777" w:rsidR="00771895" w:rsidRPr="00EA31A6" w:rsidRDefault="00771895" w:rsidP="00111112">
      <w:pPr>
        <w:jc w:val="both"/>
        <w:rPr>
          <w:rFonts w:ascii="Times New Roman" w:hAnsi="Times New Roman" w:cs="Times New Roman"/>
          <w:b/>
          <w:sz w:val="24"/>
          <w:u w:val="single"/>
        </w:rPr>
      </w:pPr>
      <w:r w:rsidRPr="00EA31A6">
        <w:rPr>
          <w:rFonts w:ascii="Times New Roman" w:hAnsi="Times New Roman" w:cs="Times New Roman"/>
          <w:b/>
          <w:sz w:val="24"/>
          <w:u w:val="single"/>
        </w:rPr>
        <w:t xml:space="preserve">Appendices </w:t>
      </w:r>
    </w:p>
    <w:p w14:paraId="6DBDE416" w14:textId="6655916F" w:rsidR="00771895" w:rsidRDefault="00771895" w:rsidP="00111112">
      <w:pPr>
        <w:jc w:val="both"/>
        <w:rPr>
          <w:rFonts w:ascii="Times New Roman" w:hAnsi="Times New Roman" w:cs="Times New Roman"/>
          <w:sz w:val="24"/>
        </w:rPr>
      </w:pPr>
      <w:r w:rsidRPr="00111112">
        <w:rPr>
          <w:rFonts w:ascii="Times New Roman" w:hAnsi="Times New Roman" w:cs="Times New Roman"/>
          <w:sz w:val="24"/>
        </w:rPr>
        <w:t xml:space="preserve">Appendix one </w:t>
      </w:r>
      <w:r w:rsidR="00EA31A6">
        <w:rPr>
          <w:rFonts w:ascii="Times New Roman" w:hAnsi="Times New Roman" w:cs="Times New Roman"/>
          <w:sz w:val="24"/>
        </w:rPr>
        <w:t xml:space="preserve"> </w:t>
      </w:r>
    </w:p>
    <w:p w14:paraId="7BB93586" w14:textId="47B2B884" w:rsidR="00EA31A6" w:rsidRPr="00111112" w:rsidRDefault="00EA31A6" w:rsidP="00111112">
      <w:pPr>
        <w:jc w:val="both"/>
        <w:rPr>
          <w:rFonts w:ascii="Times New Roman" w:hAnsi="Times New Roman" w:cs="Times New Roman"/>
          <w:sz w:val="24"/>
        </w:rPr>
      </w:pPr>
      <w:r>
        <w:rPr>
          <w:rFonts w:ascii="Times New Roman" w:hAnsi="Times New Roman" w:cs="Times New Roman"/>
          <w:sz w:val="24"/>
        </w:rPr>
        <w:t xml:space="preserve">Tomb of John FitzAlan. J., Barker ‘Stone and Bone: The Corpse, The Effigy and The Viewer in Late-Medieval Tomb Sculpture’, </w:t>
      </w:r>
      <w:r>
        <w:rPr>
          <w:rFonts w:ascii="Times New Roman" w:hAnsi="Times New Roman" w:cs="Times New Roman"/>
          <w:i/>
          <w:sz w:val="24"/>
        </w:rPr>
        <w:t xml:space="preserve">Revisiting the Monument, </w:t>
      </w:r>
      <w:r>
        <w:rPr>
          <w:rFonts w:ascii="Times New Roman" w:hAnsi="Times New Roman" w:cs="Times New Roman"/>
          <w:sz w:val="24"/>
        </w:rPr>
        <w:t>eds.</w:t>
      </w:r>
      <w:r w:rsidR="004C7AF0">
        <w:rPr>
          <w:rFonts w:ascii="Times New Roman" w:hAnsi="Times New Roman" w:cs="Times New Roman"/>
          <w:sz w:val="24"/>
        </w:rPr>
        <w:t xml:space="preserve"> Adams A. and Baker J. (London: The Courtauld Institute of Art, 2016) pp. 113-136,</w:t>
      </w:r>
      <w:r>
        <w:rPr>
          <w:rFonts w:ascii="Times New Roman" w:hAnsi="Times New Roman" w:cs="Times New Roman"/>
          <w:sz w:val="24"/>
        </w:rPr>
        <w:t xml:space="preserve"> p.115. </w:t>
      </w:r>
    </w:p>
    <w:p w14:paraId="28E40D64" w14:textId="77777777" w:rsidR="00771895" w:rsidRPr="00111112" w:rsidRDefault="00771895" w:rsidP="00111112">
      <w:pPr>
        <w:jc w:val="both"/>
        <w:rPr>
          <w:rFonts w:ascii="Times New Roman" w:hAnsi="Times New Roman" w:cs="Times New Roman"/>
          <w:sz w:val="24"/>
        </w:rPr>
      </w:pPr>
      <w:r w:rsidRPr="00111112">
        <w:rPr>
          <w:rFonts w:ascii="Times New Roman" w:hAnsi="Times New Roman" w:cs="Times New Roman"/>
          <w:noProof/>
          <w:sz w:val="24"/>
          <w:lang w:eastAsia="en-GB"/>
        </w:rPr>
        <w:drawing>
          <wp:inline distT="0" distB="0" distL="0" distR="0" wp14:anchorId="1CE323F2" wp14:editId="1E5D52D6">
            <wp:extent cx="4572000" cy="3082159"/>
            <wp:effectExtent l="0" t="0" r="0" b="4445"/>
            <wp:docPr id="2" name="Picture 2" descr="Burial effigy of John FitzAlan, 14th Earl of Arundel, at Arundel Castle chapel - photo by Lampman/Wiki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ial effigy of John FitzAlan, 14th Earl of Arundel, at Arundel Castle chapel - photo by Lampman/Wikicommons"/>
                    <pic:cNvPicPr>
                      <a:picLocks noChangeAspect="1" noChangeArrowheads="1"/>
                    </pic:cNvPicPr>
                  </pic:nvPicPr>
                  <pic:blipFill rotWithShape="1">
                    <a:blip r:embed="rId7">
                      <a:extLst>
                        <a:ext uri="{28A0092B-C50C-407E-A947-70E740481C1C}">
                          <a14:useLocalDpi xmlns:a14="http://schemas.microsoft.com/office/drawing/2010/main" val="0"/>
                        </a:ext>
                      </a:extLst>
                    </a:blip>
                    <a:srcRect l="5609" t="16453" r="1443"/>
                    <a:stretch/>
                  </pic:blipFill>
                  <pic:spPr bwMode="auto">
                    <a:xfrm>
                      <a:off x="0" y="0"/>
                      <a:ext cx="4600981" cy="3101696"/>
                    </a:xfrm>
                    <a:prstGeom prst="rect">
                      <a:avLst/>
                    </a:prstGeom>
                    <a:noFill/>
                    <a:ln>
                      <a:noFill/>
                    </a:ln>
                    <a:extLst>
                      <a:ext uri="{53640926-AAD7-44D8-BBD7-CCE9431645EC}">
                        <a14:shadowObscured xmlns:a14="http://schemas.microsoft.com/office/drawing/2010/main"/>
                      </a:ext>
                    </a:extLst>
                  </pic:spPr>
                </pic:pic>
              </a:graphicData>
            </a:graphic>
          </wp:inline>
        </w:drawing>
      </w:r>
    </w:p>
    <w:p w14:paraId="4FE2704C" w14:textId="77777777" w:rsidR="00771895" w:rsidRDefault="00771895" w:rsidP="00111112">
      <w:pPr>
        <w:jc w:val="both"/>
        <w:rPr>
          <w:rFonts w:ascii="Times New Roman" w:hAnsi="Times New Roman" w:cs="Times New Roman"/>
          <w:sz w:val="24"/>
        </w:rPr>
      </w:pPr>
      <w:r w:rsidRPr="00111112">
        <w:rPr>
          <w:rFonts w:ascii="Times New Roman" w:hAnsi="Times New Roman" w:cs="Times New Roman"/>
          <w:sz w:val="24"/>
        </w:rPr>
        <w:t xml:space="preserve">Appendix two </w:t>
      </w:r>
    </w:p>
    <w:p w14:paraId="3D901D4E" w14:textId="26A9F13B" w:rsidR="00AB3F12" w:rsidRPr="00AB3F12" w:rsidRDefault="004C7AF0" w:rsidP="00111112">
      <w:pPr>
        <w:jc w:val="both"/>
        <w:rPr>
          <w:rFonts w:ascii="Helvetica" w:hAnsi="Helvetica"/>
          <w:color w:val="C6C6C6"/>
          <w:sz w:val="21"/>
          <w:szCs w:val="21"/>
          <w:shd w:val="clear" w:color="auto" w:fill="2F2F2F"/>
        </w:rPr>
      </w:pPr>
      <w:r>
        <w:rPr>
          <w:rFonts w:ascii="Times New Roman" w:hAnsi="Times New Roman" w:cs="Times New Roman"/>
          <w:sz w:val="24"/>
        </w:rPr>
        <w:t>Close up of John FitzAlan.</w:t>
      </w:r>
      <w:r w:rsidR="00AB3F12">
        <w:rPr>
          <w:rFonts w:ascii="Times New Roman" w:hAnsi="Times New Roman" w:cs="Times New Roman"/>
          <w:sz w:val="24"/>
        </w:rPr>
        <w:t xml:space="preserve"> Effigies and Brasses ‘Tomb of John FitzAlan’, </w:t>
      </w:r>
      <w:r w:rsidR="00AB3F12">
        <w:rPr>
          <w:rFonts w:ascii="Times New Roman" w:hAnsi="Times New Roman" w:cs="Times New Roman"/>
          <w:i/>
          <w:sz w:val="24"/>
        </w:rPr>
        <w:t xml:space="preserve">Effigies and Brasses </w:t>
      </w:r>
      <w:r w:rsidR="00AB3F12">
        <w:rPr>
          <w:rFonts w:ascii="Times New Roman" w:hAnsi="Times New Roman" w:cs="Times New Roman"/>
          <w:sz w:val="24"/>
        </w:rPr>
        <w:t xml:space="preserve">(Cornel University: Effigies and Brasses, 2017). Available at </w:t>
      </w:r>
      <w:r w:rsidR="00AB3F12" w:rsidRPr="00AB3F12">
        <w:rPr>
          <w:rFonts w:ascii="Times New Roman" w:hAnsi="Times New Roman" w:cs="Times New Roman"/>
          <w:sz w:val="24"/>
        </w:rPr>
        <w:t>http://effigiesandbrasses.com/1612/4787/</w:t>
      </w:r>
      <w:hyperlink r:id="rId8" w:history="1"/>
      <w:r w:rsidR="00AB3F12">
        <w:rPr>
          <w:rFonts w:ascii="Times New Roman" w:hAnsi="Times New Roman" w:cs="Times New Roman"/>
          <w:sz w:val="24"/>
        </w:rPr>
        <w:t xml:space="preserve"> [accessed 22/11/2017].</w:t>
      </w:r>
    </w:p>
    <w:p w14:paraId="3CFAEB93" w14:textId="77777777" w:rsidR="00771895" w:rsidRPr="00111112" w:rsidRDefault="00771895" w:rsidP="00111112">
      <w:pPr>
        <w:jc w:val="both"/>
        <w:rPr>
          <w:rFonts w:ascii="Times New Roman" w:hAnsi="Times New Roman" w:cs="Times New Roman"/>
          <w:sz w:val="24"/>
        </w:rPr>
      </w:pPr>
      <w:r w:rsidRPr="00111112">
        <w:rPr>
          <w:rFonts w:ascii="Times New Roman" w:hAnsi="Times New Roman" w:cs="Times New Roman"/>
          <w:noProof/>
          <w:sz w:val="24"/>
          <w:lang w:eastAsia="en-GB"/>
        </w:rPr>
        <w:lastRenderedPageBreak/>
        <w:drawing>
          <wp:inline distT="0" distB="0" distL="0" distR="0" wp14:anchorId="3C5B4866" wp14:editId="61BF11FC">
            <wp:extent cx="3581400" cy="2533793"/>
            <wp:effectExtent l="0" t="0" r="0" b="0"/>
            <wp:docPr id="3" name="Picture 3" descr="C:\Users\Erica\Downloads\Arunde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Erica\Downloads\Arundel2.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609" t="10714"/>
                    <a:stretch/>
                  </pic:blipFill>
                  <pic:spPr bwMode="auto">
                    <a:xfrm>
                      <a:off x="0" y="0"/>
                      <a:ext cx="3595924" cy="2544069"/>
                    </a:xfrm>
                    <a:prstGeom prst="rect">
                      <a:avLst/>
                    </a:prstGeom>
                    <a:noFill/>
                    <a:ln>
                      <a:noFill/>
                    </a:ln>
                    <a:extLst>
                      <a:ext uri="{53640926-AAD7-44D8-BBD7-CCE9431645EC}">
                        <a14:shadowObscured xmlns:a14="http://schemas.microsoft.com/office/drawing/2010/main"/>
                      </a:ext>
                    </a:extLst>
                  </pic:spPr>
                </pic:pic>
              </a:graphicData>
            </a:graphic>
          </wp:inline>
        </w:drawing>
      </w:r>
    </w:p>
    <w:p w14:paraId="012C49B0" w14:textId="77777777" w:rsidR="00771895" w:rsidRPr="00111112" w:rsidRDefault="00771895" w:rsidP="00111112">
      <w:pPr>
        <w:jc w:val="both"/>
        <w:rPr>
          <w:rFonts w:ascii="Times New Roman" w:hAnsi="Times New Roman" w:cs="Times New Roman"/>
          <w:sz w:val="24"/>
        </w:rPr>
      </w:pPr>
      <w:r w:rsidRPr="00111112">
        <w:rPr>
          <w:rFonts w:ascii="Times New Roman" w:hAnsi="Times New Roman" w:cs="Times New Roman"/>
          <w:sz w:val="24"/>
        </w:rPr>
        <w:t>Appendix three</w:t>
      </w:r>
    </w:p>
    <w:p w14:paraId="21A9779C" w14:textId="2DB49D12" w:rsidR="008E51AA" w:rsidRPr="008E51AA" w:rsidRDefault="00771895" w:rsidP="008E51AA">
      <w:pPr>
        <w:pStyle w:val="FootnoteText"/>
        <w:rPr>
          <w:rFonts w:ascii="Times New Roman" w:hAnsi="Times New Roman" w:cs="Times New Roman"/>
          <w:sz w:val="24"/>
        </w:rPr>
      </w:pPr>
      <w:r w:rsidRPr="00111112">
        <w:rPr>
          <w:rFonts w:ascii="Times New Roman" w:hAnsi="Times New Roman" w:cs="Times New Roman"/>
          <w:sz w:val="24"/>
        </w:rPr>
        <w:t>To</w:t>
      </w:r>
      <w:r w:rsidR="008E51AA">
        <w:rPr>
          <w:rFonts w:ascii="Times New Roman" w:hAnsi="Times New Roman" w:cs="Times New Roman"/>
          <w:sz w:val="24"/>
        </w:rPr>
        <w:t xml:space="preserve">mb of Archbishop Henry </w:t>
      </w:r>
      <w:proofErr w:type="spellStart"/>
      <w:r w:rsidR="008E51AA">
        <w:rPr>
          <w:rFonts w:ascii="Times New Roman" w:hAnsi="Times New Roman" w:cs="Times New Roman"/>
          <w:sz w:val="24"/>
        </w:rPr>
        <w:t>Chichele</w:t>
      </w:r>
      <w:proofErr w:type="spellEnd"/>
      <w:r w:rsidR="008E51AA">
        <w:rPr>
          <w:rFonts w:ascii="Times New Roman" w:hAnsi="Times New Roman" w:cs="Times New Roman"/>
          <w:sz w:val="24"/>
        </w:rPr>
        <w:t xml:space="preserve">. Image available at </w:t>
      </w:r>
      <w:r w:rsidR="008E51AA" w:rsidRPr="008E51AA">
        <w:rPr>
          <w:rFonts w:ascii="Times New Roman" w:hAnsi="Times New Roman" w:cs="Times New Roman"/>
          <w:sz w:val="24"/>
        </w:rPr>
        <w:t xml:space="preserve">E. </w:t>
      </w:r>
      <w:proofErr w:type="spellStart"/>
      <w:r w:rsidR="008E51AA" w:rsidRPr="008E51AA">
        <w:rPr>
          <w:rFonts w:ascii="Times New Roman" w:hAnsi="Times New Roman" w:cs="Times New Roman"/>
          <w:sz w:val="24"/>
        </w:rPr>
        <w:t>Krén</w:t>
      </w:r>
      <w:proofErr w:type="spellEnd"/>
      <w:r w:rsidR="008E51AA" w:rsidRPr="008E51AA">
        <w:rPr>
          <w:rFonts w:ascii="Times New Roman" w:hAnsi="Times New Roman" w:cs="Times New Roman"/>
          <w:sz w:val="24"/>
        </w:rPr>
        <w:t xml:space="preserve"> and D. Marx, ‘Tomb of Henry </w:t>
      </w:r>
      <w:proofErr w:type="spellStart"/>
      <w:r w:rsidR="008E51AA" w:rsidRPr="008E51AA">
        <w:rPr>
          <w:rFonts w:ascii="Times New Roman" w:hAnsi="Times New Roman" w:cs="Times New Roman"/>
          <w:sz w:val="24"/>
        </w:rPr>
        <w:t>Chichele</w:t>
      </w:r>
      <w:proofErr w:type="spellEnd"/>
      <w:r w:rsidR="008E51AA" w:rsidRPr="008E51AA">
        <w:rPr>
          <w:rFonts w:ascii="Times New Roman" w:hAnsi="Times New Roman" w:cs="Times New Roman"/>
          <w:sz w:val="24"/>
        </w:rPr>
        <w:t xml:space="preserve">, Archbishop of Canterbury’, </w:t>
      </w:r>
      <w:r w:rsidR="008E51AA" w:rsidRPr="008E51AA">
        <w:rPr>
          <w:rFonts w:ascii="Times New Roman" w:hAnsi="Times New Roman" w:cs="Times New Roman"/>
          <w:i/>
          <w:sz w:val="24"/>
        </w:rPr>
        <w:t xml:space="preserve">Web Gallery of Art </w:t>
      </w:r>
      <w:r w:rsidR="008E51AA" w:rsidRPr="008E51AA">
        <w:rPr>
          <w:rFonts w:ascii="Times New Roman" w:hAnsi="Times New Roman" w:cs="Times New Roman"/>
          <w:sz w:val="24"/>
        </w:rPr>
        <w:t xml:space="preserve">(Budapest: Web Gallery of Art, 2017). Available at </w:t>
      </w:r>
      <w:hyperlink r:id="rId10" w:history="1">
        <w:r w:rsidR="008E51AA" w:rsidRPr="008E51AA">
          <w:rPr>
            <w:rStyle w:val="Hyperlink"/>
            <w:rFonts w:ascii="Times New Roman" w:hAnsi="Times New Roman" w:cs="Times New Roman"/>
            <w:sz w:val="24"/>
          </w:rPr>
          <w:t>https://www.wga.hu/frames-e.html?/html/m/master/yunk_en/tombchic.html</w:t>
        </w:r>
      </w:hyperlink>
      <w:r w:rsidR="008E51AA" w:rsidRPr="008E51AA">
        <w:rPr>
          <w:rFonts w:ascii="Times New Roman" w:hAnsi="Times New Roman" w:cs="Times New Roman"/>
          <w:sz w:val="24"/>
        </w:rPr>
        <w:t xml:space="preserve"> [accessed 22/11/2017]. </w:t>
      </w:r>
    </w:p>
    <w:p w14:paraId="57EAE1C7" w14:textId="76D6989B" w:rsidR="00771895" w:rsidRPr="00111112" w:rsidRDefault="00771895" w:rsidP="00111112">
      <w:pPr>
        <w:jc w:val="both"/>
        <w:rPr>
          <w:rFonts w:ascii="Times New Roman" w:hAnsi="Times New Roman" w:cs="Times New Roman"/>
          <w:sz w:val="24"/>
        </w:rPr>
      </w:pPr>
      <w:r w:rsidRPr="00111112">
        <w:rPr>
          <w:rFonts w:ascii="Times New Roman" w:hAnsi="Times New Roman" w:cs="Times New Roman"/>
          <w:noProof/>
          <w:sz w:val="24"/>
          <w:lang w:eastAsia="en-GB"/>
        </w:rPr>
        <w:drawing>
          <wp:inline distT="0" distB="0" distL="0" distR="0" wp14:anchorId="1F361CA9" wp14:editId="547519E1">
            <wp:extent cx="4168106" cy="2705100"/>
            <wp:effectExtent l="0" t="0" r="4445" b="0"/>
            <wp:docPr id="1" name="Picture 1" descr="https://www.wga.hu/art/m/master/yunk_en/tombc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wga.hu/art/m/master/yunk_en/tombchic.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81637" cy="2713882"/>
                    </a:xfrm>
                    <a:prstGeom prst="rect">
                      <a:avLst/>
                    </a:prstGeom>
                    <a:noFill/>
                    <a:ln>
                      <a:noFill/>
                    </a:ln>
                  </pic:spPr>
                </pic:pic>
              </a:graphicData>
            </a:graphic>
          </wp:inline>
        </w:drawing>
      </w:r>
    </w:p>
    <w:p w14:paraId="3C2866FC" w14:textId="77777777" w:rsidR="0099249F" w:rsidRDefault="0099249F" w:rsidP="00111112">
      <w:pPr>
        <w:jc w:val="both"/>
        <w:rPr>
          <w:rFonts w:ascii="Times New Roman" w:hAnsi="Times New Roman" w:cs="Times New Roman"/>
          <w:sz w:val="24"/>
        </w:rPr>
      </w:pPr>
    </w:p>
    <w:p w14:paraId="7503A756" w14:textId="77777777" w:rsidR="0099249F" w:rsidRDefault="0099249F" w:rsidP="00111112">
      <w:pPr>
        <w:jc w:val="both"/>
        <w:rPr>
          <w:rFonts w:ascii="Times New Roman" w:hAnsi="Times New Roman" w:cs="Times New Roman"/>
          <w:sz w:val="24"/>
        </w:rPr>
      </w:pPr>
    </w:p>
    <w:p w14:paraId="28378D9F" w14:textId="77777777" w:rsidR="0099249F" w:rsidRDefault="0099249F" w:rsidP="00111112">
      <w:pPr>
        <w:jc w:val="both"/>
        <w:rPr>
          <w:rFonts w:ascii="Times New Roman" w:hAnsi="Times New Roman" w:cs="Times New Roman"/>
          <w:sz w:val="24"/>
        </w:rPr>
      </w:pPr>
    </w:p>
    <w:p w14:paraId="7640DE81" w14:textId="77777777" w:rsidR="0099249F" w:rsidRDefault="0099249F" w:rsidP="00111112">
      <w:pPr>
        <w:jc w:val="both"/>
        <w:rPr>
          <w:rFonts w:ascii="Times New Roman" w:hAnsi="Times New Roman" w:cs="Times New Roman"/>
          <w:sz w:val="24"/>
        </w:rPr>
      </w:pPr>
    </w:p>
    <w:p w14:paraId="31A50196" w14:textId="77777777" w:rsidR="0099249F" w:rsidRDefault="0099249F" w:rsidP="00111112">
      <w:pPr>
        <w:jc w:val="both"/>
        <w:rPr>
          <w:rFonts w:ascii="Times New Roman" w:hAnsi="Times New Roman" w:cs="Times New Roman"/>
          <w:sz w:val="24"/>
        </w:rPr>
      </w:pPr>
    </w:p>
    <w:p w14:paraId="223AA1C0" w14:textId="77777777" w:rsidR="0099249F" w:rsidRDefault="0099249F" w:rsidP="00111112">
      <w:pPr>
        <w:jc w:val="both"/>
        <w:rPr>
          <w:rFonts w:ascii="Times New Roman" w:hAnsi="Times New Roman" w:cs="Times New Roman"/>
          <w:sz w:val="24"/>
        </w:rPr>
      </w:pPr>
    </w:p>
    <w:p w14:paraId="68E471DC" w14:textId="77777777" w:rsidR="00771895" w:rsidRPr="00111112" w:rsidRDefault="00771895" w:rsidP="00111112">
      <w:pPr>
        <w:jc w:val="both"/>
        <w:rPr>
          <w:rFonts w:ascii="Times New Roman" w:hAnsi="Times New Roman" w:cs="Times New Roman"/>
          <w:sz w:val="24"/>
        </w:rPr>
      </w:pPr>
      <w:r w:rsidRPr="00111112">
        <w:rPr>
          <w:rFonts w:ascii="Times New Roman" w:hAnsi="Times New Roman" w:cs="Times New Roman"/>
          <w:sz w:val="24"/>
        </w:rPr>
        <w:lastRenderedPageBreak/>
        <w:t xml:space="preserve">Appendix four </w:t>
      </w:r>
    </w:p>
    <w:p w14:paraId="3E6D6926" w14:textId="028F7B37" w:rsidR="00AB3F12" w:rsidRPr="00AB3F12" w:rsidRDefault="00F44E04" w:rsidP="00AB3F12">
      <w:pPr>
        <w:rPr>
          <w:rFonts w:ascii="Times New Roman" w:hAnsi="Times New Roman" w:cs="Times New Roman"/>
          <w:sz w:val="24"/>
        </w:rPr>
      </w:pPr>
      <w:r w:rsidRPr="00111112">
        <w:rPr>
          <w:rStyle w:val="style5"/>
          <w:rFonts w:ascii="Times New Roman" w:hAnsi="Times New Roman" w:cs="Times New Roman"/>
          <w:color w:val="000000"/>
          <w:sz w:val="24"/>
          <w:szCs w:val="27"/>
        </w:rPr>
        <w:t xml:space="preserve">Tomb of </w:t>
      </w:r>
      <w:proofErr w:type="spellStart"/>
      <w:r w:rsidRPr="00111112">
        <w:rPr>
          <w:rStyle w:val="style5"/>
          <w:rFonts w:ascii="Times New Roman" w:hAnsi="Times New Roman" w:cs="Times New Roman"/>
          <w:color w:val="000000"/>
          <w:sz w:val="24"/>
          <w:szCs w:val="27"/>
        </w:rPr>
        <w:t>Reinoud</w:t>
      </w:r>
      <w:proofErr w:type="spellEnd"/>
      <w:r w:rsidRPr="00111112">
        <w:rPr>
          <w:rStyle w:val="style5"/>
          <w:rFonts w:ascii="Times New Roman" w:hAnsi="Times New Roman" w:cs="Times New Roman"/>
          <w:color w:val="000000"/>
          <w:sz w:val="24"/>
          <w:szCs w:val="27"/>
        </w:rPr>
        <w:t xml:space="preserve"> III van </w:t>
      </w:r>
      <w:proofErr w:type="spellStart"/>
      <w:r w:rsidRPr="00111112">
        <w:rPr>
          <w:rStyle w:val="style5"/>
          <w:rFonts w:ascii="Times New Roman" w:hAnsi="Times New Roman" w:cs="Times New Roman"/>
          <w:color w:val="000000"/>
          <w:sz w:val="24"/>
          <w:szCs w:val="27"/>
        </w:rPr>
        <w:t>Brederode</w:t>
      </w:r>
      <w:proofErr w:type="spellEnd"/>
      <w:r w:rsidRPr="00111112">
        <w:rPr>
          <w:rStyle w:val="style5"/>
          <w:rFonts w:ascii="Times New Roman" w:hAnsi="Times New Roman" w:cs="Times New Roman"/>
          <w:color w:val="000000"/>
          <w:sz w:val="24"/>
          <w:szCs w:val="27"/>
        </w:rPr>
        <w:t xml:space="preserve"> and </w:t>
      </w:r>
      <w:proofErr w:type="spellStart"/>
      <w:r w:rsidRPr="00111112">
        <w:rPr>
          <w:rStyle w:val="style5"/>
          <w:rFonts w:ascii="Times New Roman" w:hAnsi="Times New Roman" w:cs="Times New Roman"/>
          <w:color w:val="000000"/>
          <w:sz w:val="24"/>
          <w:szCs w:val="27"/>
        </w:rPr>
        <w:t>Philippote</w:t>
      </w:r>
      <w:proofErr w:type="spellEnd"/>
      <w:r w:rsidRPr="00111112">
        <w:rPr>
          <w:rStyle w:val="style5"/>
          <w:rFonts w:ascii="Times New Roman" w:hAnsi="Times New Roman" w:cs="Times New Roman"/>
          <w:color w:val="000000"/>
          <w:sz w:val="24"/>
          <w:szCs w:val="27"/>
        </w:rPr>
        <w:t xml:space="preserve"> van der </w:t>
      </w:r>
      <w:proofErr w:type="spellStart"/>
      <w:r w:rsidRPr="00111112">
        <w:rPr>
          <w:rStyle w:val="style5"/>
          <w:rFonts w:ascii="Times New Roman" w:hAnsi="Times New Roman" w:cs="Times New Roman"/>
          <w:color w:val="000000"/>
          <w:sz w:val="24"/>
          <w:szCs w:val="27"/>
        </w:rPr>
        <w:t>Marck</w:t>
      </w:r>
      <w:proofErr w:type="spellEnd"/>
      <w:r w:rsidR="00AB3F12">
        <w:rPr>
          <w:rStyle w:val="style5"/>
          <w:rFonts w:ascii="Times New Roman" w:hAnsi="Times New Roman" w:cs="Times New Roman"/>
          <w:color w:val="000000"/>
          <w:sz w:val="24"/>
          <w:szCs w:val="27"/>
        </w:rPr>
        <w:t>.</w:t>
      </w:r>
      <w:r w:rsidRPr="00111112">
        <w:rPr>
          <w:rStyle w:val="style5"/>
          <w:rFonts w:ascii="Times New Roman" w:hAnsi="Times New Roman" w:cs="Times New Roman"/>
          <w:color w:val="000000"/>
          <w:sz w:val="24"/>
          <w:szCs w:val="27"/>
        </w:rPr>
        <w:t xml:space="preserve"> </w:t>
      </w:r>
      <w:r w:rsidR="00AB3F12" w:rsidRPr="00AB3F12">
        <w:rPr>
          <w:rFonts w:ascii="Times New Roman" w:hAnsi="Times New Roman" w:cs="Times New Roman"/>
          <w:sz w:val="24"/>
        </w:rPr>
        <w:t xml:space="preserve">T., Brink, ‘The double tomb monument to </w:t>
      </w:r>
      <w:proofErr w:type="spellStart"/>
      <w:r w:rsidR="00AB3F12" w:rsidRPr="00AB3F12">
        <w:rPr>
          <w:rFonts w:ascii="Times New Roman" w:hAnsi="Times New Roman" w:cs="Times New Roman"/>
          <w:sz w:val="24"/>
        </w:rPr>
        <w:t>Reinoud</w:t>
      </w:r>
      <w:proofErr w:type="spellEnd"/>
      <w:r w:rsidR="00AB3F12" w:rsidRPr="00AB3F12">
        <w:rPr>
          <w:rFonts w:ascii="Times New Roman" w:hAnsi="Times New Roman" w:cs="Times New Roman"/>
          <w:sz w:val="24"/>
        </w:rPr>
        <w:t xml:space="preserve"> III van </w:t>
      </w:r>
      <w:proofErr w:type="spellStart"/>
      <w:r w:rsidR="00AB3F12" w:rsidRPr="00AB3F12">
        <w:rPr>
          <w:rFonts w:ascii="Times New Roman" w:hAnsi="Times New Roman" w:cs="Times New Roman"/>
          <w:sz w:val="24"/>
        </w:rPr>
        <w:t>Brederode</w:t>
      </w:r>
      <w:proofErr w:type="spellEnd"/>
      <w:r w:rsidR="00AB3F12" w:rsidRPr="00AB3F12">
        <w:rPr>
          <w:rFonts w:ascii="Times New Roman" w:hAnsi="Times New Roman" w:cs="Times New Roman"/>
          <w:sz w:val="24"/>
        </w:rPr>
        <w:t xml:space="preserve"> (d. 1556) </w:t>
      </w:r>
      <w:proofErr w:type="gramStart"/>
      <w:r w:rsidR="00AB3F12" w:rsidRPr="00AB3F12">
        <w:rPr>
          <w:rFonts w:ascii="Times New Roman" w:hAnsi="Times New Roman" w:cs="Times New Roman"/>
          <w:sz w:val="24"/>
        </w:rPr>
        <w:t xml:space="preserve">and  </w:t>
      </w:r>
      <w:proofErr w:type="spellStart"/>
      <w:r w:rsidR="00AB3F12" w:rsidRPr="00AB3F12">
        <w:rPr>
          <w:rFonts w:ascii="Times New Roman" w:hAnsi="Times New Roman" w:cs="Times New Roman"/>
          <w:sz w:val="24"/>
        </w:rPr>
        <w:t>Philippote</w:t>
      </w:r>
      <w:proofErr w:type="spellEnd"/>
      <w:proofErr w:type="gramEnd"/>
      <w:r w:rsidR="00AB3F12" w:rsidRPr="00AB3F12">
        <w:rPr>
          <w:rFonts w:ascii="Times New Roman" w:hAnsi="Times New Roman" w:cs="Times New Roman"/>
          <w:sz w:val="24"/>
        </w:rPr>
        <w:t xml:space="preserve"> van der </w:t>
      </w:r>
      <w:proofErr w:type="spellStart"/>
      <w:r w:rsidR="00AB3F12" w:rsidRPr="00AB3F12">
        <w:rPr>
          <w:rFonts w:ascii="Times New Roman" w:hAnsi="Times New Roman" w:cs="Times New Roman"/>
          <w:sz w:val="24"/>
        </w:rPr>
        <w:t>Marck</w:t>
      </w:r>
      <w:proofErr w:type="spellEnd"/>
      <w:r w:rsidR="00AB3F12" w:rsidRPr="00AB3F12">
        <w:rPr>
          <w:rFonts w:ascii="Times New Roman" w:hAnsi="Times New Roman" w:cs="Times New Roman"/>
          <w:sz w:val="24"/>
        </w:rPr>
        <w:t xml:space="preserve"> (d. 1537) in </w:t>
      </w:r>
      <w:proofErr w:type="spellStart"/>
      <w:r w:rsidR="00AB3F12" w:rsidRPr="00AB3F12">
        <w:rPr>
          <w:rFonts w:ascii="Times New Roman" w:hAnsi="Times New Roman" w:cs="Times New Roman"/>
          <w:sz w:val="24"/>
        </w:rPr>
        <w:t>Vianen</w:t>
      </w:r>
      <w:proofErr w:type="spellEnd"/>
      <w:r w:rsidR="00AB3F12" w:rsidRPr="00AB3F12">
        <w:rPr>
          <w:rFonts w:ascii="Times New Roman" w:hAnsi="Times New Roman" w:cs="Times New Roman"/>
          <w:sz w:val="24"/>
        </w:rPr>
        <w:t xml:space="preserve"> (Netherlands)’, </w:t>
      </w:r>
      <w:r w:rsidR="00AB3F12" w:rsidRPr="00AB3F12">
        <w:rPr>
          <w:rFonts w:ascii="Times New Roman" w:hAnsi="Times New Roman" w:cs="Times New Roman"/>
          <w:i/>
          <w:sz w:val="24"/>
        </w:rPr>
        <w:t xml:space="preserve">Church Monument Society </w:t>
      </w:r>
      <w:r w:rsidR="00AB3F12" w:rsidRPr="00AB3F12">
        <w:rPr>
          <w:rFonts w:ascii="Times New Roman" w:hAnsi="Times New Roman" w:cs="Times New Roman"/>
          <w:sz w:val="24"/>
        </w:rPr>
        <w:t xml:space="preserve">(London: Church Monuments Society, 2012). Available at </w:t>
      </w:r>
      <w:hyperlink r:id="rId12" w:history="1">
        <w:r w:rsidR="00AB3F12" w:rsidRPr="00AB3F12">
          <w:rPr>
            <w:rStyle w:val="Hyperlink"/>
            <w:rFonts w:ascii="Times New Roman" w:hAnsi="Times New Roman" w:cs="Times New Roman"/>
            <w:sz w:val="24"/>
            <w:szCs w:val="24"/>
          </w:rPr>
          <w:t>http://www.churchmonumentssociety.org/Monument%20of%20the%20Month%20Archive/2012-06.html</w:t>
        </w:r>
      </w:hyperlink>
      <w:r w:rsidR="00AB3F12" w:rsidRPr="00AB3F12">
        <w:rPr>
          <w:rFonts w:ascii="Times New Roman" w:hAnsi="Times New Roman" w:cs="Times New Roman"/>
          <w:sz w:val="24"/>
          <w:szCs w:val="24"/>
        </w:rPr>
        <w:t xml:space="preserve"> [accessed</w:t>
      </w:r>
      <w:r w:rsidR="00AB3F12" w:rsidRPr="00AB3F12">
        <w:rPr>
          <w:rFonts w:ascii="Times New Roman" w:hAnsi="Times New Roman" w:cs="Times New Roman"/>
          <w:sz w:val="24"/>
        </w:rPr>
        <w:t xml:space="preserve"> 22/11/2017].</w:t>
      </w:r>
    </w:p>
    <w:p w14:paraId="7EB76872" w14:textId="3E490740" w:rsidR="00111112" w:rsidRDefault="008D57B3" w:rsidP="00AB3F12">
      <w:pPr>
        <w:rPr>
          <w:rFonts w:ascii="Times New Roman" w:hAnsi="Times New Roman" w:cs="Times New Roman"/>
          <w:sz w:val="24"/>
        </w:rPr>
      </w:pPr>
      <w:bookmarkStart w:id="0" w:name="_GoBack"/>
      <w:r w:rsidRPr="00111112">
        <w:rPr>
          <w:rFonts w:ascii="Times New Roman" w:hAnsi="Times New Roman" w:cs="Times New Roman"/>
          <w:noProof/>
          <w:sz w:val="24"/>
          <w:lang w:eastAsia="en-GB"/>
        </w:rPr>
        <w:drawing>
          <wp:inline distT="0" distB="0" distL="0" distR="0" wp14:anchorId="795FF4C3" wp14:editId="662357EE">
            <wp:extent cx="5334000" cy="4000501"/>
            <wp:effectExtent l="0" t="0" r="0" b="0"/>
            <wp:docPr id="4" name="Picture 4" descr="http://www.churchmonumentssociety.org/images/M_o_t_M_Archive_Photos/context-03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hurchmonumentssociety.org/images/M_o_t_M_Archive_Photos/context-030.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89341" cy="4042007"/>
                    </a:xfrm>
                    <a:prstGeom prst="rect">
                      <a:avLst/>
                    </a:prstGeom>
                    <a:noFill/>
                    <a:ln>
                      <a:noFill/>
                    </a:ln>
                  </pic:spPr>
                </pic:pic>
              </a:graphicData>
            </a:graphic>
          </wp:inline>
        </w:drawing>
      </w:r>
      <w:bookmarkEnd w:id="0"/>
    </w:p>
    <w:p w14:paraId="3A03F649" w14:textId="77777777" w:rsidR="0099249F" w:rsidRDefault="0099249F" w:rsidP="00111112">
      <w:pPr>
        <w:jc w:val="both"/>
        <w:rPr>
          <w:rFonts w:ascii="Times New Roman" w:hAnsi="Times New Roman" w:cs="Times New Roman"/>
          <w:b/>
          <w:sz w:val="24"/>
          <w:u w:val="single"/>
        </w:rPr>
      </w:pPr>
    </w:p>
    <w:p w14:paraId="450C1F5E" w14:textId="77777777" w:rsidR="0099249F" w:rsidRDefault="0099249F" w:rsidP="00111112">
      <w:pPr>
        <w:jc w:val="both"/>
        <w:rPr>
          <w:rFonts w:ascii="Times New Roman" w:hAnsi="Times New Roman" w:cs="Times New Roman"/>
          <w:b/>
          <w:sz w:val="24"/>
          <w:u w:val="single"/>
        </w:rPr>
      </w:pPr>
    </w:p>
    <w:p w14:paraId="7D1C329C" w14:textId="77777777" w:rsidR="0099249F" w:rsidRDefault="0099249F" w:rsidP="00111112">
      <w:pPr>
        <w:jc w:val="both"/>
        <w:rPr>
          <w:rFonts w:ascii="Times New Roman" w:hAnsi="Times New Roman" w:cs="Times New Roman"/>
          <w:b/>
          <w:sz w:val="24"/>
          <w:u w:val="single"/>
        </w:rPr>
      </w:pPr>
    </w:p>
    <w:p w14:paraId="3DCE863B" w14:textId="77777777" w:rsidR="0099249F" w:rsidRDefault="0099249F" w:rsidP="00111112">
      <w:pPr>
        <w:jc w:val="both"/>
        <w:rPr>
          <w:rFonts w:ascii="Times New Roman" w:hAnsi="Times New Roman" w:cs="Times New Roman"/>
          <w:b/>
          <w:sz w:val="24"/>
          <w:u w:val="single"/>
        </w:rPr>
      </w:pPr>
    </w:p>
    <w:p w14:paraId="37004D24" w14:textId="77777777" w:rsidR="0099249F" w:rsidRDefault="0099249F" w:rsidP="00111112">
      <w:pPr>
        <w:jc w:val="both"/>
        <w:rPr>
          <w:rFonts w:ascii="Times New Roman" w:hAnsi="Times New Roman" w:cs="Times New Roman"/>
          <w:b/>
          <w:sz w:val="24"/>
          <w:u w:val="single"/>
        </w:rPr>
      </w:pPr>
    </w:p>
    <w:p w14:paraId="219C3167" w14:textId="77777777" w:rsidR="0099249F" w:rsidRDefault="0099249F" w:rsidP="00111112">
      <w:pPr>
        <w:jc w:val="both"/>
        <w:rPr>
          <w:rFonts w:ascii="Times New Roman" w:hAnsi="Times New Roman" w:cs="Times New Roman"/>
          <w:b/>
          <w:sz w:val="24"/>
          <w:u w:val="single"/>
        </w:rPr>
      </w:pPr>
    </w:p>
    <w:p w14:paraId="001FEF4C" w14:textId="77777777" w:rsidR="0099249F" w:rsidRDefault="0099249F" w:rsidP="00111112">
      <w:pPr>
        <w:jc w:val="both"/>
        <w:rPr>
          <w:rFonts w:ascii="Times New Roman" w:hAnsi="Times New Roman" w:cs="Times New Roman"/>
          <w:b/>
          <w:sz w:val="24"/>
          <w:u w:val="single"/>
        </w:rPr>
      </w:pPr>
    </w:p>
    <w:p w14:paraId="642BF6E5" w14:textId="77777777" w:rsidR="0099249F" w:rsidRDefault="0099249F" w:rsidP="00111112">
      <w:pPr>
        <w:jc w:val="both"/>
        <w:rPr>
          <w:rFonts w:ascii="Times New Roman" w:hAnsi="Times New Roman" w:cs="Times New Roman"/>
          <w:b/>
          <w:sz w:val="24"/>
          <w:u w:val="single"/>
        </w:rPr>
      </w:pPr>
    </w:p>
    <w:p w14:paraId="05ABA98E" w14:textId="77777777" w:rsidR="0099249F" w:rsidRDefault="0099249F" w:rsidP="00111112">
      <w:pPr>
        <w:jc w:val="both"/>
        <w:rPr>
          <w:rFonts w:ascii="Times New Roman" w:hAnsi="Times New Roman" w:cs="Times New Roman"/>
          <w:b/>
          <w:sz w:val="24"/>
          <w:u w:val="single"/>
        </w:rPr>
      </w:pPr>
    </w:p>
    <w:p w14:paraId="25945FD7" w14:textId="77777777" w:rsidR="0099249F" w:rsidRDefault="0099249F" w:rsidP="00111112">
      <w:pPr>
        <w:jc w:val="both"/>
        <w:rPr>
          <w:rFonts w:ascii="Times New Roman" w:hAnsi="Times New Roman" w:cs="Times New Roman"/>
          <w:b/>
          <w:sz w:val="24"/>
          <w:u w:val="single"/>
        </w:rPr>
      </w:pPr>
    </w:p>
    <w:p w14:paraId="482D77DF" w14:textId="77777777" w:rsidR="0099249F" w:rsidRDefault="0099249F" w:rsidP="00111112">
      <w:pPr>
        <w:jc w:val="both"/>
        <w:rPr>
          <w:rFonts w:ascii="Times New Roman" w:hAnsi="Times New Roman" w:cs="Times New Roman"/>
          <w:b/>
          <w:sz w:val="24"/>
          <w:u w:val="single"/>
        </w:rPr>
      </w:pPr>
    </w:p>
    <w:p w14:paraId="135C8BC4" w14:textId="77777777" w:rsidR="0099249F" w:rsidRDefault="0099249F" w:rsidP="00111112">
      <w:pPr>
        <w:jc w:val="both"/>
        <w:rPr>
          <w:rFonts w:ascii="Times New Roman" w:hAnsi="Times New Roman" w:cs="Times New Roman"/>
          <w:b/>
          <w:sz w:val="24"/>
          <w:u w:val="single"/>
        </w:rPr>
      </w:pPr>
    </w:p>
    <w:p w14:paraId="606AAB4D" w14:textId="77777777" w:rsidR="0099249F" w:rsidRDefault="0099249F" w:rsidP="00111112">
      <w:pPr>
        <w:jc w:val="both"/>
        <w:rPr>
          <w:rFonts w:ascii="Times New Roman" w:hAnsi="Times New Roman" w:cs="Times New Roman"/>
          <w:b/>
          <w:sz w:val="24"/>
          <w:u w:val="single"/>
        </w:rPr>
      </w:pPr>
    </w:p>
    <w:p w14:paraId="773AA5A6" w14:textId="77777777" w:rsidR="0099249F" w:rsidRDefault="0099249F" w:rsidP="00111112">
      <w:pPr>
        <w:jc w:val="both"/>
        <w:rPr>
          <w:rFonts w:ascii="Times New Roman" w:hAnsi="Times New Roman" w:cs="Times New Roman"/>
          <w:b/>
          <w:sz w:val="24"/>
          <w:u w:val="single"/>
        </w:rPr>
      </w:pPr>
    </w:p>
    <w:p w14:paraId="1FF1DB1A" w14:textId="77777777" w:rsidR="0099249F" w:rsidRDefault="0099249F" w:rsidP="00111112">
      <w:pPr>
        <w:jc w:val="both"/>
        <w:rPr>
          <w:rFonts w:ascii="Times New Roman" w:hAnsi="Times New Roman" w:cs="Times New Roman"/>
          <w:b/>
          <w:sz w:val="24"/>
          <w:u w:val="single"/>
        </w:rPr>
      </w:pPr>
    </w:p>
    <w:p w14:paraId="1C6F296C" w14:textId="77777777" w:rsidR="0099249F" w:rsidRDefault="0099249F" w:rsidP="00111112">
      <w:pPr>
        <w:jc w:val="both"/>
        <w:rPr>
          <w:rFonts w:ascii="Times New Roman" w:hAnsi="Times New Roman" w:cs="Times New Roman"/>
          <w:b/>
          <w:sz w:val="24"/>
          <w:u w:val="single"/>
        </w:rPr>
      </w:pPr>
    </w:p>
    <w:p w14:paraId="6F94D7D1" w14:textId="77777777" w:rsidR="0099249F" w:rsidRDefault="0099249F" w:rsidP="00111112">
      <w:pPr>
        <w:jc w:val="both"/>
        <w:rPr>
          <w:rFonts w:ascii="Times New Roman" w:hAnsi="Times New Roman" w:cs="Times New Roman"/>
          <w:b/>
          <w:sz w:val="24"/>
          <w:u w:val="single"/>
        </w:rPr>
      </w:pPr>
    </w:p>
    <w:p w14:paraId="4F9D740E" w14:textId="77777777" w:rsidR="007A71D3" w:rsidRPr="00AB3F12" w:rsidRDefault="007A71D3" w:rsidP="00111112">
      <w:pPr>
        <w:jc w:val="both"/>
        <w:rPr>
          <w:rFonts w:ascii="Times New Roman" w:hAnsi="Times New Roman" w:cs="Times New Roman"/>
          <w:b/>
          <w:sz w:val="24"/>
          <w:u w:val="single"/>
        </w:rPr>
      </w:pPr>
      <w:r w:rsidRPr="00AB3F12">
        <w:rPr>
          <w:rFonts w:ascii="Times New Roman" w:hAnsi="Times New Roman" w:cs="Times New Roman"/>
          <w:b/>
          <w:sz w:val="24"/>
          <w:u w:val="single"/>
        </w:rPr>
        <w:t xml:space="preserve">Bibliography </w:t>
      </w:r>
    </w:p>
    <w:p w14:paraId="05E57753" w14:textId="3F8033ED" w:rsidR="004C7AF0" w:rsidRDefault="004C7AF0" w:rsidP="00111112">
      <w:pPr>
        <w:jc w:val="both"/>
        <w:rPr>
          <w:rFonts w:ascii="Times New Roman" w:hAnsi="Times New Roman" w:cs="Times New Roman"/>
          <w:sz w:val="24"/>
        </w:rPr>
      </w:pPr>
      <w:r>
        <w:rPr>
          <w:rFonts w:ascii="Times New Roman" w:hAnsi="Times New Roman" w:cs="Times New Roman"/>
          <w:sz w:val="24"/>
        </w:rPr>
        <w:t xml:space="preserve">Barker. J., ‘Stone and Bone: The Corpse, The Effigy and The Viewer in Late-Medieval Tomb Sculpture’, </w:t>
      </w:r>
      <w:r>
        <w:rPr>
          <w:rFonts w:ascii="Times New Roman" w:hAnsi="Times New Roman" w:cs="Times New Roman"/>
          <w:i/>
          <w:sz w:val="24"/>
        </w:rPr>
        <w:t xml:space="preserve">Revisiting the Monument, </w:t>
      </w:r>
      <w:r>
        <w:rPr>
          <w:rFonts w:ascii="Times New Roman" w:hAnsi="Times New Roman" w:cs="Times New Roman"/>
          <w:sz w:val="24"/>
        </w:rPr>
        <w:t>eds. Adams A. and Baker J. (London: The Courtauld Institute of Art, 2016) pp. 113-136, p.115.</w:t>
      </w:r>
    </w:p>
    <w:p w14:paraId="04FA94DC" w14:textId="29F9C06F" w:rsidR="008E51AA" w:rsidRDefault="007356A6" w:rsidP="00111112">
      <w:pPr>
        <w:jc w:val="both"/>
        <w:rPr>
          <w:rFonts w:ascii="Times New Roman" w:hAnsi="Times New Roman" w:cs="Times New Roman"/>
          <w:sz w:val="24"/>
        </w:rPr>
      </w:pPr>
      <w:proofErr w:type="spellStart"/>
      <w:r w:rsidRPr="007356A6">
        <w:rPr>
          <w:rFonts w:ascii="Times New Roman" w:hAnsi="Times New Roman" w:cs="Times New Roman"/>
          <w:sz w:val="24"/>
        </w:rPr>
        <w:t>Bertelli</w:t>
      </w:r>
      <w:proofErr w:type="spellEnd"/>
      <w:r w:rsidRPr="007356A6">
        <w:rPr>
          <w:rFonts w:ascii="Times New Roman" w:hAnsi="Times New Roman" w:cs="Times New Roman"/>
          <w:sz w:val="24"/>
        </w:rPr>
        <w:t xml:space="preserve">, S., </w:t>
      </w:r>
      <w:r w:rsidRPr="007356A6">
        <w:rPr>
          <w:rFonts w:ascii="Times New Roman" w:hAnsi="Times New Roman" w:cs="Times New Roman"/>
          <w:i/>
          <w:sz w:val="24"/>
        </w:rPr>
        <w:t xml:space="preserve">The King’s Body: Sacred Rituals of Power in Medieval and Early Modern Europe, </w:t>
      </w:r>
      <w:r w:rsidRPr="007356A6">
        <w:rPr>
          <w:rFonts w:ascii="Times New Roman" w:hAnsi="Times New Roman" w:cs="Times New Roman"/>
          <w:sz w:val="24"/>
        </w:rPr>
        <w:t>translated by R. Burr Litchfield (Pennsylvania: The Pennsylvania State University Press, 2001).</w:t>
      </w:r>
    </w:p>
    <w:p w14:paraId="6AD9EFAA" w14:textId="389A7474" w:rsidR="00D75F68" w:rsidRDefault="00D75F68" w:rsidP="00111112">
      <w:pPr>
        <w:jc w:val="both"/>
        <w:rPr>
          <w:rFonts w:ascii="Times New Roman" w:hAnsi="Times New Roman" w:cs="Times New Roman"/>
          <w:sz w:val="24"/>
        </w:rPr>
      </w:pPr>
      <w:r w:rsidRPr="00D75F68">
        <w:rPr>
          <w:rFonts w:ascii="Times New Roman" w:hAnsi="Times New Roman" w:cs="Times New Roman"/>
          <w:sz w:val="24"/>
        </w:rPr>
        <w:t xml:space="preserve">Brink, </w:t>
      </w:r>
      <w:r w:rsidR="004C7AF0">
        <w:rPr>
          <w:rFonts w:ascii="Times New Roman" w:hAnsi="Times New Roman" w:cs="Times New Roman"/>
          <w:sz w:val="24"/>
        </w:rPr>
        <w:t xml:space="preserve">T., </w:t>
      </w:r>
      <w:r w:rsidRPr="00D75F68">
        <w:rPr>
          <w:rFonts w:ascii="Times New Roman" w:hAnsi="Times New Roman" w:cs="Times New Roman"/>
          <w:sz w:val="24"/>
        </w:rPr>
        <w:t xml:space="preserve">‘The double tomb monument to </w:t>
      </w:r>
      <w:proofErr w:type="spellStart"/>
      <w:r w:rsidRPr="00D75F68">
        <w:rPr>
          <w:rFonts w:ascii="Times New Roman" w:hAnsi="Times New Roman" w:cs="Times New Roman"/>
          <w:sz w:val="24"/>
        </w:rPr>
        <w:t>Reinoud</w:t>
      </w:r>
      <w:proofErr w:type="spellEnd"/>
      <w:r w:rsidRPr="00D75F68">
        <w:rPr>
          <w:rFonts w:ascii="Times New Roman" w:hAnsi="Times New Roman" w:cs="Times New Roman"/>
          <w:sz w:val="24"/>
        </w:rPr>
        <w:t xml:space="preserve"> III van </w:t>
      </w:r>
      <w:proofErr w:type="spellStart"/>
      <w:r w:rsidRPr="00D75F68">
        <w:rPr>
          <w:rFonts w:ascii="Times New Roman" w:hAnsi="Times New Roman" w:cs="Times New Roman"/>
          <w:sz w:val="24"/>
        </w:rPr>
        <w:t>Brederode</w:t>
      </w:r>
      <w:proofErr w:type="spellEnd"/>
      <w:r w:rsidRPr="00D75F68">
        <w:rPr>
          <w:rFonts w:ascii="Times New Roman" w:hAnsi="Times New Roman" w:cs="Times New Roman"/>
          <w:sz w:val="24"/>
        </w:rPr>
        <w:t xml:space="preserve"> (d. 1556) </w:t>
      </w:r>
      <w:proofErr w:type="gramStart"/>
      <w:r w:rsidRPr="00D75F68">
        <w:rPr>
          <w:rFonts w:ascii="Times New Roman" w:hAnsi="Times New Roman" w:cs="Times New Roman"/>
          <w:sz w:val="24"/>
        </w:rPr>
        <w:t xml:space="preserve">and  </w:t>
      </w:r>
      <w:proofErr w:type="spellStart"/>
      <w:r w:rsidRPr="00D75F68">
        <w:rPr>
          <w:rFonts w:ascii="Times New Roman" w:hAnsi="Times New Roman" w:cs="Times New Roman"/>
          <w:sz w:val="24"/>
        </w:rPr>
        <w:t>Philippote</w:t>
      </w:r>
      <w:proofErr w:type="spellEnd"/>
      <w:proofErr w:type="gramEnd"/>
      <w:r w:rsidRPr="00D75F68">
        <w:rPr>
          <w:rFonts w:ascii="Times New Roman" w:hAnsi="Times New Roman" w:cs="Times New Roman"/>
          <w:sz w:val="24"/>
        </w:rPr>
        <w:t xml:space="preserve"> van der </w:t>
      </w:r>
      <w:proofErr w:type="spellStart"/>
      <w:r w:rsidRPr="00D75F68">
        <w:rPr>
          <w:rFonts w:ascii="Times New Roman" w:hAnsi="Times New Roman" w:cs="Times New Roman"/>
          <w:sz w:val="24"/>
        </w:rPr>
        <w:t>Marck</w:t>
      </w:r>
      <w:proofErr w:type="spellEnd"/>
      <w:r w:rsidRPr="00D75F68">
        <w:rPr>
          <w:rFonts w:ascii="Times New Roman" w:hAnsi="Times New Roman" w:cs="Times New Roman"/>
          <w:sz w:val="24"/>
        </w:rPr>
        <w:t xml:space="preserve"> (d. 1537) in </w:t>
      </w:r>
      <w:proofErr w:type="spellStart"/>
      <w:r w:rsidRPr="00D75F68">
        <w:rPr>
          <w:rFonts w:ascii="Times New Roman" w:hAnsi="Times New Roman" w:cs="Times New Roman"/>
          <w:sz w:val="24"/>
        </w:rPr>
        <w:t>Vianen</w:t>
      </w:r>
      <w:proofErr w:type="spellEnd"/>
      <w:r w:rsidRPr="00D75F68">
        <w:rPr>
          <w:rFonts w:ascii="Times New Roman" w:hAnsi="Times New Roman" w:cs="Times New Roman"/>
          <w:sz w:val="24"/>
        </w:rPr>
        <w:t xml:space="preserve"> (Netherlands)’, </w:t>
      </w:r>
      <w:r w:rsidRPr="00D75F68">
        <w:rPr>
          <w:rFonts w:ascii="Times New Roman" w:hAnsi="Times New Roman" w:cs="Times New Roman"/>
          <w:i/>
          <w:sz w:val="24"/>
        </w:rPr>
        <w:t xml:space="preserve">Church Monument Society </w:t>
      </w:r>
      <w:r w:rsidRPr="00D75F68">
        <w:rPr>
          <w:rFonts w:ascii="Times New Roman" w:hAnsi="Times New Roman" w:cs="Times New Roman"/>
          <w:sz w:val="24"/>
        </w:rPr>
        <w:t xml:space="preserve">(London: Church Monuments Society, 2012). Available at </w:t>
      </w:r>
      <w:hyperlink r:id="rId14" w:history="1">
        <w:r w:rsidRPr="00D75F68">
          <w:rPr>
            <w:rStyle w:val="Hyperlink"/>
            <w:rFonts w:ascii="Times New Roman" w:hAnsi="Times New Roman" w:cs="Times New Roman"/>
            <w:sz w:val="24"/>
          </w:rPr>
          <w:t>http://www.churchmonumentssociety.org/Monument%20of%20the%20Month%20Archive/2012-06.html</w:t>
        </w:r>
      </w:hyperlink>
      <w:r w:rsidRPr="00D75F68">
        <w:rPr>
          <w:rFonts w:ascii="Times New Roman" w:hAnsi="Times New Roman" w:cs="Times New Roman"/>
          <w:sz w:val="24"/>
        </w:rPr>
        <w:t xml:space="preserve"> [accessed 22/11/2017].</w:t>
      </w:r>
    </w:p>
    <w:p w14:paraId="4B0A7830" w14:textId="77777777" w:rsidR="0099249F" w:rsidRDefault="00AB3F12" w:rsidP="008E51AA">
      <w:pPr>
        <w:jc w:val="both"/>
        <w:rPr>
          <w:rFonts w:ascii="Times New Roman" w:hAnsi="Times New Roman" w:cs="Times New Roman"/>
          <w:sz w:val="24"/>
        </w:rPr>
      </w:pPr>
      <w:r>
        <w:rPr>
          <w:rFonts w:ascii="Times New Roman" w:hAnsi="Times New Roman" w:cs="Times New Roman"/>
          <w:sz w:val="24"/>
        </w:rPr>
        <w:t xml:space="preserve">Effigies and Brasses ‘Tomb of John FitzAlan’, </w:t>
      </w:r>
      <w:r>
        <w:rPr>
          <w:rFonts w:ascii="Times New Roman" w:hAnsi="Times New Roman" w:cs="Times New Roman"/>
          <w:i/>
          <w:sz w:val="24"/>
        </w:rPr>
        <w:t xml:space="preserve">Effigies and Brasses </w:t>
      </w:r>
      <w:r>
        <w:rPr>
          <w:rFonts w:ascii="Times New Roman" w:hAnsi="Times New Roman" w:cs="Times New Roman"/>
          <w:sz w:val="24"/>
        </w:rPr>
        <w:t xml:space="preserve">(Cornel University: Effigies and Brasses, 2017). Available at </w:t>
      </w:r>
      <w:r w:rsidRPr="00AB3F12">
        <w:rPr>
          <w:rFonts w:ascii="Times New Roman" w:hAnsi="Times New Roman" w:cs="Times New Roman"/>
          <w:sz w:val="24"/>
        </w:rPr>
        <w:t>http://effigiesandbrasses.com/1612/4787/</w:t>
      </w:r>
      <w:hyperlink r:id="rId15" w:history="1"/>
      <w:r>
        <w:rPr>
          <w:rFonts w:ascii="Times New Roman" w:hAnsi="Times New Roman" w:cs="Times New Roman"/>
          <w:sz w:val="24"/>
        </w:rPr>
        <w:t xml:space="preserve"> [accessed 22/11/2017].</w:t>
      </w:r>
    </w:p>
    <w:p w14:paraId="18087585" w14:textId="697148D5" w:rsidR="0099249F" w:rsidRPr="0099249F" w:rsidRDefault="0099249F" w:rsidP="008E51AA">
      <w:pPr>
        <w:jc w:val="both"/>
        <w:rPr>
          <w:rFonts w:ascii="Times New Roman" w:hAnsi="Times New Roman" w:cs="Times New Roman"/>
          <w:sz w:val="36"/>
        </w:rPr>
      </w:pPr>
      <w:proofErr w:type="spellStart"/>
      <w:r w:rsidRPr="0099249F">
        <w:rPr>
          <w:rFonts w:ascii="Times New Roman" w:hAnsi="Times New Roman" w:cs="Times New Roman"/>
          <w:sz w:val="24"/>
        </w:rPr>
        <w:t>Gotschall</w:t>
      </w:r>
      <w:proofErr w:type="spellEnd"/>
      <w:r w:rsidRPr="0099249F">
        <w:rPr>
          <w:rFonts w:ascii="Times New Roman" w:hAnsi="Times New Roman" w:cs="Times New Roman"/>
          <w:sz w:val="24"/>
        </w:rPr>
        <w:t>, B.,</w:t>
      </w:r>
      <w:r w:rsidRPr="0099249F">
        <w:rPr>
          <w:rFonts w:ascii="Times New Roman" w:hAnsi="Times New Roman" w:cs="Times New Roman"/>
          <w:sz w:val="24"/>
        </w:rPr>
        <w:t xml:space="preserve"> ‘A Brief History of the “</w:t>
      </w:r>
      <w:proofErr w:type="spellStart"/>
      <w:r w:rsidRPr="0099249F">
        <w:rPr>
          <w:rFonts w:ascii="Times New Roman" w:hAnsi="Times New Roman" w:cs="Times New Roman"/>
          <w:sz w:val="24"/>
        </w:rPr>
        <w:t>Danse</w:t>
      </w:r>
      <w:proofErr w:type="spellEnd"/>
      <w:r w:rsidRPr="0099249F">
        <w:rPr>
          <w:rFonts w:ascii="Times New Roman" w:hAnsi="Times New Roman" w:cs="Times New Roman"/>
          <w:sz w:val="24"/>
        </w:rPr>
        <w:t xml:space="preserve"> Macabre”’, </w:t>
      </w:r>
      <w:r w:rsidRPr="0099249F">
        <w:rPr>
          <w:rFonts w:ascii="Times New Roman" w:hAnsi="Times New Roman" w:cs="Times New Roman"/>
          <w:i/>
          <w:sz w:val="24"/>
        </w:rPr>
        <w:t xml:space="preserve">Atlas </w:t>
      </w:r>
      <w:proofErr w:type="spellStart"/>
      <w:r w:rsidRPr="0099249F">
        <w:rPr>
          <w:rFonts w:ascii="Times New Roman" w:hAnsi="Times New Roman" w:cs="Times New Roman"/>
          <w:i/>
          <w:sz w:val="24"/>
        </w:rPr>
        <w:t>Obscura</w:t>
      </w:r>
      <w:proofErr w:type="spellEnd"/>
      <w:r w:rsidRPr="0099249F">
        <w:rPr>
          <w:rFonts w:ascii="Times New Roman" w:hAnsi="Times New Roman" w:cs="Times New Roman"/>
          <w:i/>
          <w:sz w:val="24"/>
        </w:rPr>
        <w:t xml:space="preserve"> </w:t>
      </w:r>
      <w:r w:rsidRPr="0099249F">
        <w:rPr>
          <w:rFonts w:ascii="Times New Roman" w:hAnsi="Times New Roman" w:cs="Times New Roman"/>
          <w:sz w:val="24"/>
        </w:rPr>
        <w:t xml:space="preserve">(New York: Atlas </w:t>
      </w:r>
      <w:proofErr w:type="spellStart"/>
      <w:r w:rsidRPr="0099249F">
        <w:rPr>
          <w:rFonts w:ascii="Times New Roman" w:hAnsi="Times New Roman" w:cs="Times New Roman"/>
          <w:sz w:val="24"/>
        </w:rPr>
        <w:t>Obscura</w:t>
      </w:r>
      <w:proofErr w:type="spellEnd"/>
      <w:r w:rsidRPr="0099249F">
        <w:rPr>
          <w:rFonts w:ascii="Times New Roman" w:hAnsi="Times New Roman" w:cs="Times New Roman"/>
          <w:sz w:val="24"/>
        </w:rPr>
        <w:t xml:space="preserve">, 2017). Available at </w:t>
      </w:r>
      <w:hyperlink r:id="rId16" w:history="1">
        <w:r w:rsidRPr="0099249F">
          <w:rPr>
            <w:rStyle w:val="Hyperlink"/>
            <w:rFonts w:ascii="Times New Roman" w:hAnsi="Times New Roman" w:cs="Times New Roman"/>
            <w:sz w:val="24"/>
          </w:rPr>
          <w:t>https://www.atlasobscura.com/articles/danse-macabre-david-pumpkins-art-history</w:t>
        </w:r>
      </w:hyperlink>
      <w:r w:rsidRPr="0099249F">
        <w:rPr>
          <w:sz w:val="24"/>
        </w:rPr>
        <w:t xml:space="preserve"> </w:t>
      </w:r>
      <w:r w:rsidRPr="0099249F">
        <w:rPr>
          <w:rFonts w:ascii="Times New Roman" w:hAnsi="Times New Roman" w:cs="Times New Roman"/>
          <w:sz w:val="24"/>
        </w:rPr>
        <w:t>[accessed 23/11/2017].</w:t>
      </w:r>
    </w:p>
    <w:p w14:paraId="5B38652B" w14:textId="6BB19E07" w:rsidR="008E51AA" w:rsidRDefault="00111112" w:rsidP="008E51AA">
      <w:pPr>
        <w:jc w:val="both"/>
        <w:rPr>
          <w:rFonts w:ascii="Times New Roman" w:hAnsi="Times New Roman" w:cs="Times New Roman"/>
          <w:sz w:val="24"/>
        </w:rPr>
      </w:pPr>
      <w:r w:rsidRPr="007A71D3">
        <w:rPr>
          <w:rFonts w:ascii="Times New Roman" w:hAnsi="Times New Roman" w:cs="Times New Roman"/>
          <w:sz w:val="24"/>
        </w:rPr>
        <w:lastRenderedPageBreak/>
        <w:t>Jokinen,</w:t>
      </w:r>
      <w:r w:rsidR="007A71D3" w:rsidRPr="007A71D3">
        <w:rPr>
          <w:rFonts w:ascii="Times New Roman" w:hAnsi="Times New Roman" w:cs="Times New Roman"/>
          <w:sz w:val="24"/>
        </w:rPr>
        <w:t xml:space="preserve"> A.,</w:t>
      </w:r>
      <w:r w:rsidRPr="007A71D3">
        <w:rPr>
          <w:rFonts w:ascii="Times New Roman" w:hAnsi="Times New Roman" w:cs="Times New Roman"/>
          <w:sz w:val="24"/>
        </w:rPr>
        <w:t xml:space="preserve"> ’John FitzAlan’, </w:t>
      </w:r>
      <w:proofErr w:type="spellStart"/>
      <w:r w:rsidRPr="007A71D3">
        <w:rPr>
          <w:rFonts w:ascii="Times New Roman" w:hAnsi="Times New Roman" w:cs="Times New Roman"/>
          <w:i/>
          <w:sz w:val="24"/>
        </w:rPr>
        <w:t>Luminarium</w:t>
      </w:r>
      <w:proofErr w:type="spellEnd"/>
      <w:r w:rsidRPr="007A71D3">
        <w:rPr>
          <w:rFonts w:ascii="Times New Roman" w:hAnsi="Times New Roman" w:cs="Times New Roman"/>
          <w:i/>
          <w:sz w:val="24"/>
        </w:rPr>
        <w:t xml:space="preserve">: Encyclopedia Project </w:t>
      </w:r>
      <w:r w:rsidRPr="007A71D3">
        <w:rPr>
          <w:rFonts w:ascii="Times New Roman" w:hAnsi="Times New Roman" w:cs="Times New Roman"/>
          <w:sz w:val="24"/>
        </w:rPr>
        <w:t xml:space="preserve">(Philadelphia: </w:t>
      </w:r>
      <w:proofErr w:type="spellStart"/>
      <w:r w:rsidRPr="007A71D3">
        <w:rPr>
          <w:rFonts w:ascii="Times New Roman" w:hAnsi="Times New Roman" w:cs="Times New Roman"/>
          <w:sz w:val="24"/>
        </w:rPr>
        <w:t>Anniina</w:t>
      </w:r>
      <w:proofErr w:type="spellEnd"/>
      <w:r w:rsidRPr="007A71D3">
        <w:rPr>
          <w:rFonts w:ascii="Times New Roman" w:hAnsi="Times New Roman" w:cs="Times New Roman"/>
          <w:sz w:val="24"/>
        </w:rPr>
        <w:t xml:space="preserve"> Jokinen, 2012). Available at </w:t>
      </w:r>
      <w:hyperlink r:id="rId17" w:history="1">
        <w:r w:rsidRPr="007A71D3">
          <w:rPr>
            <w:rStyle w:val="Hyperlink"/>
            <w:rFonts w:ascii="Times New Roman" w:hAnsi="Times New Roman" w:cs="Times New Roman"/>
            <w:sz w:val="24"/>
          </w:rPr>
          <w:t>http://www.luminarium.org/encyclopedia/arundel7.htm</w:t>
        </w:r>
      </w:hyperlink>
      <w:r w:rsidRPr="007A71D3">
        <w:rPr>
          <w:rFonts w:ascii="Times New Roman" w:hAnsi="Times New Roman" w:cs="Times New Roman"/>
          <w:sz w:val="24"/>
        </w:rPr>
        <w:t xml:space="preserve"> [accessed 22/11/2017].</w:t>
      </w:r>
    </w:p>
    <w:p w14:paraId="6B2542A4" w14:textId="2CD8B998" w:rsidR="008E51AA" w:rsidRDefault="008E51AA" w:rsidP="008E51AA">
      <w:pPr>
        <w:jc w:val="both"/>
        <w:rPr>
          <w:rFonts w:ascii="Times New Roman" w:hAnsi="Times New Roman" w:cs="Times New Roman"/>
          <w:sz w:val="24"/>
        </w:rPr>
      </w:pPr>
      <w:proofErr w:type="spellStart"/>
      <w:r w:rsidRPr="008E51AA">
        <w:rPr>
          <w:rFonts w:ascii="Times New Roman" w:hAnsi="Times New Roman" w:cs="Times New Roman"/>
          <w:sz w:val="24"/>
        </w:rPr>
        <w:t>Krén</w:t>
      </w:r>
      <w:proofErr w:type="spellEnd"/>
      <w:r w:rsidRPr="008E51AA">
        <w:rPr>
          <w:rFonts w:ascii="Times New Roman" w:hAnsi="Times New Roman" w:cs="Times New Roman"/>
          <w:sz w:val="24"/>
        </w:rPr>
        <w:t xml:space="preserve"> E. and D. Marx, ‘Tomb of Henry </w:t>
      </w:r>
      <w:proofErr w:type="spellStart"/>
      <w:r w:rsidRPr="008E51AA">
        <w:rPr>
          <w:rFonts w:ascii="Times New Roman" w:hAnsi="Times New Roman" w:cs="Times New Roman"/>
          <w:sz w:val="24"/>
        </w:rPr>
        <w:t>Chichele</w:t>
      </w:r>
      <w:proofErr w:type="spellEnd"/>
      <w:r w:rsidRPr="008E51AA">
        <w:rPr>
          <w:rFonts w:ascii="Times New Roman" w:hAnsi="Times New Roman" w:cs="Times New Roman"/>
          <w:sz w:val="24"/>
        </w:rPr>
        <w:t xml:space="preserve">, Archbishop of Canterbury’, </w:t>
      </w:r>
      <w:r w:rsidRPr="008E51AA">
        <w:rPr>
          <w:rFonts w:ascii="Times New Roman" w:hAnsi="Times New Roman" w:cs="Times New Roman"/>
          <w:i/>
          <w:sz w:val="24"/>
        </w:rPr>
        <w:t xml:space="preserve">Web Gallery of Art </w:t>
      </w:r>
      <w:r w:rsidRPr="008E51AA">
        <w:rPr>
          <w:rFonts w:ascii="Times New Roman" w:hAnsi="Times New Roman" w:cs="Times New Roman"/>
          <w:sz w:val="24"/>
        </w:rPr>
        <w:t xml:space="preserve">(Budapest: Web Gallery of Art, 2017). Available at </w:t>
      </w:r>
      <w:hyperlink r:id="rId18" w:history="1">
        <w:r w:rsidRPr="008E51AA">
          <w:rPr>
            <w:rStyle w:val="Hyperlink"/>
            <w:rFonts w:ascii="Times New Roman" w:hAnsi="Times New Roman" w:cs="Times New Roman"/>
            <w:sz w:val="24"/>
          </w:rPr>
          <w:t>https://www.wga.hu/frames-e.html?/html/m/master/yunk_en/tombchic.html</w:t>
        </w:r>
      </w:hyperlink>
      <w:r w:rsidRPr="008E51AA">
        <w:rPr>
          <w:rFonts w:ascii="Times New Roman" w:hAnsi="Times New Roman" w:cs="Times New Roman"/>
          <w:sz w:val="24"/>
        </w:rPr>
        <w:t xml:space="preserve"> [accessed 22/11/2017]. </w:t>
      </w:r>
    </w:p>
    <w:p w14:paraId="3E5C047F" w14:textId="54F4A939" w:rsidR="008E51AA" w:rsidRDefault="005E57CB" w:rsidP="00111112">
      <w:pPr>
        <w:jc w:val="both"/>
        <w:rPr>
          <w:rFonts w:ascii="Times New Roman" w:hAnsi="Times New Roman" w:cs="Times New Roman"/>
          <w:sz w:val="24"/>
        </w:rPr>
      </w:pPr>
      <w:r w:rsidRPr="005E1AC9">
        <w:rPr>
          <w:rFonts w:ascii="Times New Roman" w:hAnsi="Times New Roman" w:cs="Times New Roman"/>
          <w:sz w:val="24"/>
        </w:rPr>
        <w:t xml:space="preserve">Mortimer, I., </w:t>
      </w:r>
      <w:r w:rsidRPr="005E1AC9">
        <w:rPr>
          <w:rFonts w:ascii="Times New Roman" w:hAnsi="Times New Roman" w:cs="Times New Roman"/>
          <w:i/>
          <w:sz w:val="24"/>
        </w:rPr>
        <w:t xml:space="preserve">The Time Traveller’s Guide </w:t>
      </w:r>
      <w:proofErr w:type="gramStart"/>
      <w:r w:rsidRPr="005E1AC9">
        <w:rPr>
          <w:rFonts w:ascii="Times New Roman" w:hAnsi="Times New Roman" w:cs="Times New Roman"/>
          <w:i/>
          <w:sz w:val="24"/>
        </w:rPr>
        <w:t>To</w:t>
      </w:r>
      <w:proofErr w:type="gramEnd"/>
      <w:r w:rsidRPr="005E1AC9">
        <w:rPr>
          <w:rFonts w:ascii="Times New Roman" w:hAnsi="Times New Roman" w:cs="Times New Roman"/>
          <w:i/>
          <w:sz w:val="24"/>
        </w:rPr>
        <w:t xml:space="preserve"> Medieval England </w:t>
      </w:r>
      <w:r w:rsidRPr="005E1AC9">
        <w:rPr>
          <w:rFonts w:ascii="Times New Roman" w:hAnsi="Times New Roman" w:cs="Times New Roman"/>
          <w:sz w:val="24"/>
        </w:rPr>
        <w:t xml:space="preserve">(London: Vintage Books, 2009).  </w:t>
      </w:r>
    </w:p>
    <w:p w14:paraId="35E6EAF9" w14:textId="6FE0E758" w:rsidR="007356A6" w:rsidRPr="007356A6" w:rsidRDefault="007356A6" w:rsidP="00111112">
      <w:pPr>
        <w:jc w:val="both"/>
        <w:rPr>
          <w:rFonts w:ascii="Times New Roman" w:hAnsi="Times New Roman" w:cs="Times New Roman"/>
          <w:sz w:val="36"/>
        </w:rPr>
      </w:pPr>
      <w:proofErr w:type="spellStart"/>
      <w:r w:rsidRPr="007356A6">
        <w:rPr>
          <w:rFonts w:ascii="Times New Roman" w:hAnsi="Times New Roman" w:cs="Times New Roman"/>
          <w:sz w:val="24"/>
        </w:rPr>
        <w:t>Rytting</w:t>
      </w:r>
      <w:proofErr w:type="spellEnd"/>
      <w:r w:rsidRPr="007356A6">
        <w:rPr>
          <w:rFonts w:ascii="Times New Roman" w:hAnsi="Times New Roman" w:cs="Times New Roman"/>
          <w:sz w:val="24"/>
        </w:rPr>
        <w:t xml:space="preserve">, R. J., ’A </w:t>
      </w:r>
      <w:proofErr w:type="spellStart"/>
      <w:r w:rsidRPr="007356A6">
        <w:rPr>
          <w:rFonts w:ascii="Times New Roman" w:hAnsi="Times New Roman" w:cs="Times New Roman"/>
          <w:sz w:val="24"/>
        </w:rPr>
        <w:t>Disputacioun</w:t>
      </w:r>
      <w:proofErr w:type="spellEnd"/>
      <w:r w:rsidRPr="007356A6">
        <w:rPr>
          <w:rFonts w:ascii="Times New Roman" w:hAnsi="Times New Roman" w:cs="Times New Roman"/>
          <w:sz w:val="24"/>
        </w:rPr>
        <w:t xml:space="preserve"> </w:t>
      </w:r>
      <w:proofErr w:type="spellStart"/>
      <w:r w:rsidRPr="007356A6">
        <w:rPr>
          <w:rFonts w:ascii="Times New Roman" w:hAnsi="Times New Roman" w:cs="Times New Roman"/>
          <w:sz w:val="24"/>
        </w:rPr>
        <w:t>Betwyx</w:t>
      </w:r>
      <w:proofErr w:type="spellEnd"/>
      <w:r w:rsidRPr="007356A6">
        <w:rPr>
          <w:rFonts w:ascii="Times New Roman" w:hAnsi="Times New Roman" w:cs="Times New Roman"/>
          <w:sz w:val="24"/>
        </w:rPr>
        <w:t xml:space="preserve"> </w:t>
      </w:r>
      <w:proofErr w:type="spellStart"/>
      <w:r w:rsidRPr="007356A6">
        <w:rPr>
          <w:rFonts w:ascii="Times New Roman" w:hAnsi="Times New Roman" w:cs="Times New Roman"/>
          <w:sz w:val="24"/>
        </w:rPr>
        <w:t>þe</w:t>
      </w:r>
      <w:proofErr w:type="spellEnd"/>
      <w:r w:rsidRPr="007356A6">
        <w:rPr>
          <w:rFonts w:ascii="Times New Roman" w:hAnsi="Times New Roman" w:cs="Times New Roman"/>
          <w:sz w:val="24"/>
        </w:rPr>
        <w:t xml:space="preserve"> Body and </w:t>
      </w:r>
      <w:proofErr w:type="spellStart"/>
      <w:r w:rsidRPr="007356A6">
        <w:rPr>
          <w:rFonts w:ascii="Times New Roman" w:hAnsi="Times New Roman" w:cs="Times New Roman"/>
          <w:sz w:val="24"/>
        </w:rPr>
        <w:t>Wormes</w:t>
      </w:r>
      <w:proofErr w:type="spellEnd"/>
      <w:r w:rsidRPr="007356A6">
        <w:rPr>
          <w:rFonts w:ascii="Times New Roman" w:hAnsi="Times New Roman" w:cs="Times New Roman"/>
          <w:sz w:val="24"/>
        </w:rPr>
        <w:t xml:space="preserve">: A Translation’, </w:t>
      </w:r>
      <w:proofErr w:type="spellStart"/>
      <w:r w:rsidRPr="007356A6">
        <w:rPr>
          <w:rFonts w:ascii="Times New Roman" w:hAnsi="Times New Roman" w:cs="Times New Roman"/>
          <w:i/>
          <w:sz w:val="24"/>
        </w:rPr>
        <w:t>Comitatus</w:t>
      </w:r>
      <w:proofErr w:type="spellEnd"/>
      <w:r w:rsidRPr="007356A6">
        <w:rPr>
          <w:rFonts w:ascii="Times New Roman" w:hAnsi="Times New Roman" w:cs="Times New Roman"/>
          <w:i/>
          <w:sz w:val="24"/>
        </w:rPr>
        <w:t xml:space="preserve">: A Journal of Medieval and Renaissance Studies, </w:t>
      </w:r>
      <w:r w:rsidRPr="007356A6">
        <w:rPr>
          <w:rFonts w:ascii="Times New Roman" w:hAnsi="Times New Roman" w:cs="Times New Roman"/>
          <w:sz w:val="24"/>
        </w:rPr>
        <w:t>Volume 31, Issue 1, 2000 (California: University of California, 2000)</w:t>
      </w:r>
      <w:r w:rsidRPr="007356A6">
        <w:rPr>
          <w:rFonts w:ascii="Times New Roman" w:hAnsi="Times New Roman" w:cs="Times New Roman"/>
          <w:i/>
          <w:sz w:val="24"/>
        </w:rPr>
        <w:t xml:space="preserve"> </w:t>
      </w:r>
      <w:r w:rsidRPr="007356A6">
        <w:rPr>
          <w:rFonts w:ascii="Times New Roman" w:hAnsi="Times New Roman" w:cs="Times New Roman"/>
          <w:sz w:val="24"/>
        </w:rPr>
        <w:t>pp. 217-232.</w:t>
      </w:r>
    </w:p>
    <w:p w14:paraId="5482AA61" w14:textId="77777777" w:rsidR="005E1AC9" w:rsidRPr="005E1AC9" w:rsidRDefault="005E1AC9">
      <w:pPr>
        <w:jc w:val="both"/>
        <w:rPr>
          <w:rFonts w:ascii="Times New Roman" w:hAnsi="Times New Roman" w:cs="Times New Roman"/>
          <w:sz w:val="32"/>
        </w:rPr>
      </w:pPr>
    </w:p>
    <w:sectPr w:rsidR="005E1AC9" w:rsidRPr="005E1A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6D7C27" w14:textId="77777777" w:rsidR="00B02988" w:rsidRDefault="00B02988" w:rsidP="00472375">
      <w:pPr>
        <w:spacing w:after="0" w:line="240" w:lineRule="auto"/>
      </w:pPr>
      <w:r>
        <w:separator/>
      </w:r>
    </w:p>
  </w:endnote>
  <w:endnote w:type="continuationSeparator" w:id="0">
    <w:p w14:paraId="6AE5EE7C" w14:textId="77777777" w:rsidR="00B02988" w:rsidRDefault="00B02988" w:rsidP="00472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E20B36" w14:textId="77777777" w:rsidR="00B02988" w:rsidRDefault="00B02988" w:rsidP="00472375">
      <w:pPr>
        <w:spacing w:after="0" w:line="240" w:lineRule="auto"/>
      </w:pPr>
      <w:r>
        <w:separator/>
      </w:r>
    </w:p>
  </w:footnote>
  <w:footnote w:type="continuationSeparator" w:id="0">
    <w:p w14:paraId="19061920" w14:textId="77777777" w:rsidR="00B02988" w:rsidRDefault="00B02988" w:rsidP="00472375">
      <w:pPr>
        <w:spacing w:after="0" w:line="240" w:lineRule="auto"/>
      </w:pPr>
      <w:r>
        <w:continuationSeparator/>
      </w:r>
    </w:p>
  </w:footnote>
  <w:footnote w:id="1">
    <w:p w14:paraId="1CD45281" w14:textId="633DE055" w:rsidR="00BA4FA1" w:rsidRPr="00111112" w:rsidRDefault="00BA4FA1">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Pr="00111112">
        <w:rPr>
          <w:rFonts w:ascii="Times New Roman" w:hAnsi="Times New Roman" w:cs="Times New Roman"/>
          <w:sz w:val="22"/>
        </w:rPr>
        <w:t xml:space="preserve"> </w:t>
      </w:r>
      <w:r w:rsidR="00111112">
        <w:rPr>
          <w:rFonts w:ascii="Times New Roman" w:hAnsi="Times New Roman" w:cs="Times New Roman"/>
          <w:sz w:val="22"/>
        </w:rPr>
        <w:t xml:space="preserve">A., Jokinen, ’John FitzAlan’, </w:t>
      </w:r>
      <w:proofErr w:type="spellStart"/>
      <w:proofErr w:type="gramStart"/>
      <w:r w:rsidR="00111112">
        <w:rPr>
          <w:rFonts w:ascii="Times New Roman" w:hAnsi="Times New Roman" w:cs="Times New Roman"/>
          <w:i/>
          <w:sz w:val="22"/>
        </w:rPr>
        <w:t>Luminarium</w:t>
      </w:r>
      <w:proofErr w:type="spellEnd"/>
      <w:proofErr w:type="gramEnd"/>
      <w:r w:rsidR="00111112">
        <w:rPr>
          <w:rFonts w:ascii="Times New Roman" w:hAnsi="Times New Roman" w:cs="Times New Roman"/>
          <w:i/>
          <w:sz w:val="22"/>
        </w:rPr>
        <w:t xml:space="preserve">: Encyclopedia Project </w:t>
      </w:r>
      <w:r w:rsidR="00111112">
        <w:rPr>
          <w:rFonts w:ascii="Times New Roman" w:hAnsi="Times New Roman" w:cs="Times New Roman"/>
          <w:sz w:val="22"/>
        </w:rPr>
        <w:t xml:space="preserve">(Philadelphia: </w:t>
      </w:r>
      <w:proofErr w:type="spellStart"/>
      <w:r w:rsidR="00111112">
        <w:rPr>
          <w:rFonts w:ascii="Times New Roman" w:hAnsi="Times New Roman" w:cs="Times New Roman"/>
          <w:sz w:val="22"/>
        </w:rPr>
        <w:t>Anniina</w:t>
      </w:r>
      <w:proofErr w:type="spellEnd"/>
      <w:r w:rsidR="00111112">
        <w:rPr>
          <w:rFonts w:ascii="Times New Roman" w:hAnsi="Times New Roman" w:cs="Times New Roman"/>
          <w:sz w:val="22"/>
        </w:rPr>
        <w:t xml:space="preserve"> Jokinen, 2012). Available at </w:t>
      </w:r>
      <w:hyperlink r:id="rId1" w:history="1">
        <w:r w:rsidRPr="00111112">
          <w:rPr>
            <w:rStyle w:val="Hyperlink"/>
            <w:rFonts w:ascii="Times New Roman" w:hAnsi="Times New Roman" w:cs="Times New Roman"/>
            <w:sz w:val="22"/>
          </w:rPr>
          <w:t>http://www.luminarium.org/encyclopedia/arundel7.htm</w:t>
        </w:r>
      </w:hyperlink>
      <w:r w:rsidRPr="00111112">
        <w:rPr>
          <w:rFonts w:ascii="Times New Roman" w:hAnsi="Times New Roman" w:cs="Times New Roman"/>
          <w:sz w:val="22"/>
        </w:rPr>
        <w:t xml:space="preserve"> </w:t>
      </w:r>
      <w:r w:rsidR="00111112">
        <w:rPr>
          <w:rFonts w:ascii="Times New Roman" w:hAnsi="Times New Roman" w:cs="Times New Roman"/>
          <w:sz w:val="22"/>
        </w:rPr>
        <w:t>[accessed 22/11/2017].</w:t>
      </w:r>
    </w:p>
  </w:footnote>
  <w:footnote w:id="2">
    <w:p w14:paraId="186DCEBF" w14:textId="4D7787D1" w:rsidR="00BA4FA1" w:rsidRPr="00111112" w:rsidRDefault="00BA4FA1">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Pr="00111112">
        <w:rPr>
          <w:rFonts w:ascii="Times New Roman" w:hAnsi="Times New Roman" w:cs="Times New Roman"/>
          <w:sz w:val="22"/>
        </w:rPr>
        <w:t xml:space="preserve"> </w:t>
      </w:r>
      <w:r w:rsidR="007356A6">
        <w:rPr>
          <w:rFonts w:ascii="Times New Roman" w:hAnsi="Times New Roman" w:cs="Times New Roman"/>
          <w:i/>
          <w:sz w:val="22"/>
        </w:rPr>
        <w:t>Ibid.</w:t>
      </w:r>
    </w:p>
  </w:footnote>
  <w:footnote w:id="3">
    <w:p w14:paraId="6498BAFD" w14:textId="2C0AF8BF" w:rsidR="009C52DC" w:rsidRPr="009C52DC" w:rsidRDefault="009C52DC" w:rsidP="009C52DC">
      <w:pPr>
        <w:pStyle w:val="FootnoteText"/>
        <w:rPr>
          <w:rFonts w:ascii="Times New Roman" w:hAnsi="Times New Roman" w:cs="Times New Roman"/>
          <w:sz w:val="22"/>
        </w:rPr>
      </w:pPr>
      <w:r w:rsidRPr="009C52DC">
        <w:rPr>
          <w:rStyle w:val="FootnoteReference"/>
          <w:rFonts w:ascii="Times New Roman" w:hAnsi="Times New Roman" w:cs="Times New Roman"/>
          <w:sz w:val="22"/>
        </w:rPr>
        <w:footnoteRef/>
      </w:r>
      <w:r w:rsidRPr="009C52DC">
        <w:rPr>
          <w:rFonts w:ascii="Times New Roman" w:hAnsi="Times New Roman" w:cs="Times New Roman"/>
          <w:sz w:val="22"/>
        </w:rPr>
        <w:t xml:space="preserve"> </w:t>
      </w:r>
      <w:r>
        <w:rPr>
          <w:rFonts w:ascii="Times New Roman" w:hAnsi="Times New Roman" w:cs="Times New Roman"/>
          <w:sz w:val="22"/>
        </w:rPr>
        <w:t xml:space="preserve">E. </w:t>
      </w:r>
      <w:proofErr w:type="spellStart"/>
      <w:r>
        <w:rPr>
          <w:rFonts w:ascii="Times New Roman" w:hAnsi="Times New Roman" w:cs="Times New Roman"/>
          <w:sz w:val="22"/>
        </w:rPr>
        <w:t>Krén</w:t>
      </w:r>
      <w:proofErr w:type="spellEnd"/>
      <w:r>
        <w:rPr>
          <w:rFonts w:ascii="Times New Roman" w:hAnsi="Times New Roman" w:cs="Times New Roman"/>
          <w:sz w:val="22"/>
        </w:rPr>
        <w:t xml:space="preserve"> and D. Marx, ‘Tomb of Henry </w:t>
      </w:r>
      <w:proofErr w:type="spellStart"/>
      <w:r>
        <w:rPr>
          <w:rFonts w:ascii="Times New Roman" w:hAnsi="Times New Roman" w:cs="Times New Roman"/>
          <w:sz w:val="22"/>
        </w:rPr>
        <w:t>Chichele</w:t>
      </w:r>
      <w:proofErr w:type="spellEnd"/>
      <w:r>
        <w:rPr>
          <w:rFonts w:ascii="Times New Roman" w:hAnsi="Times New Roman" w:cs="Times New Roman"/>
          <w:sz w:val="22"/>
        </w:rPr>
        <w:t xml:space="preserve">, Archbishop of Canterbury’, </w:t>
      </w:r>
      <w:r>
        <w:rPr>
          <w:rFonts w:ascii="Times New Roman" w:hAnsi="Times New Roman" w:cs="Times New Roman"/>
          <w:i/>
          <w:sz w:val="22"/>
        </w:rPr>
        <w:t xml:space="preserve">Web Gallery of Art </w:t>
      </w:r>
      <w:r>
        <w:rPr>
          <w:rFonts w:ascii="Times New Roman" w:hAnsi="Times New Roman" w:cs="Times New Roman"/>
          <w:sz w:val="22"/>
        </w:rPr>
        <w:t xml:space="preserve">(Budapest: Web Gallery of Art, 2017). Available at </w:t>
      </w:r>
      <w:hyperlink r:id="rId2" w:history="1">
        <w:r w:rsidRPr="00111112">
          <w:rPr>
            <w:rStyle w:val="Hyperlink"/>
            <w:rFonts w:ascii="Times New Roman" w:hAnsi="Times New Roman" w:cs="Times New Roman"/>
            <w:sz w:val="22"/>
          </w:rPr>
          <w:t>https://www.wga.hu/frames-e.html?/html/m/master/yunk_en/tombchic.html</w:t>
        </w:r>
      </w:hyperlink>
      <w:r w:rsidRPr="002A106F">
        <w:rPr>
          <w:rFonts w:ascii="Times New Roman" w:hAnsi="Times New Roman" w:cs="Times New Roman"/>
          <w:sz w:val="22"/>
        </w:rPr>
        <w:t xml:space="preserve"> </w:t>
      </w:r>
      <w:r>
        <w:rPr>
          <w:rFonts w:ascii="Times New Roman" w:hAnsi="Times New Roman" w:cs="Times New Roman"/>
          <w:sz w:val="22"/>
        </w:rPr>
        <w:t>[accessed 22/11/2017].</w:t>
      </w:r>
    </w:p>
  </w:footnote>
  <w:footnote w:id="4">
    <w:p w14:paraId="524A658F" w14:textId="13833EE1" w:rsidR="009C52DC" w:rsidRPr="009C52DC" w:rsidRDefault="009C52DC" w:rsidP="009C52DC">
      <w:pPr>
        <w:pStyle w:val="FootnoteText"/>
        <w:rPr>
          <w:rFonts w:ascii="Times New Roman" w:hAnsi="Times New Roman" w:cs="Times New Roman"/>
          <w:sz w:val="22"/>
        </w:rPr>
      </w:pPr>
      <w:r w:rsidRPr="009C52DC">
        <w:rPr>
          <w:rStyle w:val="FootnoteReference"/>
          <w:rFonts w:ascii="Times New Roman" w:hAnsi="Times New Roman" w:cs="Times New Roman"/>
          <w:sz w:val="22"/>
        </w:rPr>
        <w:footnoteRef/>
      </w:r>
      <w:r w:rsidRPr="009C52DC">
        <w:rPr>
          <w:rFonts w:ascii="Times New Roman" w:hAnsi="Times New Roman" w:cs="Times New Roman"/>
          <w:sz w:val="22"/>
        </w:rPr>
        <w:t xml:space="preserve"> </w:t>
      </w:r>
      <w:r>
        <w:rPr>
          <w:rFonts w:ascii="Times New Roman" w:hAnsi="Times New Roman" w:cs="Times New Roman"/>
          <w:sz w:val="22"/>
        </w:rPr>
        <w:t xml:space="preserve">I., Mortimer, </w:t>
      </w:r>
      <w:r>
        <w:rPr>
          <w:rFonts w:ascii="Times New Roman" w:hAnsi="Times New Roman" w:cs="Times New Roman"/>
          <w:i/>
          <w:sz w:val="22"/>
        </w:rPr>
        <w:t xml:space="preserve">The Time Traveller’s Guide </w:t>
      </w:r>
      <w:proofErr w:type="gramStart"/>
      <w:r>
        <w:rPr>
          <w:rFonts w:ascii="Times New Roman" w:hAnsi="Times New Roman" w:cs="Times New Roman"/>
          <w:i/>
          <w:sz w:val="22"/>
        </w:rPr>
        <w:t>To</w:t>
      </w:r>
      <w:proofErr w:type="gramEnd"/>
      <w:r>
        <w:rPr>
          <w:rFonts w:ascii="Times New Roman" w:hAnsi="Times New Roman" w:cs="Times New Roman"/>
          <w:i/>
          <w:sz w:val="22"/>
        </w:rPr>
        <w:t xml:space="preserve"> Medieval England </w:t>
      </w:r>
      <w:r>
        <w:rPr>
          <w:rFonts w:ascii="Times New Roman" w:hAnsi="Times New Roman" w:cs="Times New Roman"/>
          <w:sz w:val="22"/>
        </w:rPr>
        <w:t xml:space="preserve">(London: Vintage Books, 2009) p.35. </w:t>
      </w:r>
      <w:r w:rsidRPr="00111112">
        <w:rPr>
          <w:rFonts w:ascii="Times New Roman" w:hAnsi="Times New Roman" w:cs="Times New Roman"/>
          <w:sz w:val="22"/>
        </w:rPr>
        <w:t xml:space="preserve"> </w:t>
      </w:r>
    </w:p>
  </w:footnote>
  <w:footnote w:id="5">
    <w:p w14:paraId="310DC961" w14:textId="0C2C6BE0" w:rsidR="009C52DC" w:rsidRDefault="009C52DC" w:rsidP="009C52DC">
      <w:pPr>
        <w:pStyle w:val="FootnoteText"/>
      </w:pPr>
      <w:r w:rsidRPr="009C52DC">
        <w:rPr>
          <w:rStyle w:val="FootnoteReference"/>
          <w:rFonts w:ascii="Times New Roman" w:hAnsi="Times New Roman" w:cs="Times New Roman"/>
          <w:sz w:val="22"/>
        </w:rPr>
        <w:footnoteRef/>
      </w:r>
      <w:r w:rsidR="0099249F">
        <w:rPr>
          <w:rFonts w:ascii="Times New Roman" w:hAnsi="Times New Roman" w:cs="Times New Roman"/>
          <w:sz w:val="22"/>
        </w:rPr>
        <w:t xml:space="preserve"> B., </w:t>
      </w:r>
      <w:proofErr w:type="spellStart"/>
      <w:r w:rsidR="0099249F">
        <w:rPr>
          <w:rFonts w:ascii="Times New Roman" w:hAnsi="Times New Roman" w:cs="Times New Roman"/>
          <w:sz w:val="22"/>
        </w:rPr>
        <w:t>Gotschall</w:t>
      </w:r>
      <w:proofErr w:type="spellEnd"/>
      <w:r w:rsidR="0099249F">
        <w:rPr>
          <w:rFonts w:ascii="Times New Roman" w:hAnsi="Times New Roman" w:cs="Times New Roman"/>
          <w:sz w:val="22"/>
        </w:rPr>
        <w:t xml:space="preserve"> ‘A Brief History of the “</w:t>
      </w:r>
      <w:proofErr w:type="spellStart"/>
      <w:r w:rsidR="0099249F">
        <w:rPr>
          <w:rFonts w:ascii="Times New Roman" w:hAnsi="Times New Roman" w:cs="Times New Roman"/>
          <w:sz w:val="22"/>
        </w:rPr>
        <w:t>Danse</w:t>
      </w:r>
      <w:proofErr w:type="spellEnd"/>
      <w:r w:rsidR="0099249F">
        <w:rPr>
          <w:rFonts w:ascii="Times New Roman" w:hAnsi="Times New Roman" w:cs="Times New Roman"/>
          <w:sz w:val="22"/>
        </w:rPr>
        <w:t xml:space="preserve"> Macabre”’, </w:t>
      </w:r>
      <w:r w:rsidR="0099249F">
        <w:rPr>
          <w:rFonts w:ascii="Times New Roman" w:hAnsi="Times New Roman" w:cs="Times New Roman"/>
          <w:i/>
          <w:sz w:val="22"/>
        </w:rPr>
        <w:t xml:space="preserve">Atlas </w:t>
      </w:r>
      <w:proofErr w:type="spellStart"/>
      <w:r w:rsidR="0099249F">
        <w:rPr>
          <w:rFonts w:ascii="Times New Roman" w:hAnsi="Times New Roman" w:cs="Times New Roman"/>
          <w:i/>
          <w:sz w:val="22"/>
        </w:rPr>
        <w:t>Obscura</w:t>
      </w:r>
      <w:proofErr w:type="spellEnd"/>
      <w:r w:rsidR="0099249F">
        <w:rPr>
          <w:rFonts w:ascii="Times New Roman" w:hAnsi="Times New Roman" w:cs="Times New Roman"/>
          <w:i/>
          <w:sz w:val="22"/>
        </w:rPr>
        <w:t xml:space="preserve"> </w:t>
      </w:r>
      <w:r w:rsidR="0099249F">
        <w:rPr>
          <w:rFonts w:ascii="Times New Roman" w:hAnsi="Times New Roman" w:cs="Times New Roman"/>
          <w:sz w:val="22"/>
        </w:rPr>
        <w:t xml:space="preserve">(New York: Atlas </w:t>
      </w:r>
      <w:proofErr w:type="spellStart"/>
      <w:r w:rsidR="0099249F">
        <w:rPr>
          <w:rFonts w:ascii="Times New Roman" w:hAnsi="Times New Roman" w:cs="Times New Roman"/>
          <w:sz w:val="22"/>
        </w:rPr>
        <w:t>Obscura</w:t>
      </w:r>
      <w:proofErr w:type="spellEnd"/>
      <w:r w:rsidR="0099249F">
        <w:rPr>
          <w:rFonts w:ascii="Times New Roman" w:hAnsi="Times New Roman" w:cs="Times New Roman"/>
          <w:sz w:val="22"/>
        </w:rPr>
        <w:t>, 2017). Available at</w:t>
      </w:r>
      <w:r w:rsidRPr="009C52DC">
        <w:rPr>
          <w:rFonts w:ascii="Times New Roman" w:hAnsi="Times New Roman" w:cs="Times New Roman"/>
          <w:sz w:val="22"/>
        </w:rPr>
        <w:t xml:space="preserve"> </w:t>
      </w:r>
      <w:hyperlink r:id="rId3" w:history="1">
        <w:r w:rsidRPr="009C52DC">
          <w:rPr>
            <w:rStyle w:val="Hyperlink"/>
            <w:rFonts w:ascii="Times New Roman" w:hAnsi="Times New Roman" w:cs="Times New Roman"/>
            <w:sz w:val="22"/>
          </w:rPr>
          <w:t>https://www.atlasobscura.com/articles/danse-macabre-david-pumpkins-art-history</w:t>
        </w:r>
      </w:hyperlink>
      <w:r w:rsidRPr="009C52DC">
        <w:rPr>
          <w:sz w:val="22"/>
        </w:rPr>
        <w:t xml:space="preserve"> </w:t>
      </w:r>
      <w:r w:rsidR="0099249F" w:rsidRPr="0099249F">
        <w:rPr>
          <w:rFonts w:ascii="Times New Roman" w:hAnsi="Times New Roman" w:cs="Times New Roman"/>
          <w:sz w:val="22"/>
        </w:rPr>
        <w:t>[accessed 23/11/2017].</w:t>
      </w:r>
      <w:r w:rsidR="0099249F">
        <w:rPr>
          <w:sz w:val="22"/>
        </w:rPr>
        <w:t xml:space="preserve"> </w:t>
      </w:r>
    </w:p>
  </w:footnote>
  <w:footnote w:id="6">
    <w:p w14:paraId="21D5A704" w14:textId="33293225" w:rsidR="00BA4FA1" w:rsidRPr="00831E6A" w:rsidRDefault="00BA4FA1">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Pr="00111112">
        <w:rPr>
          <w:rFonts w:ascii="Times New Roman" w:hAnsi="Times New Roman" w:cs="Times New Roman"/>
          <w:sz w:val="22"/>
        </w:rPr>
        <w:t xml:space="preserve"> </w:t>
      </w:r>
      <w:r w:rsidR="00831E6A">
        <w:rPr>
          <w:rFonts w:ascii="Times New Roman" w:hAnsi="Times New Roman" w:cs="Times New Roman"/>
          <w:sz w:val="22"/>
        </w:rPr>
        <w:t xml:space="preserve">R. J., </w:t>
      </w:r>
      <w:proofErr w:type="spellStart"/>
      <w:r w:rsidR="00831E6A">
        <w:rPr>
          <w:rFonts w:ascii="Times New Roman" w:hAnsi="Times New Roman" w:cs="Times New Roman"/>
          <w:sz w:val="22"/>
        </w:rPr>
        <w:t>Rytting</w:t>
      </w:r>
      <w:proofErr w:type="spellEnd"/>
      <w:r w:rsidR="00831E6A">
        <w:rPr>
          <w:rFonts w:ascii="Times New Roman" w:hAnsi="Times New Roman" w:cs="Times New Roman"/>
          <w:sz w:val="22"/>
        </w:rPr>
        <w:t xml:space="preserve">,’A </w:t>
      </w:r>
      <w:proofErr w:type="spellStart"/>
      <w:r w:rsidR="00831E6A">
        <w:rPr>
          <w:rFonts w:ascii="Times New Roman" w:hAnsi="Times New Roman" w:cs="Times New Roman"/>
          <w:sz w:val="22"/>
        </w:rPr>
        <w:t>Disputacioun</w:t>
      </w:r>
      <w:proofErr w:type="spellEnd"/>
      <w:r w:rsidR="00831E6A">
        <w:rPr>
          <w:rFonts w:ascii="Times New Roman" w:hAnsi="Times New Roman" w:cs="Times New Roman"/>
          <w:sz w:val="22"/>
        </w:rPr>
        <w:t xml:space="preserve"> </w:t>
      </w:r>
      <w:proofErr w:type="spellStart"/>
      <w:r w:rsidR="00831E6A">
        <w:rPr>
          <w:rFonts w:ascii="Times New Roman" w:hAnsi="Times New Roman" w:cs="Times New Roman"/>
          <w:sz w:val="22"/>
        </w:rPr>
        <w:t>Betwyx</w:t>
      </w:r>
      <w:proofErr w:type="spellEnd"/>
      <w:r w:rsidR="00831E6A">
        <w:rPr>
          <w:rFonts w:ascii="Times New Roman" w:hAnsi="Times New Roman" w:cs="Times New Roman"/>
          <w:sz w:val="22"/>
        </w:rPr>
        <w:t xml:space="preserve"> </w:t>
      </w:r>
      <w:proofErr w:type="spellStart"/>
      <w:r w:rsidR="00831E6A">
        <w:rPr>
          <w:rFonts w:ascii="Times New Roman" w:hAnsi="Times New Roman" w:cs="Times New Roman"/>
          <w:sz w:val="22"/>
        </w:rPr>
        <w:t>þe</w:t>
      </w:r>
      <w:proofErr w:type="spellEnd"/>
      <w:r w:rsidR="00831E6A">
        <w:rPr>
          <w:rFonts w:ascii="Times New Roman" w:hAnsi="Times New Roman" w:cs="Times New Roman"/>
          <w:sz w:val="22"/>
        </w:rPr>
        <w:t xml:space="preserve"> Body and </w:t>
      </w:r>
      <w:proofErr w:type="spellStart"/>
      <w:r w:rsidR="00831E6A">
        <w:rPr>
          <w:rFonts w:ascii="Times New Roman" w:hAnsi="Times New Roman" w:cs="Times New Roman"/>
          <w:sz w:val="22"/>
        </w:rPr>
        <w:t>Wormes</w:t>
      </w:r>
      <w:proofErr w:type="spellEnd"/>
      <w:r w:rsidR="00831E6A">
        <w:rPr>
          <w:rFonts w:ascii="Times New Roman" w:hAnsi="Times New Roman" w:cs="Times New Roman"/>
          <w:sz w:val="22"/>
        </w:rPr>
        <w:t xml:space="preserve">: A Translation’, </w:t>
      </w:r>
      <w:proofErr w:type="spellStart"/>
      <w:r w:rsidR="00831E6A">
        <w:rPr>
          <w:rFonts w:ascii="Times New Roman" w:hAnsi="Times New Roman" w:cs="Times New Roman"/>
          <w:i/>
          <w:sz w:val="22"/>
        </w:rPr>
        <w:t>Comitatus</w:t>
      </w:r>
      <w:proofErr w:type="spellEnd"/>
      <w:r w:rsidR="00831E6A">
        <w:rPr>
          <w:rFonts w:ascii="Times New Roman" w:hAnsi="Times New Roman" w:cs="Times New Roman"/>
          <w:i/>
          <w:sz w:val="22"/>
        </w:rPr>
        <w:t xml:space="preserve">: A Journal of Medieval and Renaissance Studies, </w:t>
      </w:r>
      <w:r w:rsidR="00831E6A">
        <w:rPr>
          <w:rFonts w:ascii="Times New Roman" w:hAnsi="Times New Roman" w:cs="Times New Roman"/>
          <w:sz w:val="22"/>
        </w:rPr>
        <w:t>Volume 31, Issue 1, 2000 (California: University of California, 2000)</w:t>
      </w:r>
      <w:r w:rsidR="00831E6A">
        <w:rPr>
          <w:rFonts w:ascii="Times New Roman" w:hAnsi="Times New Roman" w:cs="Times New Roman"/>
          <w:i/>
          <w:sz w:val="22"/>
        </w:rPr>
        <w:t xml:space="preserve"> </w:t>
      </w:r>
      <w:r w:rsidR="00831E6A">
        <w:rPr>
          <w:rFonts w:ascii="Times New Roman" w:hAnsi="Times New Roman" w:cs="Times New Roman"/>
          <w:sz w:val="22"/>
        </w:rPr>
        <w:t>pp. 217-232, p.217.</w:t>
      </w:r>
    </w:p>
  </w:footnote>
  <w:footnote w:id="7">
    <w:p w14:paraId="1C75081E" w14:textId="3CBF257E" w:rsidR="00BA4FA1" w:rsidRPr="00111112" w:rsidRDefault="00BA4FA1">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Pr="00111112">
        <w:rPr>
          <w:rFonts w:ascii="Times New Roman" w:hAnsi="Times New Roman" w:cs="Times New Roman"/>
          <w:sz w:val="22"/>
        </w:rPr>
        <w:t xml:space="preserve"> </w:t>
      </w:r>
      <w:r w:rsidR="007356A6">
        <w:rPr>
          <w:rFonts w:ascii="Times New Roman" w:hAnsi="Times New Roman" w:cs="Times New Roman"/>
          <w:i/>
          <w:sz w:val="22"/>
        </w:rPr>
        <w:t>Ibid,</w:t>
      </w:r>
      <w:r w:rsidRPr="00111112">
        <w:rPr>
          <w:rFonts w:ascii="Times New Roman" w:hAnsi="Times New Roman" w:cs="Times New Roman"/>
          <w:sz w:val="22"/>
        </w:rPr>
        <w:t xml:space="preserve"> p.218</w:t>
      </w:r>
      <w:r w:rsidR="00831E6A">
        <w:rPr>
          <w:rFonts w:ascii="Times New Roman" w:hAnsi="Times New Roman" w:cs="Times New Roman"/>
          <w:sz w:val="22"/>
        </w:rPr>
        <w:t>.</w:t>
      </w:r>
      <w:r w:rsidRPr="00111112">
        <w:rPr>
          <w:rFonts w:ascii="Times New Roman" w:hAnsi="Times New Roman" w:cs="Times New Roman"/>
          <w:sz w:val="22"/>
        </w:rPr>
        <w:t xml:space="preserve">  </w:t>
      </w:r>
    </w:p>
  </w:footnote>
  <w:footnote w:id="8">
    <w:p w14:paraId="50C51B33" w14:textId="7EA15343" w:rsidR="00BA4FA1" w:rsidRPr="00111112" w:rsidRDefault="00BA4FA1">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Pr="00111112">
        <w:rPr>
          <w:rFonts w:ascii="Times New Roman" w:hAnsi="Times New Roman" w:cs="Times New Roman"/>
          <w:sz w:val="22"/>
        </w:rPr>
        <w:t xml:space="preserve"> </w:t>
      </w:r>
      <w:r w:rsidR="007356A6">
        <w:rPr>
          <w:rFonts w:ascii="Times New Roman" w:hAnsi="Times New Roman" w:cs="Times New Roman"/>
          <w:i/>
          <w:sz w:val="22"/>
        </w:rPr>
        <w:t>Ibid</w:t>
      </w:r>
      <w:r w:rsidR="006B490B">
        <w:rPr>
          <w:rFonts w:ascii="Times New Roman" w:hAnsi="Times New Roman" w:cs="Times New Roman"/>
          <w:sz w:val="22"/>
        </w:rPr>
        <w:t>,</w:t>
      </w:r>
      <w:r w:rsidR="00831E6A">
        <w:rPr>
          <w:rFonts w:ascii="Times New Roman" w:hAnsi="Times New Roman" w:cs="Times New Roman"/>
          <w:sz w:val="22"/>
        </w:rPr>
        <w:t xml:space="preserve"> p.229</w:t>
      </w:r>
      <w:r w:rsidRPr="00111112">
        <w:rPr>
          <w:rFonts w:ascii="Times New Roman" w:hAnsi="Times New Roman" w:cs="Times New Roman"/>
          <w:sz w:val="22"/>
        </w:rPr>
        <w:t xml:space="preserve">. </w:t>
      </w:r>
    </w:p>
  </w:footnote>
  <w:footnote w:id="9">
    <w:p w14:paraId="34B14520" w14:textId="20E96F6D" w:rsidR="00D20CDF" w:rsidRPr="00111112" w:rsidRDefault="00D20CDF">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007356A6">
        <w:rPr>
          <w:rFonts w:ascii="Times New Roman" w:hAnsi="Times New Roman" w:cs="Times New Roman"/>
          <w:sz w:val="22"/>
        </w:rPr>
        <w:t xml:space="preserve"> </w:t>
      </w:r>
      <w:proofErr w:type="spellStart"/>
      <w:r w:rsidR="007356A6">
        <w:rPr>
          <w:rFonts w:ascii="Times New Roman" w:hAnsi="Times New Roman" w:cs="Times New Roman"/>
          <w:sz w:val="22"/>
        </w:rPr>
        <w:t>Bertelli</w:t>
      </w:r>
      <w:proofErr w:type="spellEnd"/>
      <w:r w:rsidR="007356A6">
        <w:rPr>
          <w:rFonts w:ascii="Times New Roman" w:hAnsi="Times New Roman" w:cs="Times New Roman"/>
          <w:sz w:val="22"/>
        </w:rPr>
        <w:t>, S.,</w:t>
      </w:r>
      <w:r w:rsidRPr="00111112">
        <w:rPr>
          <w:rFonts w:ascii="Times New Roman" w:hAnsi="Times New Roman" w:cs="Times New Roman"/>
          <w:sz w:val="22"/>
        </w:rPr>
        <w:t xml:space="preserve"> </w:t>
      </w:r>
      <w:r w:rsidR="007356A6">
        <w:rPr>
          <w:rFonts w:ascii="Times New Roman" w:hAnsi="Times New Roman" w:cs="Times New Roman"/>
          <w:i/>
          <w:sz w:val="22"/>
        </w:rPr>
        <w:t xml:space="preserve">The King’s Body: Sacred Rituals of Power in Medieval and Early Modern Europe, </w:t>
      </w:r>
      <w:r w:rsidR="007356A6">
        <w:rPr>
          <w:rFonts w:ascii="Times New Roman" w:hAnsi="Times New Roman" w:cs="Times New Roman"/>
          <w:sz w:val="22"/>
        </w:rPr>
        <w:t>translated by R. Burr Litchfield (Pennsylvania: The Pennsylvania State University Press, 2001)</w:t>
      </w:r>
      <w:r w:rsidR="007356A6">
        <w:rPr>
          <w:rFonts w:ascii="Times New Roman" w:hAnsi="Times New Roman" w:cs="Times New Roman"/>
          <w:i/>
          <w:sz w:val="22"/>
        </w:rPr>
        <w:t xml:space="preserve"> </w:t>
      </w:r>
      <w:r w:rsidRPr="00111112">
        <w:rPr>
          <w:rFonts w:ascii="Times New Roman" w:hAnsi="Times New Roman" w:cs="Times New Roman"/>
          <w:sz w:val="22"/>
        </w:rPr>
        <w:t xml:space="preserve">p.223. </w:t>
      </w:r>
    </w:p>
  </w:footnote>
  <w:footnote w:id="10">
    <w:p w14:paraId="24A21988" w14:textId="5BE838C4" w:rsidR="008E51AA" w:rsidRPr="00111112" w:rsidRDefault="00D20CDF" w:rsidP="008E51AA">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008E51AA">
        <w:rPr>
          <w:rFonts w:ascii="Times New Roman" w:hAnsi="Times New Roman" w:cs="Times New Roman"/>
          <w:sz w:val="22"/>
        </w:rPr>
        <w:t xml:space="preserve"> </w:t>
      </w:r>
      <w:proofErr w:type="spellStart"/>
      <w:r w:rsidR="008E51AA">
        <w:rPr>
          <w:rFonts w:ascii="Times New Roman" w:hAnsi="Times New Roman" w:cs="Times New Roman"/>
          <w:sz w:val="22"/>
        </w:rPr>
        <w:t>Krén</w:t>
      </w:r>
      <w:proofErr w:type="spellEnd"/>
      <w:r w:rsidR="008E51AA">
        <w:rPr>
          <w:rFonts w:ascii="Times New Roman" w:hAnsi="Times New Roman" w:cs="Times New Roman"/>
          <w:sz w:val="22"/>
        </w:rPr>
        <w:t xml:space="preserve"> and Marx, ‘Tomb of Henry </w:t>
      </w:r>
      <w:proofErr w:type="spellStart"/>
      <w:r w:rsidR="008E51AA">
        <w:rPr>
          <w:rFonts w:ascii="Times New Roman" w:hAnsi="Times New Roman" w:cs="Times New Roman"/>
          <w:sz w:val="22"/>
        </w:rPr>
        <w:t>Chichele</w:t>
      </w:r>
      <w:proofErr w:type="spellEnd"/>
      <w:r w:rsidR="008E51AA">
        <w:rPr>
          <w:rFonts w:ascii="Times New Roman" w:hAnsi="Times New Roman" w:cs="Times New Roman"/>
          <w:sz w:val="22"/>
        </w:rPr>
        <w:t xml:space="preserve">, Archbishop of Canterbury’. Available at </w:t>
      </w:r>
      <w:hyperlink r:id="rId4" w:history="1">
        <w:r w:rsidR="008E51AA" w:rsidRPr="00111112">
          <w:rPr>
            <w:rStyle w:val="Hyperlink"/>
            <w:rFonts w:ascii="Times New Roman" w:hAnsi="Times New Roman" w:cs="Times New Roman"/>
            <w:sz w:val="22"/>
          </w:rPr>
          <w:t>https://www.wga.hu/frames-e.html?/html/m/master/yunk_en/tombchic.html</w:t>
        </w:r>
      </w:hyperlink>
      <w:r w:rsidR="008E51AA" w:rsidRPr="002A106F">
        <w:rPr>
          <w:rFonts w:ascii="Times New Roman" w:hAnsi="Times New Roman" w:cs="Times New Roman"/>
          <w:sz w:val="22"/>
        </w:rPr>
        <w:t xml:space="preserve"> </w:t>
      </w:r>
      <w:r w:rsidR="008E51AA">
        <w:rPr>
          <w:rFonts w:ascii="Times New Roman" w:hAnsi="Times New Roman" w:cs="Times New Roman"/>
          <w:sz w:val="22"/>
        </w:rPr>
        <w:t>[accessed 22/11/2017].</w:t>
      </w:r>
      <w:r w:rsidR="008E51AA" w:rsidRPr="00111112">
        <w:rPr>
          <w:rFonts w:ascii="Times New Roman" w:hAnsi="Times New Roman" w:cs="Times New Roman"/>
          <w:sz w:val="22"/>
        </w:rPr>
        <w:t xml:space="preserve"> </w:t>
      </w:r>
    </w:p>
    <w:p w14:paraId="0FB5AF0D" w14:textId="372BC144" w:rsidR="00D20CDF" w:rsidRPr="00111112" w:rsidRDefault="00D20CDF">
      <w:pPr>
        <w:pStyle w:val="FootnoteText"/>
        <w:rPr>
          <w:rFonts w:ascii="Times New Roman" w:hAnsi="Times New Roman" w:cs="Times New Roman"/>
          <w:sz w:val="22"/>
        </w:rPr>
      </w:pPr>
    </w:p>
  </w:footnote>
  <w:footnote w:id="11">
    <w:p w14:paraId="480931B5" w14:textId="67B56C2E" w:rsidR="008E4107" w:rsidRPr="00111112" w:rsidRDefault="008E4107">
      <w:pPr>
        <w:pStyle w:val="FootnoteText"/>
        <w:rPr>
          <w:rFonts w:ascii="Times New Roman" w:hAnsi="Times New Roman" w:cs="Times New Roman"/>
          <w:sz w:val="22"/>
        </w:rPr>
      </w:pPr>
      <w:r w:rsidRPr="00111112">
        <w:rPr>
          <w:rStyle w:val="FootnoteReference"/>
          <w:rFonts w:ascii="Times New Roman" w:hAnsi="Times New Roman" w:cs="Times New Roman"/>
          <w:sz w:val="22"/>
        </w:rPr>
        <w:footnoteRef/>
      </w:r>
      <w:r w:rsidRPr="00111112">
        <w:rPr>
          <w:rFonts w:ascii="Times New Roman" w:hAnsi="Times New Roman" w:cs="Times New Roman"/>
          <w:sz w:val="22"/>
        </w:rPr>
        <w:t xml:space="preserve"> </w:t>
      </w:r>
      <w:r w:rsidR="00D75F68">
        <w:rPr>
          <w:rFonts w:ascii="Times New Roman" w:hAnsi="Times New Roman" w:cs="Times New Roman"/>
          <w:sz w:val="22"/>
        </w:rPr>
        <w:t xml:space="preserve">T., Brink, ‘The double tomb monument to </w:t>
      </w:r>
      <w:proofErr w:type="spellStart"/>
      <w:r w:rsidR="00D75F68">
        <w:rPr>
          <w:rFonts w:ascii="Times New Roman" w:hAnsi="Times New Roman" w:cs="Times New Roman"/>
          <w:sz w:val="22"/>
        </w:rPr>
        <w:t>Reinoud</w:t>
      </w:r>
      <w:proofErr w:type="spellEnd"/>
      <w:r w:rsidR="00D75F68">
        <w:rPr>
          <w:rFonts w:ascii="Times New Roman" w:hAnsi="Times New Roman" w:cs="Times New Roman"/>
          <w:sz w:val="22"/>
        </w:rPr>
        <w:t xml:space="preserve"> III van </w:t>
      </w:r>
      <w:proofErr w:type="spellStart"/>
      <w:r w:rsidR="00D75F68">
        <w:rPr>
          <w:rFonts w:ascii="Times New Roman" w:hAnsi="Times New Roman" w:cs="Times New Roman"/>
          <w:sz w:val="22"/>
        </w:rPr>
        <w:t>Brederode</w:t>
      </w:r>
      <w:proofErr w:type="spellEnd"/>
      <w:r w:rsidR="00D75F68">
        <w:rPr>
          <w:rFonts w:ascii="Times New Roman" w:hAnsi="Times New Roman" w:cs="Times New Roman"/>
          <w:sz w:val="22"/>
        </w:rPr>
        <w:t xml:space="preserve"> (d. 1556) </w:t>
      </w:r>
      <w:proofErr w:type="gramStart"/>
      <w:r w:rsidR="00D75F68">
        <w:rPr>
          <w:rFonts w:ascii="Times New Roman" w:hAnsi="Times New Roman" w:cs="Times New Roman"/>
          <w:sz w:val="22"/>
        </w:rPr>
        <w:t xml:space="preserve">and  </w:t>
      </w:r>
      <w:proofErr w:type="spellStart"/>
      <w:r w:rsidR="00D75F68">
        <w:rPr>
          <w:rFonts w:ascii="Times New Roman" w:hAnsi="Times New Roman" w:cs="Times New Roman"/>
          <w:sz w:val="22"/>
        </w:rPr>
        <w:t>Philippote</w:t>
      </w:r>
      <w:proofErr w:type="spellEnd"/>
      <w:proofErr w:type="gramEnd"/>
      <w:r w:rsidR="00D75F68">
        <w:rPr>
          <w:rFonts w:ascii="Times New Roman" w:hAnsi="Times New Roman" w:cs="Times New Roman"/>
          <w:sz w:val="22"/>
        </w:rPr>
        <w:t xml:space="preserve"> van der </w:t>
      </w:r>
      <w:proofErr w:type="spellStart"/>
      <w:r w:rsidR="00D75F68">
        <w:rPr>
          <w:rFonts w:ascii="Times New Roman" w:hAnsi="Times New Roman" w:cs="Times New Roman"/>
          <w:sz w:val="22"/>
        </w:rPr>
        <w:t>Marck</w:t>
      </w:r>
      <w:proofErr w:type="spellEnd"/>
      <w:r w:rsidR="00D75F68">
        <w:rPr>
          <w:rFonts w:ascii="Times New Roman" w:hAnsi="Times New Roman" w:cs="Times New Roman"/>
          <w:sz w:val="22"/>
        </w:rPr>
        <w:t xml:space="preserve"> (d. 1537) in </w:t>
      </w:r>
      <w:proofErr w:type="spellStart"/>
      <w:r w:rsidR="00D75F68">
        <w:rPr>
          <w:rFonts w:ascii="Times New Roman" w:hAnsi="Times New Roman" w:cs="Times New Roman"/>
          <w:sz w:val="22"/>
        </w:rPr>
        <w:t>Vianen</w:t>
      </w:r>
      <w:proofErr w:type="spellEnd"/>
      <w:r w:rsidR="00D75F68">
        <w:rPr>
          <w:rFonts w:ascii="Times New Roman" w:hAnsi="Times New Roman" w:cs="Times New Roman"/>
          <w:sz w:val="22"/>
        </w:rPr>
        <w:t xml:space="preserve"> (Netherlands)’, </w:t>
      </w:r>
      <w:r w:rsidR="00D75F68">
        <w:rPr>
          <w:rFonts w:ascii="Times New Roman" w:hAnsi="Times New Roman" w:cs="Times New Roman"/>
          <w:i/>
          <w:sz w:val="22"/>
        </w:rPr>
        <w:t xml:space="preserve">Church Monument Society </w:t>
      </w:r>
      <w:r w:rsidR="00D75F68">
        <w:rPr>
          <w:rFonts w:ascii="Times New Roman" w:hAnsi="Times New Roman" w:cs="Times New Roman"/>
          <w:sz w:val="22"/>
        </w:rPr>
        <w:t xml:space="preserve">(London: Church Monuments Society, 2012). Available at </w:t>
      </w:r>
      <w:hyperlink r:id="rId5" w:history="1">
        <w:r w:rsidRPr="00111112">
          <w:rPr>
            <w:rStyle w:val="Hyperlink"/>
            <w:rFonts w:ascii="Times New Roman" w:hAnsi="Times New Roman" w:cs="Times New Roman"/>
            <w:sz w:val="22"/>
          </w:rPr>
          <w:t>http://www.churchmonumentssociety.org/Monument%20of%20the%20Month%20Archive/2012-06.html</w:t>
        </w:r>
      </w:hyperlink>
      <w:r w:rsidRPr="00111112">
        <w:rPr>
          <w:rFonts w:ascii="Times New Roman" w:hAnsi="Times New Roman" w:cs="Times New Roman"/>
          <w:sz w:val="22"/>
        </w:rPr>
        <w:t xml:space="preserve"> </w:t>
      </w:r>
      <w:r w:rsidR="00D75F68">
        <w:rPr>
          <w:rFonts w:ascii="Times New Roman" w:hAnsi="Times New Roman" w:cs="Times New Roman"/>
          <w:sz w:val="22"/>
        </w:rPr>
        <w:t>[accessed 22/11/2017].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7787"/>
    <w:rsid w:val="000466A4"/>
    <w:rsid w:val="00111112"/>
    <w:rsid w:val="00127995"/>
    <w:rsid w:val="001A667D"/>
    <w:rsid w:val="002615F8"/>
    <w:rsid w:val="002C328F"/>
    <w:rsid w:val="002F77ED"/>
    <w:rsid w:val="003043C7"/>
    <w:rsid w:val="003D7787"/>
    <w:rsid w:val="00472375"/>
    <w:rsid w:val="004879E7"/>
    <w:rsid w:val="004A7BE5"/>
    <w:rsid w:val="004C7AF0"/>
    <w:rsid w:val="004E44FD"/>
    <w:rsid w:val="004F5B5F"/>
    <w:rsid w:val="00500D57"/>
    <w:rsid w:val="00517847"/>
    <w:rsid w:val="00553CD6"/>
    <w:rsid w:val="00556CD4"/>
    <w:rsid w:val="005E1AC9"/>
    <w:rsid w:val="005E57CB"/>
    <w:rsid w:val="006B490B"/>
    <w:rsid w:val="00734226"/>
    <w:rsid w:val="007356A6"/>
    <w:rsid w:val="00771895"/>
    <w:rsid w:val="007A71D3"/>
    <w:rsid w:val="00831E6A"/>
    <w:rsid w:val="00862EFE"/>
    <w:rsid w:val="008B092A"/>
    <w:rsid w:val="008D57B3"/>
    <w:rsid w:val="008E4107"/>
    <w:rsid w:val="008E51AA"/>
    <w:rsid w:val="00957CDD"/>
    <w:rsid w:val="0099249F"/>
    <w:rsid w:val="009B5FD2"/>
    <w:rsid w:val="009B6806"/>
    <w:rsid w:val="009C52DC"/>
    <w:rsid w:val="009E3E8E"/>
    <w:rsid w:val="00AB3F12"/>
    <w:rsid w:val="00AC7C25"/>
    <w:rsid w:val="00B02988"/>
    <w:rsid w:val="00B778E5"/>
    <w:rsid w:val="00BA4FA1"/>
    <w:rsid w:val="00BC7002"/>
    <w:rsid w:val="00C123D4"/>
    <w:rsid w:val="00D022A2"/>
    <w:rsid w:val="00D20CDF"/>
    <w:rsid w:val="00D75F68"/>
    <w:rsid w:val="00D96980"/>
    <w:rsid w:val="00E43C92"/>
    <w:rsid w:val="00E91BEA"/>
    <w:rsid w:val="00EA2C8B"/>
    <w:rsid w:val="00EA31A6"/>
    <w:rsid w:val="00F07CFC"/>
    <w:rsid w:val="00F44E04"/>
    <w:rsid w:val="00F968E7"/>
    <w:rsid w:val="00FB4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44DD52"/>
  <w15:chartTrackingRefBased/>
  <w15:docId w15:val="{CB14B469-9668-452A-A34A-695BD1692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72375"/>
    <w:pPr>
      <w:spacing w:after="0" w:line="240" w:lineRule="auto"/>
    </w:pPr>
    <w:rPr>
      <w:sz w:val="20"/>
      <w:szCs w:val="20"/>
    </w:rPr>
  </w:style>
  <w:style w:type="character" w:customStyle="1" w:styleId="FootnoteTextChar">
    <w:name w:val="Footnote Text Char"/>
    <w:basedOn w:val="DefaultParagraphFont"/>
    <w:link w:val="FootnoteText"/>
    <w:uiPriority w:val="99"/>
    <w:rsid w:val="00472375"/>
    <w:rPr>
      <w:sz w:val="20"/>
      <w:szCs w:val="20"/>
    </w:rPr>
  </w:style>
  <w:style w:type="character" w:styleId="FootnoteReference">
    <w:name w:val="footnote reference"/>
    <w:basedOn w:val="DefaultParagraphFont"/>
    <w:uiPriority w:val="99"/>
    <w:semiHidden/>
    <w:unhideWhenUsed/>
    <w:rsid w:val="00472375"/>
    <w:rPr>
      <w:vertAlign w:val="superscript"/>
    </w:rPr>
  </w:style>
  <w:style w:type="character" w:styleId="Hyperlink">
    <w:name w:val="Hyperlink"/>
    <w:basedOn w:val="DefaultParagraphFont"/>
    <w:uiPriority w:val="99"/>
    <w:unhideWhenUsed/>
    <w:rsid w:val="00472375"/>
    <w:rPr>
      <w:color w:val="0563C1" w:themeColor="hyperlink"/>
      <w:u w:val="single"/>
    </w:rPr>
  </w:style>
  <w:style w:type="character" w:customStyle="1" w:styleId="style5">
    <w:name w:val="style5"/>
    <w:basedOn w:val="DefaultParagraphFont"/>
    <w:rsid w:val="00F44E04"/>
  </w:style>
  <w:style w:type="character" w:styleId="CommentReference">
    <w:name w:val="annotation reference"/>
    <w:basedOn w:val="DefaultParagraphFont"/>
    <w:uiPriority w:val="99"/>
    <w:semiHidden/>
    <w:unhideWhenUsed/>
    <w:rsid w:val="00BC7002"/>
    <w:rPr>
      <w:sz w:val="16"/>
      <w:szCs w:val="16"/>
    </w:rPr>
  </w:style>
  <w:style w:type="paragraph" w:styleId="CommentText">
    <w:name w:val="annotation text"/>
    <w:basedOn w:val="Normal"/>
    <w:link w:val="CommentTextChar"/>
    <w:uiPriority w:val="99"/>
    <w:semiHidden/>
    <w:unhideWhenUsed/>
    <w:rsid w:val="00BC7002"/>
    <w:pPr>
      <w:spacing w:line="240" w:lineRule="auto"/>
    </w:pPr>
    <w:rPr>
      <w:sz w:val="20"/>
      <w:szCs w:val="20"/>
    </w:rPr>
  </w:style>
  <w:style w:type="character" w:customStyle="1" w:styleId="CommentTextChar">
    <w:name w:val="Comment Text Char"/>
    <w:basedOn w:val="DefaultParagraphFont"/>
    <w:link w:val="CommentText"/>
    <w:uiPriority w:val="99"/>
    <w:semiHidden/>
    <w:rsid w:val="00BC7002"/>
    <w:rPr>
      <w:sz w:val="20"/>
      <w:szCs w:val="20"/>
    </w:rPr>
  </w:style>
  <w:style w:type="paragraph" w:styleId="CommentSubject">
    <w:name w:val="annotation subject"/>
    <w:basedOn w:val="CommentText"/>
    <w:next w:val="CommentText"/>
    <w:link w:val="CommentSubjectChar"/>
    <w:uiPriority w:val="99"/>
    <w:semiHidden/>
    <w:unhideWhenUsed/>
    <w:rsid w:val="00BC7002"/>
    <w:rPr>
      <w:b/>
      <w:bCs/>
    </w:rPr>
  </w:style>
  <w:style w:type="character" w:customStyle="1" w:styleId="CommentSubjectChar">
    <w:name w:val="Comment Subject Char"/>
    <w:basedOn w:val="CommentTextChar"/>
    <w:link w:val="CommentSubject"/>
    <w:uiPriority w:val="99"/>
    <w:semiHidden/>
    <w:rsid w:val="00BC7002"/>
    <w:rPr>
      <w:b/>
      <w:bCs/>
      <w:sz w:val="20"/>
      <w:szCs w:val="20"/>
    </w:rPr>
  </w:style>
  <w:style w:type="paragraph" w:styleId="BalloonText">
    <w:name w:val="Balloon Text"/>
    <w:basedOn w:val="Normal"/>
    <w:link w:val="BalloonTextChar"/>
    <w:uiPriority w:val="99"/>
    <w:semiHidden/>
    <w:unhideWhenUsed/>
    <w:rsid w:val="00BC70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7002"/>
    <w:rPr>
      <w:rFonts w:ascii="Segoe UI" w:hAnsi="Segoe UI" w:cs="Segoe UI"/>
      <w:sz w:val="18"/>
      <w:szCs w:val="18"/>
    </w:rPr>
  </w:style>
  <w:style w:type="character" w:customStyle="1" w:styleId="style23">
    <w:name w:val="style23"/>
    <w:basedOn w:val="DefaultParagraphFont"/>
    <w:rsid w:val="00D75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lickr.com/photos/roelipilami/" TargetMode="External"/><Relationship Id="rId13" Type="http://schemas.openxmlformats.org/officeDocument/2006/relationships/image" Target="media/image4.gif"/><Relationship Id="rId18" Type="http://schemas.openxmlformats.org/officeDocument/2006/relationships/hyperlink" Target="https://www.wga.hu/frames-e.html?/html/m/master/yunk_en/tombchic.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churchmonumentssociety.org/Monument%20of%20the%20Month%20Archive/2012-06.html" TargetMode="External"/><Relationship Id="rId17" Type="http://schemas.openxmlformats.org/officeDocument/2006/relationships/hyperlink" Target="http://www.luminarium.org/encyclopedia/arundel7.htm" TargetMode="External"/><Relationship Id="rId2" Type="http://schemas.openxmlformats.org/officeDocument/2006/relationships/styles" Target="styles.xml"/><Relationship Id="rId16" Type="http://schemas.openxmlformats.org/officeDocument/2006/relationships/hyperlink" Target="https://www.atlasobscura.com/articles/danse-macabre-david-pumpkins-art-histo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www.flickr.com/photos/roelipilami/" TargetMode="External"/><Relationship Id="rId10" Type="http://schemas.openxmlformats.org/officeDocument/2006/relationships/hyperlink" Target="https://www.wga.hu/frames-e.html?/html/m/master/yunk_en/tombchic.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www.churchmonumentssociety.org/Monument%20of%20the%20Month%20Archive/2012-06.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atlasobscura.com/articles/danse-macabre-david-pumpkins-art-history" TargetMode="External"/><Relationship Id="rId2" Type="http://schemas.openxmlformats.org/officeDocument/2006/relationships/hyperlink" Target="https://www.wga.hu/frames-e.html?/html/m/master/yunk_en/tombchic.html" TargetMode="External"/><Relationship Id="rId1" Type="http://schemas.openxmlformats.org/officeDocument/2006/relationships/hyperlink" Target="http://www.luminarium.org/encyclopedia/arundel7.htm" TargetMode="External"/><Relationship Id="rId5" Type="http://schemas.openxmlformats.org/officeDocument/2006/relationships/hyperlink" Target="http://www.churchmonumentssociety.org/Monument%20of%20the%20Month%20Archive/2012-06.html" TargetMode="External"/><Relationship Id="rId4" Type="http://schemas.openxmlformats.org/officeDocument/2006/relationships/hyperlink" Target="https://www.wga.hu/frames-e.html?/html/m/master/yunk_en/tombchi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BCC15-8F82-4B62-B5D8-6B6B8D844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8</Pages>
  <Words>1492</Words>
  <Characters>8505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13</cp:revision>
  <dcterms:created xsi:type="dcterms:W3CDTF">2017-11-22T11:50:00Z</dcterms:created>
  <dcterms:modified xsi:type="dcterms:W3CDTF">2017-11-23T14:08:00Z</dcterms:modified>
</cp:coreProperties>
</file>