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D4289" w14:textId="77777777" w:rsidR="005F4138" w:rsidRPr="00E11F00" w:rsidRDefault="005F4138" w:rsidP="005F4138">
      <w:pPr>
        <w:suppressAutoHyphens w:val="0"/>
        <w:spacing w:after="160" w:line="259" w:lineRule="auto"/>
        <w:jc w:val="center"/>
      </w:pPr>
      <w:r w:rsidRPr="00E11F00">
        <w:rPr>
          <w:noProof/>
          <w:lang w:bidi="bn-BD"/>
        </w:rPr>
        <w:drawing>
          <wp:anchor distT="0" distB="0" distL="114300" distR="114300" simplePos="0" relativeHeight="251658240" behindDoc="0" locked="0" layoutInCell="1" allowOverlap="1" wp14:anchorId="3A8AA256" wp14:editId="2A5F048D">
            <wp:simplePos x="0" y="0"/>
            <wp:positionH relativeFrom="column">
              <wp:posOffset>-273050</wp:posOffset>
            </wp:positionH>
            <wp:positionV relativeFrom="paragraph">
              <wp:posOffset>0</wp:posOffset>
            </wp:positionV>
            <wp:extent cx="1455420" cy="4724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5420" cy="472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9E44E8" w14:textId="77777777" w:rsidR="005F4138" w:rsidRPr="00E11F00" w:rsidRDefault="005F4138" w:rsidP="005F4138">
      <w:pPr>
        <w:suppressAutoHyphens w:val="0"/>
        <w:spacing w:after="160" w:line="259" w:lineRule="auto"/>
        <w:jc w:val="center"/>
      </w:pPr>
    </w:p>
    <w:p w14:paraId="656BCAAF" w14:textId="77777777" w:rsidR="00B369B5" w:rsidRDefault="00B369B5" w:rsidP="00B369B5">
      <w:pPr>
        <w:jc w:val="center"/>
        <w:rPr>
          <w:b/>
          <w:bCs/>
        </w:rPr>
      </w:pPr>
    </w:p>
    <w:p w14:paraId="3B64BBBD" w14:textId="1A3E5C68" w:rsidR="00B369B5" w:rsidRPr="008C29F3" w:rsidRDefault="00B369B5" w:rsidP="00B369B5">
      <w:pPr>
        <w:jc w:val="center"/>
        <w:rPr>
          <w:rFonts w:ascii="Arial" w:hAnsi="Arial" w:cs="Arial"/>
          <w:b/>
          <w:bCs/>
        </w:rPr>
      </w:pPr>
      <w:r w:rsidRPr="008C29F3">
        <w:rPr>
          <w:rFonts w:ascii="Arial" w:hAnsi="Arial" w:cs="Arial"/>
          <w:b/>
          <w:bCs/>
        </w:rPr>
        <w:t>Programme Name: BA (Hons) Leadership and Management Skills in the Workplace</w:t>
      </w:r>
    </w:p>
    <w:p w14:paraId="22831F66" w14:textId="5CFEC938" w:rsidR="00B369B5" w:rsidRPr="008C29F3" w:rsidRDefault="00B369B5" w:rsidP="00B369B5">
      <w:pPr>
        <w:jc w:val="center"/>
        <w:rPr>
          <w:rFonts w:ascii="Arial" w:hAnsi="Arial" w:cs="Arial"/>
          <w:b/>
          <w:bCs/>
        </w:rPr>
      </w:pPr>
      <w:r w:rsidRPr="008C29F3">
        <w:rPr>
          <w:rFonts w:ascii="Arial" w:hAnsi="Arial" w:cs="Arial"/>
          <w:b/>
          <w:bCs/>
        </w:rPr>
        <w:t xml:space="preserve">Module Name: </w:t>
      </w:r>
      <w:r w:rsidR="004D1680" w:rsidRPr="008C29F3">
        <w:rPr>
          <w:rFonts w:ascii="Arial" w:hAnsi="Arial" w:cs="Arial"/>
          <w:b/>
          <w:bCs/>
        </w:rPr>
        <w:t>Organisational Culture</w:t>
      </w:r>
    </w:p>
    <w:p w14:paraId="1B584873" w14:textId="324187C7" w:rsidR="00B369B5" w:rsidRPr="008C29F3" w:rsidRDefault="00B369B5" w:rsidP="00B369B5">
      <w:pPr>
        <w:jc w:val="center"/>
        <w:rPr>
          <w:rFonts w:ascii="Arial" w:hAnsi="Arial" w:cs="Arial"/>
          <w:b/>
          <w:bCs/>
        </w:rPr>
      </w:pPr>
      <w:r w:rsidRPr="008C29F3">
        <w:rPr>
          <w:rFonts w:ascii="Arial" w:hAnsi="Arial" w:cs="Arial"/>
          <w:b/>
          <w:bCs/>
        </w:rPr>
        <w:t>Module code: LCLM500</w:t>
      </w:r>
      <w:r w:rsidR="004D1680" w:rsidRPr="008C29F3">
        <w:rPr>
          <w:rFonts w:ascii="Arial" w:hAnsi="Arial" w:cs="Arial"/>
          <w:b/>
          <w:bCs/>
        </w:rPr>
        <w:t>5</w:t>
      </w:r>
      <w:r w:rsidRPr="008C29F3">
        <w:rPr>
          <w:rFonts w:ascii="Arial" w:hAnsi="Arial" w:cs="Arial"/>
          <w:b/>
          <w:bCs/>
        </w:rPr>
        <w:t>_LON</w:t>
      </w:r>
    </w:p>
    <w:p w14:paraId="56C64887" w14:textId="42280BE5" w:rsidR="005F4138" w:rsidRPr="008C29F3" w:rsidRDefault="00B369B5" w:rsidP="00B369B5">
      <w:pPr>
        <w:suppressAutoHyphens w:val="0"/>
        <w:spacing w:after="160" w:line="259" w:lineRule="auto"/>
        <w:jc w:val="center"/>
        <w:rPr>
          <w:rFonts w:ascii="Arial" w:hAnsi="Arial" w:cs="Arial"/>
        </w:rPr>
      </w:pPr>
      <w:r w:rsidRPr="008C29F3">
        <w:rPr>
          <w:rFonts w:ascii="Arial" w:hAnsi="Arial" w:cs="Arial"/>
          <w:b/>
          <w:bCs/>
        </w:rPr>
        <w:t xml:space="preserve">Lecturer: Dr </w:t>
      </w:r>
      <w:r w:rsidR="004D1680" w:rsidRPr="008C29F3">
        <w:rPr>
          <w:rFonts w:ascii="Arial" w:hAnsi="Arial" w:cs="Arial"/>
          <w:b/>
          <w:bCs/>
        </w:rPr>
        <w:t>Rame</w:t>
      </w:r>
      <w:r w:rsidR="00B34645" w:rsidRPr="008C29F3">
        <w:rPr>
          <w:rFonts w:ascii="Arial" w:hAnsi="Arial" w:cs="Arial"/>
          <w:b/>
          <w:bCs/>
        </w:rPr>
        <w:t>ses Manalang</w:t>
      </w:r>
    </w:p>
    <w:p w14:paraId="50EBE51F" w14:textId="77777777" w:rsidR="005F4138" w:rsidRPr="00E11F00" w:rsidRDefault="005F4138" w:rsidP="005F4138">
      <w:pPr>
        <w:suppressAutoHyphens w:val="0"/>
        <w:spacing w:after="160" w:line="259" w:lineRule="auto"/>
        <w:jc w:val="center"/>
      </w:pPr>
    </w:p>
    <w:p w14:paraId="04C1AA7C" w14:textId="77777777" w:rsidR="005F4138" w:rsidRPr="00E11F00" w:rsidRDefault="005F4138" w:rsidP="005F4138">
      <w:pPr>
        <w:suppressAutoHyphens w:val="0"/>
        <w:spacing w:after="160" w:line="259" w:lineRule="auto"/>
        <w:jc w:val="center"/>
      </w:pPr>
    </w:p>
    <w:p w14:paraId="5AEF385E" w14:textId="77777777" w:rsidR="00F31B27" w:rsidRDefault="00F31B27" w:rsidP="003305C4">
      <w:pPr>
        <w:suppressAutoHyphens w:val="0"/>
        <w:spacing w:after="160" w:line="360" w:lineRule="auto"/>
        <w:jc w:val="center"/>
        <w:rPr>
          <w:rFonts w:ascii="Arial" w:hAnsi="Arial" w:cs="Arial"/>
          <w:b/>
          <w:bCs/>
          <w:sz w:val="40"/>
          <w:szCs w:val="40"/>
        </w:rPr>
      </w:pPr>
    </w:p>
    <w:p w14:paraId="3DF102F6" w14:textId="77777777" w:rsidR="00F31B27" w:rsidRDefault="00F31B27" w:rsidP="003305C4">
      <w:pPr>
        <w:suppressAutoHyphens w:val="0"/>
        <w:spacing w:after="160" w:line="360" w:lineRule="auto"/>
        <w:jc w:val="center"/>
        <w:rPr>
          <w:rFonts w:ascii="Arial" w:hAnsi="Arial" w:cs="Arial"/>
          <w:b/>
          <w:bCs/>
          <w:sz w:val="40"/>
          <w:szCs w:val="40"/>
        </w:rPr>
      </w:pPr>
    </w:p>
    <w:p w14:paraId="14B610D2" w14:textId="26524A16" w:rsidR="005F4138" w:rsidRDefault="005F4138" w:rsidP="003305C4">
      <w:pPr>
        <w:suppressAutoHyphens w:val="0"/>
        <w:spacing w:after="160" w:line="360" w:lineRule="auto"/>
        <w:jc w:val="center"/>
        <w:rPr>
          <w:rFonts w:ascii="Arial" w:hAnsi="Arial" w:cs="Arial"/>
          <w:b/>
          <w:bCs/>
          <w:sz w:val="40"/>
          <w:szCs w:val="40"/>
        </w:rPr>
      </w:pPr>
      <w:r w:rsidRPr="003305C4">
        <w:rPr>
          <w:rFonts w:ascii="Arial" w:hAnsi="Arial" w:cs="Arial"/>
          <w:b/>
          <w:bCs/>
          <w:sz w:val="40"/>
          <w:szCs w:val="40"/>
        </w:rPr>
        <w:t xml:space="preserve">Organisational Culture </w:t>
      </w:r>
      <w:r w:rsidR="00C94D02" w:rsidRPr="003305C4">
        <w:rPr>
          <w:rFonts w:ascii="Arial" w:hAnsi="Arial" w:cs="Arial"/>
          <w:b/>
          <w:bCs/>
          <w:sz w:val="40"/>
          <w:szCs w:val="40"/>
        </w:rPr>
        <w:t>of Toyota</w:t>
      </w:r>
    </w:p>
    <w:p w14:paraId="10AA4559" w14:textId="77777777" w:rsidR="003305C4" w:rsidRDefault="003305C4" w:rsidP="003305C4">
      <w:pPr>
        <w:suppressAutoHyphens w:val="0"/>
        <w:spacing w:after="160" w:line="360" w:lineRule="auto"/>
        <w:jc w:val="center"/>
        <w:rPr>
          <w:rFonts w:ascii="Arial" w:hAnsi="Arial" w:cs="Arial"/>
          <w:b/>
          <w:bCs/>
          <w:sz w:val="40"/>
          <w:szCs w:val="40"/>
        </w:rPr>
      </w:pPr>
    </w:p>
    <w:p w14:paraId="173F015F" w14:textId="77777777" w:rsidR="003305C4" w:rsidRDefault="003305C4" w:rsidP="003305C4">
      <w:pPr>
        <w:suppressAutoHyphens w:val="0"/>
        <w:spacing w:after="160" w:line="360" w:lineRule="auto"/>
        <w:jc w:val="center"/>
        <w:rPr>
          <w:rFonts w:ascii="Arial" w:hAnsi="Arial" w:cs="Arial"/>
          <w:b/>
          <w:bCs/>
          <w:sz w:val="40"/>
          <w:szCs w:val="40"/>
        </w:rPr>
      </w:pPr>
    </w:p>
    <w:p w14:paraId="0CA393E5" w14:textId="77777777" w:rsidR="003305C4" w:rsidRPr="008D3657" w:rsidRDefault="003305C4" w:rsidP="003305C4">
      <w:pPr>
        <w:jc w:val="center"/>
        <w:rPr>
          <w:b/>
          <w:bCs/>
        </w:rPr>
      </w:pPr>
      <w:r w:rsidRPr="008D3657">
        <w:rPr>
          <w:b/>
          <w:bCs/>
        </w:rPr>
        <w:t>Student Name: Cristina Graur</w:t>
      </w:r>
    </w:p>
    <w:p w14:paraId="7A6D6C6A" w14:textId="77777777" w:rsidR="003305C4" w:rsidRPr="008D3657" w:rsidRDefault="003305C4" w:rsidP="003305C4">
      <w:pPr>
        <w:jc w:val="center"/>
        <w:rPr>
          <w:b/>
          <w:bCs/>
        </w:rPr>
      </w:pPr>
      <w:r w:rsidRPr="008D3657">
        <w:rPr>
          <w:b/>
          <w:bCs/>
        </w:rPr>
        <w:t>Student ID: 2332971</w:t>
      </w:r>
    </w:p>
    <w:p w14:paraId="52E50F80" w14:textId="77777777" w:rsidR="003305C4" w:rsidRPr="008D3657" w:rsidRDefault="003305C4" w:rsidP="003305C4">
      <w:pPr>
        <w:jc w:val="center"/>
        <w:rPr>
          <w:b/>
          <w:bCs/>
          <w:sz w:val="32"/>
          <w:szCs w:val="32"/>
        </w:rPr>
      </w:pPr>
    </w:p>
    <w:p w14:paraId="3890780B" w14:textId="77777777" w:rsidR="003305C4" w:rsidRPr="008D3657" w:rsidRDefault="003305C4" w:rsidP="003305C4">
      <w:pPr>
        <w:jc w:val="center"/>
        <w:rPr>
          <w:b/>
          <w:bCs/>
          <w:sz w:val="32"/>
          <w:szCs w:val="32"/>
        </w:rPr>
      </w:pPr>
    </w:p>
    <w:p w14:paraId="195A0FF8" w14:textId="77777777" w:rsidR="003305C4" w:rsidRPr="008D3657" w:rsidRDefault="003305C4" w:rsidP="003305C4">
      <w:pPr>
        <w:jc w:val="center"/>
        <w:rPr>
          <w:b/>
          <w:bCs/>
          <w:sz w:val="32"/>
          <w:szCs w:val="32"/>
        </w:rPr>
      </w:pPr>
    </w:p>
    <w:p w14:paraId="2F236BFF" w14:textId="4BA95613" w:rsidR="003305C4" w:rsidRPr="008D3657" w:rsidRDefault="00F31B27" w:rsidP="003305C4">
      <w:pPr>
        <w:jc w:val="center"/>
        <w:rPr>
          <w:b/>
          <w:bCs/>
          <w:sz w:val="28"/>
          <w:szCs w:val="28"/>
        </w:rPr>
      </w:pPr>
      <w:r>
        <w:rPr>
          <w:b/>
          <w:bCs/>
          <w:sz w:val="28"/>
          <w:szCs w:val="28"/>
        </w:rPr>
        <w:t>April</w:t>
      </w:r>
      <w:r w:rsidR="003305C4" w:rsidRPr="008D3657">
        <w:rPr>
          <w:b/>
          <w:bCs/>
          <w:sz w:val="28"/>
          <w:szCs w:val="28"/>
        </w:rPr>
        <w:t xml:space="preserve"> </w:t>
      </w:r>
      <w:r>
        <w:rPr>
          <w:b/>
          <w:bCs/>
          <w:sz w:val="28"/>
          <w:szCs w:val="28"/>
        </w:rPr>
        <w:t>2026</w:t>
      </w:r>
    </w:p>
    <w:p w14:paraId="7E2AD96D" w14:textId="77777777" w:rsidR="003305C4" w:rsidRPr="003305C4" w:rsidRDefault="003305C4" w:rsidP="003305C4">
      <w:pPr>
        <w:suppressAutoHyphens w:val="0"/>
        <w:spacing w:after="160" w:line="360" w:lineRule="auto"/>
        <w:jc w:val="center"/>
        <w:rPr>
          <w:rFonts w:ascii="Arial" w:hAnsi="Arial" w:cs="Arial"/>
          <w:b/>
          <w:bCs/>
          <w:color w:val="5B9BD5" w:themeColor="accent1"/>
          <w:sz w:val="40"/>
          <w:szCs w:val="40"/>
          <w:lang w:bidi="bn-BD"/>
        </w:rPr>
      </w:pPr>
    </w:p>
    <w:sdt>
      <w:sdtPr>
        <w:rPr>
          <w:rFonts w:ascii="Times New Roman" w:eastAsia="Times New Roman" w:hAnsi="Times New Roman" w:cs="Times New Roman"/>
          <w:color w:val="auto"/>
          <w:sz w:val="24"/>
          <w:szCs w:val="20"/>
          <w:lang w:val="en-GB"/>
        </w:rPr>
        <w:id w:val="-806615228"/>
        <w:docPartObj>
          <w:docPartGallery w:val="Table of Contents"/>
          <w:docPartUnique/>
        </w:docPartObj>
      </w:sdtPr>
      <w:sdtEndPr>
        <w:rPr>
          <w:rFonts w:ascii="Arial" w:hAnsi="Arial" w:cs="Arial"/>
          <w:b/>
          <w:bCs/>
          <w:sz w:val="22"/>
          <w:szCs w:val="22"/>
        </w:rPr>
      </w:sdtEndPr>
      <w:sdtContent>
        <w:p w14:paraId="27AFFD7D" w14:textId="77777777" w:rsidR="005F4138" w:rsidRPr="005A1638" w:rsidRDefault="005F4138">
          <w:pPr>
            <w:pStyle w:val="TOCHeading"/>
            <w:rPr>
              <w:rFonts w:ascii="Arial" w:hAnsi="Arial" w:cs="Arial"/>
              <w:color w:val="auto"/>
              <w:lang w:val="en-GB"/>
            </w:rPr>
          </w:pPr>
          <w:r w:rsidRPr="0062395C">
            <w:rPr>
              <w:rFonts w:ascii="Arial" w:hAnsi="Arial" w:cs="Arial"/>
              <w:color w:val="auto"/>
              <w:sz w:val="28"/>
              <w:szCs w:val="28"/>
              <w:lang w:val="en-GB"/>
            </w:rPr>
            <w:t>Table of Contents</w:t>
          </w:r>
        </w:p>
        <w:p w14:paraId="259C7CE7" w14:textId="77777777" w:rsidR="005F4138" w:rsidRPr="005A1638" w:rsidRDefault="005F4138">
          <w:pPr>
            <w:pStyle w:val="TOC2"/>
            <w:tabs>
              <w:tab w:val="right" w:leader="dot" w:pos="9017"/>
            </w:tabs>
            <w:rPr>
              <w:rFonts w:ascii="Arial" w:eastAsiaTheme="minorEastAsia" w:hAnsi="Arial" w:cs="Arial"/>
              <w:sz w:val="22"/>
              <w:szCs w:val="22"/>
              <w:lang w:bidi="bn-BD"/>
            </w:rPr>
          </w:pPr>
          <w:r w:rsidRPr="005A1638">
            <w:rPr>
              <w:rFonts w:ascii="Arial" w:hAnsi="Arial" w:cs="Arial"/>
              <w:sz w:val="22"/>
              <w:szCs w:val="22"/>
            </w:rPr>
            <w:fldChar w:fldCharType="begin"/>
          </w:r>
          <w:r w:rsidRPr="005A1638">
            <w:rPr>
              <w:rFonts w:ascii="Arial" w:hAnsi="Arial" w:cs="Arial"/>
              <w:sz w:val="22"/>
              <w:szCs w:val="22"/>
            </w:rPr>
            <w:instrText xml:space="preserve"> TOC \o "1-3" \h \z \u </w:instrText>
          </w:r>
          <w:r w:rsidRPr="005A1638">
            <w:rPr>
              <w:rFonts w:ascii="Arial" w:hAnsi="Arial" w:cs="Arial"/>
              <w:sz w:val="22"/>
              <w:szCs w:val="22"/>
            </w:rPr>
            <w:fldChar w:fldCharType="separate"/>
          </w:r>
          <w:hyperlink w:anchor="_Toc226129644" w:history="1">
            <w:r w:rsidRPr="005A1638">
              <w:rPr>
                <w:rStyle w:val="Hyperlink"/>
                <w:rFonts w:ascii="Arial" w:hAnsi="Arial" w:cs="Arial"/>
                <w:sz w:val="22"/>
                <w:szCs w:val="22"/>
              </w:rPr>
              <w:t>1. Introduction</w:t>
            </w:r>
            <w:r w:rsidRPr="005A1638">
              <w:rPr>
                <w:rFonts w:ascii="Arial" w:hAnsi="Arial" w:cs="Arial"/>
                <w:webHidden/>
                <w:sz w:val="22"/>
                <w:szCs w:val="22"/>
              </w:rPr>
              <w:tab/>
            </w:r>
            <w:r w:rsidRPr="005A1638">
              <w:rPr>
                <w:rFonts w:ascii="Arial" w:hAnsi="Arial" w:cs="Arial"/>
                <w:webHidden/>
                <w:sz w:val="22"/>
                <w:szCs w:val="22"/>
              </w:rPr>
              <w:fldChar w:fldCharType="begin"/>
            </w:r>
            <w:r w:rsidRPr="005A1638">
              <w:rPr>
                <w:rFonts w:ascii="Arial" w:hAnsi="Arial" w:cs="Arial"/>
                <w:webHidden/>
                <w:sz w:val="22"/>
                <w:szCs w:val="22"/>
              </w:rPr>
              <w:instrText xml:space="preserve"> PAGEREF _Toc226129644 \h </w:instrText>
            </w:r>
            <w:r w:rsidRPr="005A1638">
              <w:rPr>
                <w:rFonts w:ascii="Arial" w:hAnsi="Arial" w:cs="Arial"/>
                <w:webHidden/>
                <w:sz w:val="22"/>
                <w:szCs w:val="22"/>
              </w:rPr>
            </w:r>
            <w:r w:rsidRPr="005A1638">
              <w:rPr>
                <w:rFonts w:ascii="Arial" w:hAnsi="Arial" w:cs="Arial"/>
                <w:webHidden/>
                <w:sz w:val="22"/>
                <w:szCs w:val="22"/>
              </w:rPr>
              <w:fldChar w:fldCharType="separate"/>
            </w:r>
            <w:r w:rsidRPr="005A1638">
              <w:rPr>
                <w:rFonts w:ascii="Arial" w:hAnsi="Arial" w:cs="Arial"/>
                <w:webHidden/>
                <w:sz w:val="22"/>
                <w:szCs w:val="22"/>
              </w:rPr>
              <w:t>4</w:t>
            </w:r>
            <w:r w:rsidRPr="005A1638">
              <w:rPr>
                <w:rFonts w:ascii="Arial" w:hAnsi="Arial" w:cs="Arial"/>
                <w:webHidden/>
                <w:sz w:val="22"/>
                <w:szCs w:val="22"/>
              </w:rPr>
              <w:fldChar w:fldCharType="end"/>
            </w:r>
          </w:hyperlink>
        </w:p>
        <w:p w14:paraId="7F70713F" w14:textId="5537981D" w:rsidR="005F4138" w:rsidRPr="005A1638" w:rsidRDefault="005F4138">
          <w:pPr>
            <w:pStyle w:val="TOC2"/>
            <w:tabs>
              <w:tab w:val="right" w:leader="dot" w:pos="9017"/>
            </w:tabs>
            <w:rPr>
              <w:rFonts w:ascii="Arial" w:eastAsiaTheme="minorEastAsia" w:hAnsi="Arial" w:cs="Arial"/>
              <w:sz w:val="22"/>
              <w:szCs w:val="22"/>
              <w:lang w:bidi="bn-BD"/>
            </w:rPr>
          </w:pPr>
          <w:hyperlink w:anchor="_Toc226129645" w:history="1">
            <w:r w:rsidRPr="005A1638">
              <w:rPr>
                <w:rStyle w:val="Hyperlink"/>
                <w:rFonts w:ascii="Arial" w:hAnsi="Arial" w:cs="Arial"/>
                <w:sz w:val="22"/>
                <w:szCs w:val="22"/>
              </w:rPr>
              <w:t>2. Organisational Culture of Toyota</w:t>
            </w:r>
            <w:r w:rsidRPr="005A1638">
              <w:rPr>
                <w:rFonts w:ascii="Arial" w:hAnsi="Arial" w:cs="Arial"/>
                <w:webHidden/>
                <w:sz w:val="22"/>
                <w:szCs w:val="22"/>
              </w:rPr>
              <w:tab/>
            </w:r>
            <w:r w:rsidR="003524B2">
              <w:rPr>
                <w:rFonts w:ascii="Arial" w:hAnsi="Arial" w:cs="Arial"/>
                <w:webHidden/>
                <w:sz w:val="22"/>
                <w:szCs w:val="22"/>
              </w:rPr>
              <w:t>4</w:t>
            </w:r>
          </w:hyperlink>
        </w:p>
        <w:p w14:paraId="17B57B18" w14:textId="5CFA7023" w:rsidR="005F4138" w:rsidRPr="005A1638" w:rsidRDefault="005F4138">
          <w:pPr>
            <w:pStyle w:val="TOC3"/>
            <w:tabs>
              <w:tab w:val="right" w:leader="dot" w:pos="9017"/>
            </w:tabs>
            <w:rPr>
              <w:rFonts w:ascii="Arial" w:eastAsiaTheme="minorEastAsia" w:hAnsi="Arial" w:cs="Arial"/>
              <w:sz w:val="22"/>
              <w:szCs w:val="22"/>
              <w:lang w:bidi="bn-BD"/>
            </w:rPr>
          </w:pPr>
          <w:hyperlink w:anchor="_Toc226129646" w:history="1">
            <w:r w:rsidRPr="005A1638">
              <w:rPr>
                <w:rStyle w:val="Hyperlink"/>
                <w:rFonts w:ascii="Arial" w:hAnsi="Arial" w:cs="Arial"/>
                <w:sz w:val="22"/>
                <w:szCs w:val="22"/>
              </w:rPr>
              <w:t>2.1 Nature of Toyota’s Organisational Culture</w:t>
            </w:r>
            <w:r w:rsidRPr="005A1638">
              <w:rPr>
                <w:rFonts w:ascii="Arial" w:hAnsi="Arial" w:cs="Arial"/>
                <w:webHidden/>
                <w:sz w:val="22"/>
                <w:szCs w:val="22"/>
              </w:rPr>
              <w:tab/>
            </w:r>
            <w:r w:rsidR="003524B2">
              <w:rPr>
                <w:rFonts w:ascii="Arial" w:hAnsi="Arial" w:cs="Arial"/>
                <w:webHidden/>
                <w:sz w:val="22"/>
                <w:szCs w:val="22"/>
              </w:rPr>
              <w:t>4</w:t>
            </w:r>
          </w:hyperlink>
        </w:p>
        <w:p w14:paraId="28400F47" w14:textId="77777777" w:rsidR="005F4138" w:rsidRPr="005A1638" w:rsidRDefault="005F4138">
          <w:pPr>
            <w:pStyle w:val="TOC3"/>
            <w:tabs>
              <w:tab w:val="right" w:leader="dot" w:pos="9017"/>
            </w:tabs>
            <w:rPr>
              <w:rFonts w:ascii="Arial" w:eastAsiaTheme="minorEastAsia" w:hAnsi="Arial" w:cs="Arial"/>
              <w:sz w:val="22"/>
              <w:szCs w:val="22"/>
              <w:lang w:bidi="bn-BD"/>
            </w:rPr>
          </w:pPr>
          <w:hyperlink w:anchor="_Toc226129647" w:history="1">
            <w:r w:rsidRPr="005A1638">
              <w:rPr>
                <w:rStyle w:val="Hyperlink"/>
                <w:rFonts w:ascii="Arial" w:hAnsi="Arial" w:cs="Arial"/>
                <w:sz w:val="22"/>
                <w:szCs w:val="22"/>
              </w:rPr>
              <w:t>2.2 Cultural Characteristics and Practices</w:t>
            </w:r>
            <w:r w:rsidRPr="005A1638">
              <w:rPr>
                <w:rFonts w:ascii="Arial" w:hAnsi="Arial" w:cs="Arial"/>
                <w:webHidden/>
                <w:sz w:val="22"/>
                <w:szCs w:val="22"/>
              </w:rPr>
              <w:tab/>
            </w:r>
            <w:r w:rsidRPr="005A1638">
              <w:rPr>
                <w:rFonts w:ascii="Arial" w:hAnsi="Arial" w:cs="Arial"/>
                <w:webHidden/>
                <w:sz w:val="22"/>
                <w:szCs w:val="22"/>
              </w:rPr>
              <w:fldChar w:fldCharType="begin"/>
            </w:r>
            <w:r w:rsidRPr="005A1638">
              <w:rPr>
                <w:rFonts w:ascii="Arial" w:hAnsi="Arial" w:cs="Arial"/>
                <w:webHidden/>
                <w:sz w:val="22"/>
                <w:szCs w:val="22"/>
              </w:rPr>
              <w:instrText xml:space="preserve"> PAGEREF _Toc226129647 \h </w:instrText>
            </w:r>
            <w:r w:rsidRPr="005A1638">
              <w:rPr>
                <w:rFonts w:ascii="Arial" w:hAnsi="Arial" w:cs="Arial"/>
                <w:webHidden/>
                <w:sz w:val="22"/>
                <w:szCs w:val="22"/>
              </w:rPr>
            </w:r>
            <w:r w:rsidRPr="005A1638">
              <w:rPr>
                <w:rFonts w:ascii="Arial" w:hAnsi="Arial" w:cs="Arial"/>
                <w:webHidden/>
                <w:sz w:val="22"/>
                <w:szCs w:val="22"/>
              </w:rPr>
              <w:fldChar w:fldCharType="separate"/>
            </w:r>
            <w:r w:rsidRPr="005A1638">
              <w:rPr>
                <w:rFonts w:ascii="Arial" w:hAnsi="Arial" w:cs="Arial"/>
                <w:webHidden/>
                <w:sz w:val="22"/>
                <w:szCs w:val="22"/>
              </w:rPr>
              <w:t>5</w:t>
            </w:r>
            <w:r w:rsidRPr="005A1638">
              <w:rPr>
                <w:rFonts w:ascii="Arial" w:hAnsi="Arial" w:cs="Arial"/>
                <w:webHidden/>
                <w:sz w:val="22"/>
                <w:szCs w:val="22"/>
              </w:rPr>
              <w:fldChar w:fldCharType="end"/>
            </w:r>
          </w:hyperlink>
        </w:p>
        <w:p w14:paraId="3C96DC2D" w14:textId="15B9EC97" w:rsidR="005F4138" w:rsidRPr="005A1638" w:rsidRDefault="005F4138">
          <w:pPr>
            <w:pStyle w:val="TOC3"/>
            <w:tabs>
              <w:tab w:val="right" w:leader="dot" w:pos="9017"/>
            </w:tabs>
            <w:rPr>
              <w:rFonts w:ascii="Arial" w:eastAsiaTheme="minorEastAsia" w:hAnsi="Arial" w:cs="Arial"/>
              <w:sz w:val="22"/>
              <w:szCs w:val="22"/>
              <w:lang w:bidi="bn-BD"/>
            </w:rPr>
          </w:pPr>
          <w:hyperlink w:anchor="_Toc226129648" w:history="1">
            <w:r w:rsidRPr="005A1638">
              <w:rPr>
                <w:rStyle w:val="Hyperlink"/>
                <w:rFonts w:ascii="Arial" w:hAnsi="Arial" w:cs="Arial"/>
                <w:sz w:val="22"/>
                <w:szCs w:val="22"/>
              </w:rPr>
              <w:t>2.3 Critical Evaluation</w:t>
            </w:r>
            <w:r w:rsidRPr="005A1638">
              <w:rPr>
                <w:rFonts w:ascii="Arial" w:hAnsi="Arial" w:cs="Arial"/>
                <w:webHidden/>
                <w:sz w:val="22"/>
                <w:szCs w:val="22"/>
              </w:rPr>
              <w:tab/>
            </w:r>
            <w:r w:rsidR="00AE6761">
              <w:rPr>
                <w:rFonts w:ascii="Arial" w:hAnsi="Arial" w:cs="Arial"/>
                <w:webHidden/>
                <w:sz w:val="22"/>
                <w:szCs w:val="22"/>
              </w:rPr>
              <w:t>5</w:t>
            </w:r>
          </w:hyperlink>
        </w:p>
        <w:p w14:paraId="02898BD5" w14:textId="408D3773" w:rsidR="005F4138" w:rsidRPr="005A1638" w:rsidRDefault="005F4138">
          <w:pPr>
            <w:pStyle w:val="TOC2"/>
            <w:tabs>
              <w:tab w:val="right" w:leader="dot" w:pos="9017"/>
            </w:tabs>
            <w:rPr>
              <w:rFonts w:ascii="Arial" w:eastAsiaTheme="minorEastAsia" w:hAnsi="Arial" w:cs="Arial"/>
              <w:sz w:val="22"/>
              <w:szCs w:val="22"/>
              <w:lang w:bidi="bn-BD"/>
            </w:rPr>
          </w:pPr>
          <w:hyperlink w:anchor="_Toc226129649" w:history="1">
            <w:r w:rsidRPr="005A1638">
              <w:rPr>
                <w:rStyle w:val="Hyperlink"/>
                <w:rFonts w:ascii="Arial" w:hAnsi="Arial" w:cs="Arial"/>
                <w:sz w:val="22"/>
                <w:szCs w:val="22"/>
              </w:rPr>
              <w:t>3. Influence of Culture on Structure and Decision-Making</w:t>
            </w:r>
            <w:r w:rsidRPr="005A1638">
              <w:rPr>
                <w:rFonts w:ascii="Arial" w:hAnsi="Arial" w:cs="Arial"/>
                <w:webHidden/>
                <w:sz w:val="22"/>
                <w:szCs w:val="22"/>
              </w:rPr>
              <w:tab/>
            </w:r>
            <w:r w:rsidR="00F5072A">
              <w:rPr>
                <w:rFonts w:ascii="Arial" w:hAnsi="Arial" w:cs="Arial"/>
                <w:webHidden/>
                <w:sz w:val="22"/>
                <w:szCs w:val="22"/>
              </w:rPr>
              <w:t>6</w:t>
            </w:r>
          </w:hyperlink>
        </w:p>
        <w:p w14:paraId="71C629EA" w14:textId="65C24E09" w:rsidR="005F4138" w:rsidRPr="005A1638" w:rsidRDefault="005F4138">
          <w:pPr>
            <w:pStyle w:val="TOC3"/>
            <w:tabs>
              <w:tab w:val="right" w:leader="dot" w:pos="9017"/>
            </w:tabs>
            <w:rPr>
              <w:rFonts w:ascii="Arial" w:eastAsiaTheme="minorEastAsia" w:hAnsi="Arial" w:cs="Arial"/>
              <w:sz w:val="22"/>
              <w:szCs w:val="22"/>
              <w:lang w:bidi="bn-BD"/>
            </w:rPr>
          </w:pPr>
          <w:hyperlink w:anchor="_Toc226129650" w:history="1">
            <w:r w:rsidRPr="005A1638">
              <w:rPr>
                <w:rStyle w:val="Hyperlink"/>
                <w:rFonts w:ascii="Arial" w:hAnsi="Arial" w:cs="Arial"/>
                <w:sz w:val="22"/>
                <w:szCs w:val="22"/>
              </w:rPr>
              <w:t>3.1 Organisational Structure Shaped by Culture</w:t>
            </w:r>
            <w:r w:rsidRPr="005A1638">
              <w:rPr>
                <w:rFonts w:ascii="Arial" w:hAnsi="Arial" w:cs="Arial"/>
                <w:webHidden/>
                <w:sz w:val="22"/>
                <w:szCs w:val="22"/>
              </w:rPr>
              <w:tab/>
            </w:r>
            <w:r w:rsidR="00F5072A">
              <w:rPr>
                <w:rFonts w:ascii="Arial" w:hAnsi="Arial" w:cs="Arial"/>
                <w:webHidden/>
                <w:sz w:val="22"/>
                <w:szCs w:val="22"/>
              </w:rPr>
              <w:t>6</w:t>
            </w:r>
          </w:hyperlink>
        </w:p>
        <w:p w14:paraId="5A42F769" w14:textId="1404A32C" w:rsidR="005F4138" w:rsidRPr="005A1638" w:rsidRDefault="005F4138">
          <w:pPr>
            <w:pStyle w:val="TOC3"/>
            <w:tabs>
              <w:tab w:val="right" w:leader="dot" w:pos="9017"/>
            </w:tabs>
            <w:rPr>
              <w:rFonts w:ascii="Arial" w:eastAsiaTheme="minorEastAsia" w:hAnsi="Arial" w:cs="Arial"/>
              <w:sz w:val="22"/>
              <w:szCs w:val="22"/>
              <w:lang w:bidi="bn-BD"/>
            </w:rPr>
          </w:pPr>
          <w:hyperlink w:anchor="_Toc226129651" w:history="1">
            <w:r w:rsidRPr="005A1638">
              <w:rPr>
                <w:rStyle w:val="Hyperlink"/>
                <w:rFonts w:ascii="Arial" w:hAnsi="Arial" w:cs="Arial"/>
                <w:sz w:val="22"/>
                <w:szCs w:val="22"/>
              </w:rPr>
              <w:t>3.2 Decision-Making Processes</w:t>
            </w:r>
            <w:r w:rsidRPr="005A1638">
              <w:rPr>
                <w:rFonts w:ascii="Arial" w:hAnsi="Arial" w:cs="Arial"/>
                <w:webHidden/>
                <w:sz w:val="22"/>
                <w:szCs w:val="22"/>
              </w:rPr>
              <w:tab/>
            </w:r>
            <w:r w:rsidR="004C7065">
              <w:rPr>
                <w:rFonts w:ascii="Arial" w:hAnsi="Arial" w:cs="Arial"/>
                <w:webHidden/>
                <w:sz w:val="22"/>
                <w:szCs w:val="22"/>
              </w:rPr>
              <w:t>6</w:t>
            </w:r>
          </w:hyperlink>
        </w:p>
        <w:p w14:paraId="561A5C39" w14:textId="0E3DE60D" w:rsidR="005F4138" w:rsidRPr="005A1638" w:rsidRDefault="005F4138">
          <w:pPr>
            <w:pStyle w:val="TOC3"/>
            <w:tabs>
              <w:tab w:val="right" w:leader="dot" w:pos="9017"/>
            </w:tabs>
            <w:rPr>
              <w:rFonts w:ascii="Arial" w:eastAsiaTheme="minorEastAsia" w:hAnsi="Arial" w:cs="Arial"/>
              <w:sz w:val="22"/>
              <w:szCs w:val="22"/>
              <w:lang w:bidi="bn-BD"/>
            </w:rPr>
          </w:pPr>
          <w:hyperlink w:anchor="_Toc226129652" w:history="1">
            <w:r w:rsidRPr="005A1638">
              <w:rPr>
                <w:rStyle w:val="Hyperlink"/>
                <w:rFonts w:ascii="Arial" w:hAnsi="Arial" w:cs="Arial"/>
                <w:sz w:val="22"/>
                <w:szCs w:val="22"/>
              </w:rPr>
              <w:t>3.3 Critical Analysis</w:t>
            </w:r>
            <w:r w:rsidRPr="005A1638">
              <w:rPr>
                <w:rFonts w:ascii="Arial" w:hAnsi="Arial" w:cs="Arial"/>
                <w:webHidden/>
                <w:sz w:val="22"/>
                <w:szCs w:val="22"/>
              </w:rPr>
              <w:tab/>
            </w:r>
            <w:r w:rsidR="004C7065">
              <w:rPr>
                <w:rFonts w:ascii="Arial" w:hAnsi="Arial" w:cs="Arial"/>
                <w:webHidden/>
                <w:sz w:val="22"/>
                <w:szCs w:val="22"/>
              </w:rPr>
              <w:t>6</w:t>
            </w:r>
          </w:hyperlink>
        </w:p>
        <w:p w14:paraId="4C50D1D2" w14:textId="6210FB2B" w:rsidR="005F4138" w:rsidRPr="005A1638" w:rsidRDefault="005F4138">
          <w:pPr>
            <w:pStyle w:val="TOC2"/>
            <w:tabs>
              <w:tab w:val="right" w:leader="dot" w:pos="9017"/>
            </w:tabs>
            <w:rPr>
              <w:rFonts w:ascii="Arial" w:eastAsiaTheme="minorEastAsia" w:hAnsi="Arial" w:cs="Arial"/>
              <w:sz w:val="22"/>
              <w:szCs w:val="22"/>
              <w:lang w:bidi="bn-BD"/>
            </w:rPr>
          </w:pPr>
          <w:hyperlink w:anchor="_Toc226129653" w:history="1">
            <w:r w:rsidRPr="005A1638">
              <w:rPr>
                <w:rStyle w:val="Hyperlink"/>
                <w:rFonts w:ascii="Arial" w:hAnsi="Arial" w:cs="Arial"/>
                <w:sz w:val="22"/>
                <w:szCs w:val="22"/>
              </w:rPr>
              <w:t>4. Application of Schein’s Model of Organisational Culture</w:t>
            </w:r>
            <w:r w:rsidRPr="005A1638">
              <w:rPr>
                <w:rFonts w:ascii="Arial" w:hAnsi="Arial" w:cs="Arial"/>
                <w:webHidden/>
                <w:sz w:val="22"/>
                <w:szCs w:val="22"/>
              </w:rPr>
              <w:tab/>
            </w:r>
            <w:r w:rsidR="004714AD">
              <w:rPr>
                <w:rFonts w:ascii="Arial" w:hAnsi="Arial" w:cs="Arial"/>
                <w:webHidden/>
                <w:sz w:val="22"/>
                <w:szCs w:val="22"/>
              </w:rPr>
              <w:t>7</w:t>
            </w:r>
          </w:hyperlink>
        </w:p>
        <w:p w14:paraId="538E3A55" w14:textId="1E9B9360" w:rsidR="005F4138" w:rsidRPr="005A1638" w:rsidRDefault="005F4138">
          <w:pPr>
            <w:pStyle w:val="TOC3"/>
            <w:tabs>
              <w:tab w:val="right" w:leader="dot" w:pos="9017"/>
            </w:tabs>
            <w:rPr>
              <w:rFonts w:ascii="Arial" w:eastAsiaTheme="minorEastAsia" w:hAnsi="Arial" w:cs="Arial"/>
              <w:sz w:val="22"/>
              <w:szCs w:val="22"/>
              <w:lang w:bidi="bn-BD"/>
            </w:rPr>
          </w:pPr>
          <w:hyperlink w:anchor="_Toc226129654" w:history="1">
            <w:r w:rsidRPr="005A1638">
              <w:rPr>
                <w:rStyle w:val="Hyperlink"/>
                <w:rFonts w:ascii="Arial" w:hAnsi="Arial" w:cs="Arial"/>
                <w:sz w:val="22"/>
                <w:szCs w:val="22"/>
              </w:rPr>
              <w:t>4.1 Overview of Schein’s Model</w:t>
            </w:r>
            <w:r w:rsidRPr="005A1638">
              <w:rPr>
                <w:rFonts w:ascii="Arial" w:hAnsi="Arial" w:cs="Arial"/>
                <w:webHidden/>
                <w:sz w:val="22"/>
                <w:szCs w:val="22"/>
              </w:rPr>
              <w:tab/>
            </w:r>
            <w:r w:rsidR="004714AD">
              <w:rPr>
                <w:rFonts w:ascii="Arial" w:hAnsi="Arial" w:cs="Arial"/>
                <w:webHidden/>
                <w:sz w:val="22"/>
                <w:szCs w:val="22"/>
              </w:rPr>
              <w:t>7</w:t>
            </w:r>
          </w:hyperlink>
        </w:p>
        <w:p w14:paraId="1260AEF1" w14:textId="0A7550C6" w:rsidR="005F4138" w:rsidRPr="005A1638" w:rsidRDefault="005F4138">
          <w:pPr>
            <w:pStyle w:val="TOC3"/>
            <w:tabs>
              <w:tab w:val="right" w:leader="dot" w:pos="9017"/>
            </w:tabs>
            <w:rPr>
              <w:rFonts w:ascii="Arial" w:eastAsiaTheme="minorEastAsia" w:hAnsi="Arial" w:cs="Arial"/>
              <w:sz w:val="22"/>
              <w:szCs w:val="22"/>
              <w:lang w:bidi="bn-BD"/>
            </w:rPr>
          </w:pPr>
          <w:hyperlink w:anchor="_Toc226129655" w:history="1">
            <w:r w:rsidRPr="005A1638">
              <w:rPr>
                <w:rStyle w:val="Hyperlink"/>
                <w:rFonts w:ascii="Arial" w:hAnsi="Arial" w:cs="Arial"/>
                <w:sz w:val="22"/>
                <w:szCs w:val="22"/>
              </w:rPr>
              <w:t>4.2 Application to Toyota</w:t>
            </w:r>
            <w:r w:rsidRPr="005A1638">
              <w:rPr>
                <w:rFonts w:ascii="Arial" w:hAnsi="Arial" w:cs="Arial"/>
                <w:webHidden/>
                <w:sz w:val="22"/>
                <w:szCs w:val="22"/>
              </w:rPr>
              <w:tab/>
            </w:r>
            <w:r w:rsidR="004714AD">
              <w:rPr>
                <w:rFonts w:ascii="Arial" w:hAnsi="Arial" w:cs="Arial"/>
                <w:webHidden/>
                <w:sz w:val="22"/>
                <w:szCs w:val="22"/>
              </w:rPr>
              <w:t>7</w:t>
            </w:r>
          </w:hyperlink>
        </w:p>
        <w:p w14:paraId="222401C9" w14:textId="0F7EFE02" w:rsidR="005F4138" w:rsidRPr="005A1638" w:rsidRDefault="005F4138">
          <w:pPr>
            <w:pStyle w:val="TOC3"/>
            <w:tabs>
              <w:tab w:val="right" w:leader="dot" w:pos="9017"/>
            </w:tabs>
            <w:rPr>
              <w:rFonts w:ascii="Arial" w:eastAsiaTheme="minorEastAsia" w:hAnsi="Arial" w:cs="Arial"/>
              <w:sz w:val="22"/>
              <w:szCs w:val="22"/>
              <w:lang w:bidi="bn-BD"/>
            </w:rPr>
          </w:pPr>
          <w:hyperlink w:anchor="_Toc226129656" w:history="1">
            <w:r w:rsidRPr="005A1638">
              <w:rPr>
                <w:rStyle w:val="Hyperlink"/>
                <w:rFonts w:ascii="Arial" w:hAnsi="Arial" w:cs="Arial"/>
                <w:sz w:val="22"/>
                <w:szCs w:val="22"/>
              </w:rPr>
              <w:t>4.3 Critical Evaluation of the Model</w:t>
            </w:r>
            <w:r w:rsidRPr="005A1638">
              <w:rPr>
                <w:rFonts w:ascii="Arial" w:hAnsi="Arial" w:cs="Arial"/>
                <w:webHidden/>
                <w:sz w:val="22"/>
                <w:szCs w:val="22"/>
              </w:rPr>
              <w:tab/>
            </w:r>
            <w:r w:rsidR="009644EB">
              <w:rPr>
                <w:rFonts w:ascii="Arial" w:hAnsi="Arial" w:cs="Arial"/>
                <w:webHidden/>
                <w:sz w:val="22"/>
                <w:szCs w:val="22"/>
              </w:rPr>
              <w:t>8</w:t>
            </w:r>
          </w:hyperlink>
        </w:p>
        <w:p w14:paraId="5A653244" w14:textId="09824E8E" w:rsidR="005F4138" w:rsidRPr="005A1638" w:rsidRDefault="005F4138">
          <w:pPr>
            <w:pStyle w:val="TOC2"/>
            <w:tabs>
              <w:tab w:val="right" w:leader="dot" w:pos="9017"/>
            </w:tabs>
            <w:rPr>
              <w:rFonts w:ascii="Arial" w:eastAsiaTheme="minorEastAsia" w:hAnsi="Arial" w:cs="Arial"/>
              <w:sz w:val="22"/>
              <w:szCs w:val="22"/>
              <w:lang w:bidi="bn-BD"/>
            </w:rPr>
          </w:pPr>
          <w:hyperlink w:anchor="_Toc226129657" w:history="1">
            <w:r w:rsidRPr="005A1638">
              <w:rPr>
                <w:rStyle w:val="Hyperlink"/>
                <w:rFonts w:ascii="Arial" w:hAnsi="Arial" w:cs="Arial"/>
                <w:sz w:val="22"/>
                <w:szCs w:val="22"/>
              </w:rPr>
              <w:t>5. Organisational Culture and Adaptation to the External Environment</w:t>
            </w:r>
            <w:r w:rsidRPr="005A1638">
              <w:rPr>
                <w:rFonts w:ascii="Arial" w:hAnsi="Arial" w:cs="Arial"/>
                <w:webHidden/>
                <w:sz w:val="22"/>
                <w:szCs w:val="22"/>
              </w:rPr>
              <w:tab/>
            </w:r>
            <w:r w:rsidR="009E5711">
              <w:rPr>
                <w:rFonts w:ascii="Arial" w:hAnsi="Arial" w:cs="Arial"/>
                <w:webHidden/>
                <w:sz w:val="22"/>
                <w:szCs w:val="22"/>
              </w:rPr>
              <w:t>8</w:t>
            </w:r>
          </w:hyperlink>
        </w:p>
        <w:p w14:paraId="77464805" w14:textId="130DCEB6" w:rsidR="005F4138" w:rsidRPr="005A1638" w:rsidRDefault="005F4138">
          <w:pPr>
            <w:pStyle w:val="TOC3"/>
            <w:tabs>
              <w:tab w:val="right" w:leader="dot" w:pos="9017"/>
            </w:tabs>
            <w:rPr>
              <w:rFonts w:ascii="Arial" w:eastAsiaTheme="minorEastAsia" w:hAnsi="Arial" w:cs="Arial"/>
              <w:sz w:val="22"/>
              <w:szCs w:val="22"/>
              <w:lang w:bidi="bn-BD"/>
            </w:rPr>
          </w:pPr>
          <w:hyperlink w:anchor="_Toc226129658" w:history="1">
            <w:r w:rsidRPr="005A1638">
              <w:rPr>
                <w:rStyle w:val="Hyperlink"/>
                <w:rFonts w:ascii="Arial" w:hAnsi="Arial" w:cs="Arial"/>
                <w:sz w:val="22"/>
                <w:szCs w:val="22"/>
              </w:rPr>
              <w:t>5.1 External Pressures</w:t>
            </w:r>
            <w:r w:rsidRPr="005A1638">
              <w:rPr>
                <w:rFonts w:ascii="Arial" w:hAnsi="Arial" w:cs="Arial"/>
                <w:webHidden/>
                <w:sz w:val="22"/>
                <w:szCs w:val="22"/>
              </w:rPr>
              <w:tab/>
            </w:r>
            <w:r w:rsidR="0028166F">
              <w:rPr>
                <w:rFonts w:ascii="Arial" w:hAnsi="Arial" w:cs="Arial"/>
                <w:webHidden/>
                <w:sz w:val="22"/>
                <w:szCs w:val="22"/>
              </w:rPr>
              <w:t>8</w:t>
            </w:r>
          </w:hyperlink>
        </w:p>
        <w:p w14:paraId="5E45E88B" w14:textId="4296F45A" w:rsidR="005F4138" w:rsidRPr="005A1638" w:rsidRDefault="005F4138">
          <w:pPr>
            <w:pStyle w:val="TOC3"/>
            <w:tabs>
              <w:tab w:val="right" w:leader="dot" w:pos="9017"/>
            </w:tabs>
            <w:rPr>
              <w:rFonts w:ascii="Arial" w:eastAsiaTheme="minorEastAsia" w:hAnsi="Arial" w:cs="Arial"/>
              <w:sz w:val="22"/>
              <w:szCs w:val="22"/>
              <w:lang w:bidi="bn-BD"/>
            </w:rPr>
          </w:pPr>
          <w:hyperlink w:anchor="_Toc226129659" w:history="1">
            <w:r w:rsidRPr="005A1638">
              <w:rPr>
                <w:rStyle w:val="Hyperlink"/>
                <w:rFonts w:ascii="Arial" w:hAnsi="Arial" w:cs="Arial"/>
                <w:sz w:val="22"/>
                <w:szCs w:val="22"/>
              </w:rPr>
              <w:t>5.2 Cultural Response to External Changes</w:t>
            </w:r>
            <w:r w:rsidRPr="005A1638">
              <w:rPr>
                <w:rFonts w:ascii="Arial" w:hAnsi="Arial" w:cs="Arial"/>
                <w:webHidden/>
                <w:sz w:val="22"/>
                <w:szCs w:val="22"/>
              </w:rPr>
              <w:tab/>
            </w:r>
            <w:r w:rsidR="0028166F">
              <w:rPr>
                <w:rFonts w:ascii="Arial" w:hAnsi="Arial" w:cs="Arial"/>
                <w:webHidden/>
                <w:sz w:val="22"/>
                <w:szCs w:val="22"/>
              </w:rPr>
              <w:t>8</w:t>
            </w:r>
          </w:hyperlink>
        </w:p>
        <w:p w14:paraId="3AF6F8BC" w14:textId="2C91620E" w:rsidR="005F4138" w:rsidRPr="005A1638" w:rsidRDefault="005F4138">
          <w:pPr>
            <w:pStyle w:val="TOC3"/>
            <w:tabs>
              <w:tab w:val="right" w:leader="dot" w:pos="9017"/>
            </w:tabs>
            <w:rPr>
              <w:rFonts w:ascii="Arial" w:eastAsiaTheme="minorEastAsia" w:hAnsi="Arial" w:cs="Arial"/>
              <w:sz w:val="22"/>
              <w:szCs w:val="22"/>
              <w:lang w:bidi="bn-BD"/>
            </w:rPr>
          </w:pPr>
          <w:hyperlink w:anchor="_Toc226129660" w:history="1">
            <w:r w:rsidRPr="005A1638">
              <w:rPr>
                <w:rStyle w:val="Hyperlink"/>
                <w:rFonts w:ascii="Arial" w:hAnsi="Arial" w:cs="Arial"/>
                <w:sz w:val="22"/>
                <w:szCs w:val="22"/>
              </w:rPr>
              <w:t>5.3 Critical Evaluation</w:t>
            </w:r>
            <w:r w:rsidRPr="005A1638">
              <w:rPr>
                <w:rFonts w:ascii="Arial" w:hAnsi="Arial" w:cs="Arial"/>
                <w:webHidden/>
                <w:sz w:val="22"/>
                <w:szCs w:val="22"/>
              </w:rPr>
              <w:tab/>
            </w:r>
            <w:r w:rsidR="00304A81">
              <w:rPr>
                <w:rFonts w:ascii="Arial" w:hAnsi="Arial" w:cs="Arial"/>
                <w:webHidden/>
                <w:sz w:val="22"/>
                <w:szCs w:val="22"/>
              </w:rPr>
              <w:t>9</w:t>
            </w:r>
          </w:hyperlink>
        </w:p>
        <w:p w14:paraId="2FB10EC7" w14:textId="1717E697" w:rsidR="005F4138" w:rsidRPr="005A1638" w:rsidRDefault="005F4138">
          <w:pPr>
            <w:pStyle w:val="TOC2"/>
            <w:tabs>
              <w:tab w:val="right" w:leader="dot" w:pos="9017"/>
            </w:tabs>
            <w:rPr>
              <w:rFonts w:ascii="Arial" w:eastAsiaTheme="minorEastAsia" w:hAnsi="Arial" w:cs="Arial"/>
              <w:sz w:val="22"/>
              <w:szCs w:val="22"/>
              <w:lang w:bidi="bn-BD"/>
            </w:rPr>
          </w:pPr>
          <w:hyperlink w:anchor="_Toc226129661" w:history="1">
            <w:r w:rsidRPr="005A1638">
              <w:rPr>
                <w:rStyle w:val="Hyperlink"/>
                <w:rFonts w:ascii="Arial" w:hAnsi="Arial" w:cs="Arial"/>
                <w:sz w:val="22"/>
                <w:szCs w:val="22"/>
              </w:rPr>
              <w:t>6. Organisational Culture as an Enabler or Barrier</w:t>
            </w:r>
            <w:r w:rsidRPr="005A1638">
              <w:rPr>
                <w:rFonts w:ascii="Arial" w:hAnsi="Arial" w:cs="Arial"/>
                <w:webHidden/>
                <w:sz w:val="22"/>
                <w:szCs w:val="22"/>
              </w:rPr>
              <w:tab/>
            </w:r>
            <w:r w:rsidR="00304A81">
              <w:rPr>
                <w:rFonts w:ascii="Arial" w:hAnsi="Arial" w:cs="Arial"/>
                <w:webHidden/>
                <w:sz w:val="22"/>
                <w:szCs w:val="22"/>
              </w:rPr>
              <w:t>9</w:t>
            </w:r>
          </w:hyperlink>
        </w:p>
        <w:p w14:paraId="3690B0E6" w14:textId="191204DC" w:rsidR="005F4138" w:rsidRPr="005A1638" w:rsidRDefault="005F4138">
          <w:pPr>
            <w:pStyle w:val="TOC3"/>
            <w:tabs>
              <w:tab w:val="right" w:leader="dot" w:pos="9017"/>
            </w:tabs>
            <w:rPr>
              <w:rFonts w:ascii="Arial" w:eastAsiaTheme="minorEastAsia" w:hAnsi="Arial" w:cs="Arial"/>
              <w:sz w:val="22"/>
              <w:szCs w:val="22"/>
              <w:lang w:bidi="bn-BD"/>
            </w:rPr>
          </w:pPr>
          <w:hyperlink w:anchor="_Toc226129662" w:history="1">
            <w:r w:rsidRPr="005A1638">
              <w:rPr>
                <w:rStyle w:val="Hyperlink"/>
                <w:rFonts w:ascii="Arial" w:hAnsi="Arial" w:cs="Arial"/>
                <w:sz w:val="22"/>
                <w:szCs w:val="22"/>
              </w:rPr>
              <w:t>6.1 Culture as an Enabler</w:t>
            </w:r>
            <w:r w:rsidRPr="005A1638">
              <w:rPr>
                <w:rFonts w:ascii="Arial" w:hAnsi="Arial" w:cs="Arial"/>
                <w:webHidden/>
                <w:sz w:val="22"/>
                <w:szCs w:val="22"/>
              </w:rPr>
              <w:tab/>
            </w:r>
            <w:r w:rsidR="00304A81">
              <w:rPr>
                <w:rFonts w:ascii="Arial" w:hAnsi="Arial" w:cs="Arial"/>
                <w:webHidden/>
                <w:sz w:val="22"/>
                <w:szCs w:val="22"/>
              </w:rPr>
              <w:t>9</w:t>
            </w:r>
          </w:hyperlink>
        </w:p>
        <w:p w14:paraId="67DF41C4" w14:textId="3C228739" w:rsidR="005F4138" w:rsidRPr="005A1638" w:rsidRDefault="005F4138">
          <w:pPr>
            <w:pStyle w:val="TOC3"/>
            <w:tabs>
              <w:tab w:val="right" w:leader="dot" w:pos="9017"/>
            </w:tabs>
            <w:rPr>
              <w:rFonts w:ascii="Arial" w:eastAsiaTheme="minorEastAsia" w:hAnsi="Arial" w:cs="Arial"/>
              <w:sz w:val="22"/>
              <w:szCs w:val="22"/>
              <w:lang w:bidi="bn-BD"/>
            </w:rPr>
          </w:pPr>
          <w:hyperlink w:anchor="_Toc226129663" w:history="1">
            <w:r w:rsidRPr="005A1638">
              <w:rPr>
                <w:rStyle w:val="Hyperlink"/>
                <w:rFonts w:ascii="Arial" w:hAnsi="Arial" w:cs="Arial"/>
                <w:sz w:val="22"/>
                <w:szCs w:val="22"/>
              </w:rPr>
              <w:t>6.2 Culture as a Barrier</w:t>
            </w:r>
            <w:r w:rsidRPr="005A1638">
              <w:rPr>
                <w:rFonts w:ascii="Arial" w:hAnsi="Arial" w:cs="Arial"/>
                <w:webHidden/>
                <w:sz w:val="22"/>
                <w:szCs w:val="22"/>
              </w:rPr>
              <w:tab/>
            </w:r>
            <w:r w:rsidR="00304A81">
              <w:rPr>
                <w:rFonts w:ascii="Arial" w:hAnsi="Arial" w:cs="Arial"/>
                <w:webHidden/>
                <w:sz w:val="22"/>
                <w:szCs w:val="22"/>
              </w:rPr>
              <w:t>9</w:t>
            </w:r>
          </w:hyperlink>
        </w:p>
        <w:p w14:paraId="7AEAF0B7" w14:textId="0A435D2E" w:rsidR="005F4138" w:rsidRPr="005A1638" w:rsidRDefault="005F4138">
          <w:pPr>
            <w:pStyle w:val="TOC3"/>
            <w:tabs>
              <w:tab w:val="right" w:leader="dot" w:pos="9017"/>
            </w:tabs>
            <w:rPr>
              <w:rFonts w:ascii="Arial" w:eastAsiaTheme="minorEastAsia" w:hAnsi="Arial" w:cs="Arial"/>
              <w:sz w:val="22"/>
              <w:szCs w:val="22"/>
              <w:lang w:bidi="bn-BD"/>
            </w:rPr>
          </w:pPr>
          <w:hyperlink w:anchor="_Toc226129664" w:history="1">
            <w:r w:rsidRPr="005A1638">
              <w:rPr>
                <w:rStyle w:val="Hyperlink"/>
                <w:rFonts w:ascii="Arial" w:hAnsi="Arial" w:cs="Arial"/>
                <w:sz w:val="22"/>
                <w:szCs w:val="22"/>
              </w:rPr>
              <w:t>6.3 Critical Judgement</w:t>
            </w:r>
            <w:r w:rsidRPr="005A1638">
              <w:rPr>
                <w:rFonts w:ascii="Arial" w:hAnsi="Arial" w:cs="Arial"/>
                <w:webHidden/>
                <w:sz w:val="22"/>
                <w:szCs w:val="22"/>
              </w:rPr>
              <w:tab/>
            </w:r>
            <w:r w:rsidR="00304A81">
              <w:rPr>
                <w:rFonts w:ascii="Arial" w:hAnsi="Arial" w:cs="Arial"/>
                <w:webHidden/>
                <w:sz w:val="22"/>
                <w:szCs w:val="22"/>
              </w:rPr>
              <w:t>10</w:t>
            </w:r>
          </w:hyperlink>
        </w:p>
        <w:p w14:paraId="222187A1" w14:textId="52A63433" w:rsidR="005F4138" w:rsidRPr="005A1638" w:rsidRDefault="005F4138">
          <w:pPr>
            <w:pStyle w:val="TOC2"/>
            <w:tabs>
              <w:tab w:val="right" w:leader="dot" w:pos="9017"/>
            </w:tabs>
            <w:rPr>
              <w:rFonts w:ascii="Arial" w:eastAsiaTheme="minorEastAsia" w:hAnsi="Arial" w:cs="Arial"/>
              <w:sz w:val="22"/>
              <w:szCs w:val="22"/>
              <w:lang w:bidi="bn-BD"/>
            </w:rPr>
          </w:pPr>
          <w:hyperlink w:anchor="_Toc226129665" w:history="1">
            <w:r w:rsidRPr="005A1638">
              <w:rPr>
                <w:rStyle w:val="Hyperlink"/>
                <w:rFonts w:ascii="Arial" w:hAnsi="Arial" w:cs="Arial"/>
                <w:sz w:val="22"/>
                <w:szCs w:val="22"/>
              </w:rPr>
              <w:t>7. Impact of Organisational Culture on Performance and Recommendations</w:t>
            </w:r>
            <w:r w:rsidRPr="005A1638">
              <w:rPr>
                <w:rFonts w:ascii="Arial" w:hAnsi="Arial" w:cs="Arial"/>
                <w:webHidden/>
                <w:sz w:val="22"/>
                <w:szCs w:val="22"/>
              </w:rPr>
              <w:tab/>
            </w:r>
            <w:r w:rsidR="00304A81">
              <w:rPr>
                <w:rFonts w:ascii="Arial" w:hAnsi="Arial" w:cs="Arial"/>
                <w:webHidden/>
                <w:sz w:val="22"/>
                <w:szCs w:val="22"/>
              </w:rPr>
              <w:t>10</w:t>
            </w:r>
          </w:hyperlink>
        </w:p>
        <w:p w14:paraId="7B5CFBBC" w14:textId="4B09C831" w:rsidR="005F4138" w:rsidRPr="005A1638" w:rsidRDefault="005F4138">
          <w:pPr>
            <w:pStyle w:val="TOC3"/>
            <w:tabs>
              <w:tab w:val="right" w:leader="dot" w:pos="9017"/>
            </w:tabs>
            <w:rPr>
              <w:rFonts w:ascii="Arial" w:eastAsiaTheme="minorEastAsia" w:hAnsi="Arial" w:cs="Arial"/>
              <w:sz w:val="22"/>
              <w:szCs w:val="22"/>
              <w:lang w:bidi="bn-BD"/>
            </w:rPr>
          </w:pPr>
          <w:hyperlink w:anchor="_Toc226129666" w:history="1">
            <w:r w:rsidRPr="005A1638">
              <w:rPr>
                <w:rStyle w:val="Hyperlink"/>
                <w:rFonts w:ascii="Arial" w:hAnsi="Arial" w:cs="Arial"/>
                <w:sz w:val="22"/>
                <w:szCs w:val="22"/>
              </w:rPr>
              <w:t>7.1 Impact on Performance</w:t>
            </w:r>
            <w:r w:rsidRPr="005A1638">
              <w:rPr>
                <w:rFonts w:ascii="Arial" w:hAnsi="Arial" w:cs="Arial"/>
                <w:webHidden/>
                <w:sz w:val="22"/>
                <w:szCs w:val="22"/>
              </w:rPr>
              <w:tab/>
            </w:r>
            <w:r w:rsidR="00304A81">
              <w:rPr>
                <w:rFonts w:ascii="Arial" w:hAnsi="Arial" w:cs="Arial"/>
                <w:webHidden/>
                <w:sz w:val="22"/>
                <w:szCs w:val="22"/>
              </w:rPr>
              <w:t>10</w:t>
            </w:r>
          </w:hyperlink>
        </w:p>
        <w:p w14:paraId="393249BE" w14:textId="6B1D0D18" w:rsidR="005F4138" w:rsidRPr="005A1638" w:rsidRDefault="005F4138">
          <w:pPr>
            <w:pStyle w:val="TOC3"/>
            <w:tabs>
              <w:tab w:val="right" w:leader="dot" w:pos="9017"/>
            </w:tabs>
            <w:rPr>
              <w:rFonts w:ascii="Arial" w:eastAsiaTheme="minorEastAsia" w:hAnsi="Arial" w:cs="Arial"/>
              <w:sz w:val="22"/>
              <w:szCs w:val="22"/>
              <w:lang w:bidi="bn-BD"/>
            </w:rPr>
          </w:pPr>
          <w:hyperlink w:anchor="_Toc226129667" w:history="1">
            <w:r w:rsidRPr="005A1638">
              <w:rPr>
                <w:rStyle w:val="Hyperlink"/>
                <w:rFonts w:ascii="Arial" w:hAnsi="Arial" w:cs="Arial"/>
                <w:sz w:val="22"/>
                <w:szCs w:val="22"/>
              </w:rPr>
              <w:t>7.2 Critical Evaluation</w:t>
            </w:r>
            <w:r w:rsidRPr="005A1638">
              <w:rPr>
                <w:rFonts w:ascii="Arial" w:hAnsi="Arial" w:cs="Arial"/>
                <w:webHidden/>
                <w:sz w:val="22"/>
                <w:szCs w:val="22"/>
              </w:rPr>
              <w:tab/>
            </w:r>
            <w:r w:rsidR="00304A81">
              <w:rPr>
                <w:rFonts w:ascii="Arial" w:hAnsi="Arial" w:cs="Arial"/>
                <w:webHidden/>
                <w:sz w:val="22"/>
                <w:szCs w:val="22"/>
              </w:rPr>
              <w:t>10</w:t>
            </w:r>
          </w:hyperlink>
        </w:p>
        <w:p w14:paraId="5943CDF9" w14:textId="5701CA3F" w:rsidR="005F4138" w:rsidRPr="005A1638" w:rsidRDefault="005F4138">
          <w:pPr>
            <w:pStyle w:val="TOC3"/>
            <w:tabs>
              <w:tab w:val="right" w:leader="dot" w:pos="9017"/>
            </w:tabs>
            <w:rPr>
              <w:rFonts w:ascii="Arial" w:eastAsiaTheme="minorEastAsia" w:hAnsi="Arial" w:cs="Arial"/>
              <w:sz w:val="22"/>
              <w:szCs w:val="22"/>
              <w:lang w:bidi="bn-BD"/>
            </w:rPr>
          </w:pPr>
          <w:hyperlink w:anchor="_Toc226129668" w:history="1">
            <w:r w:rsidRPr="005A1638">
              <w:rPr>
                <w:rStyle w:val="Hyperlink"/>
                <w:rFonts w:ascii="Arial" w:hAnsi="Arial" w:cs="Arial"/>
                <w:sz w:val="22"/>
                <w:szCs w:val="22"/>
              </w:rPr>
              <w:t>7.3 Evidence-Based Recommendations</w:t>
            </w:r>
            <w:r w:rsidRPr="005A1638">
              <w:rPr>
                <w:rFonts w:ascii="Arial" w:hAnsi="Arial" w:cs="Arial"/>
                <w:webHidden/>
                <w:sz w:val="22"/>
                <w:szCs w:val="22"/>
              </w:rPr>
              <w:tab/>
            </w:r>
            <w:r w:rsidR="00304A81">
              <w:rPr>
                <w:rFonts w:ascii="Arial" w:hAnsi="Arial" w:cs="Arial"/>
                <w:webHidden/>
                <w:sz w:val="22"/>
                <w:szCs w:val="22"/>
              </w:rPr>
              <w:t>10</w:t>
            </w:r>
          </w:hyperlink>
        </w:p>
        <w:p w14:paraId="19419C08" w14:textId="08A16313" w:rsidR="005F4138" w:rsidRPr="005A1638" w:rsidRDefault="005F4138">
          <w:pPr>
            <w:pStyle w:val="TOC2"/>
            <w:tabs>
              <w:tab w:val="right" w:leader="dot" w:pos="9017"/>
            </w:tabs>
            <w:rPr>
              <w:rFonts w:ascii="Arial" w:eastAsiaTheme="minorEastAsia" w:hAnsi="Arial" w:cs="Arial"/>
              <w:sz w:val="22"/>
              <w:szCs w:val="22"/>
              <w:lang w:bidi="bn-BD"/>
            </w:rPr>
          </w:pPr>
          <w:hyperlink w:anchor="_Toc226129669" w:history="1">
            <w:r w:rsidRPr="005A1638">
              <w:rPr>
                <w:rStyle w:val="Hyperlink"/>
                <w:rFonts w:ascii="Arial" w:hAnsi="Arial" w:cs="Arial"/>
                <w:sz w:val="22"/>
                <w:szCs w:val="22"/>
              </w:rPr>
              <w:t>8. Conclusion</w:t>
            </w:r>
            <w:r w:rsidRPr="005A1638">
              <w:rPr>
                <w:rFonts w:ascii="Arial" w:hAnsi="Arial" w:cs="Arial"/>
                <w:webHidden/>
                <w:sz w:val="22"/>
                <w:szCs w:val="22"/>
              </w:rPr>
              <w:tab/>
            </w:r>
            <w:r w:rsidR="005B45DC">
              <w:rPr>
                <w:rFonts w:ascii="Arial" w:hAnsi="Arial" w:cs="Arial"/>
                <w:webHidden/>
                <w:sz w:val="22"/>
                <w:szCs w:val="22"/>
              </w:rPr>
              <w:t>11</w:t>
            </w:r>
          </w:hyperlink>
        </w:p>
        <w:p w14:paraId="050B98D4" w14:textId="72A09A4D" w:rsidR="005F4138" w:rsidRPr="005A1638" w:rsidRDefault="005F4138">
          <w:pPr>
            <w:pStyle w:val="TOC2"/>
            <w:tabs>
              <w:tab w:val="right" w:leader="dot" w:pos="9017"/>
            </w:tabs>
            <w:rPr>
              <w:rFonts w:ascii="Arial" w:eastAsiaTheme="minorEastAsia" w:hAnsi="Arial" w:cs="Arial"/>
              <w:sz w:val="22"/>
              <w:szCs w:val="22"/>
              <w:lang w:bidi="bn-BD"/>
            </w:rPr>
          </w:pPr>
          <w:hyperlink w:anchor="_Toc226129670" w:history="1">
            <w:r w:rsidRPr="005A1638">
              <w:rPr>
                <w:rStyle w:val="Hyperlink"/>
                <w:rFonts w:ascii="Arial" w:hAnsi="Arial" w:cs="Arial"/>
                <w:sz w:val="22"/>
                <w:szCs w:val="22"/>
              </w:rPr>
              <w:t>9. References</w:t>
            </w:r>
            <w:r w:rsidRPr="005A1638">
              <w:rPr>
                <w:rFonts w:ascii="Arial" w:hAnsi="Arial" w:cs="Arial"/>
                <w:webHidden/>
                <w:sz w:val="22"/>
                <w:szCs w:val="22"/>
              </w:rPr>
              <w:tab/>
            </w:r>
            <w:r w:rsidR="005B45DC">
              <w:rPr>
                <w:rFonts w:ascii="Arial" w:hAnsi="Arial" w:cs="Arial"/>
                <w:webHidden/>
                <w:sz w:val="22"/>
                <w:szCs w:val="22"/>
              </w:rPr>
              <w:t>12</w:t>
            </w:r>
          </w:hyperlink>
        </w:p>
        <w:p w14:paraId="28F2C027" w14:textId="77777777" w:rsidR="005F4138" w:rsidRPr="005A1638" w:rsidRDefault="005F4138">
          <w:pPr>
            <w:rPr>
              <w:rFonts w:ascii="Arial" w:hAnsi="Arial" w:cs="Arial"/>
              <w:sz w:val="22"/>
              <w:szCs w:val="22"/>
            </w:rPr>
          </w:pPr>
          <w:r w:rsidRPr="005A1638">
            <w:rPr>
              <w:rFonts w:ascii="Arial" w:hAnsi="Arial" w:cs="Arial"/>
              <w:b/>
              <w:bCs/>
              <w:sz w:val="22"/>
              <w:szCs w:val="22"/>
            </w:rPr>
            <w:fldChar w:fldCharType="end"/>
          </w:r>
        </w:p>
      </w:sdtContent>
    </w:sdt>
    <w:p w14:paraId="03C2686C" w14:textId="77777777" w:rsidR="005F4138" w:rsidRPr="00E11F00" w:rsidRDefault="005F4138">
      <w:pPr>
        <w:suppressAutoHyphens w:val="0"/>
        <w:spacing w:after="160" w:line="259" w:lineRule="auto"/>
        <w:jc w:val="left"/>
        <w:rPr>
          <w:rFonts w:cstheme="majorBidi"/>
          <w:b/>
          <w:bCs/>
          <w:color w:val="5B9BD5" w:themeColor="accent1"/>
          <w:sz w:val="32"/>
          <w:szCs w:val="26"/>
          <w:lang w:bidi="bn-BD"/>
        </w:rPr>
      </w:pPr>
      <w:r w:rsidRPr="00E11F00">
        <w:br w:type="page"/>
      </w:r>
    </w:p>
    <w:p w14:paraId="542C98F4" w14:textId="77777777" w:rsidR="005B4199" w:rsidRPr="005A1638" w:rsidRDefault="005B4199" w:rsidP="005F4138">
      <w:pPr>
        <w:pStyle w:val="Heading2"/>
        <w:spacing w:line="360" w:lineRule="auto"/>
        <w:rPr>
          <w:rFonts w:ascii="Arial" w:hAnsi="Arial" w:cs="Arial"/>
          <w:color w:val="auto"/>
          <w:sz w:val="28"/>
          <w:szCs w:val="28"/>
        </w:rPr>
      </w:pPr>
      <w:bookmarkStart w:id="0" w:name="_Toc226129644"/>
      <w:r w:rsidRPr="005A1638">
        <w:rPr>
          <w:rFonts w:ascii="Arial" w:eastAsia="Times New Roman" w:hAnsi="Arial" w:cs="Arial"/>
          <w:color w:val="auto"/>
          <w:sz w:val="28"/>
          <w:szCs w:val="28"/>
        </w:rPr>
        <w:lastRenderedPageBreak/>
        <w:t>1. Introduction</w:t>
      </w:r>
      <w:bookmarkEnd w:id="0"/>
    </w:p>
    <w:p w14:paraId="4DF49870" w14:textId="0C6FD5E8" w:rsidR="005B4199" w:rsidRPr="005A1638" w:rsidRDefault="005B4199" w:rsidP="005A1638">
      <w:pPr>
        <w:spacing w:line="360" w:lineRule="auto"/>
        <w:rPr>
          <w:rFonts w:ascii="Arial" w:hAnsi="Arial" w:cs="Arial"/>
          <w:sz w:val="22"/>
          <w:szCs w:val="22"/>
        </w:rPr>
      </w:pPr>
      <w:r w:rsidRPr="005A1638">
        <w:rPr>
          <w:rFonts w:ascii="Arial" w:hAnsi="Arial" w:cs="Arial"/>
          <w:sz w:val="22"/>
          <w:szCs w:val="22"/>
        </w:rPr>
        <w:t xml:space="preserve">Organisational culture is a crucial factor that defines the </w:t>
      </w:r>
      <w:r w:rsidR="00CC159B" w:rsidRPr="005A1638">
        <w:rPr>
          <w:rFonts w:ascii="Arial" w:hAnsi="Arial" w:cs="Arial"/>
          <w:sz w:val="22"/>
          <w:szCs w:val="22"/>
        </w:rPr>
        <w:t>way</w:t>
      </w:r>
      <w:r w:rsidRPr="005A1638">
        <w:rPr>
          <w:rFonts w:ascii="Arial" w:hAnsi="Arial" w:cs="Arial"/>
          <w:sz w:val="22"/>
          <w:szCs w:val="22"/>
        </w:rPr>
        <w:t xml:space="preserve"> multinational corporations can achieve strategic intent into operational results especially in competitive and technologically changing industries. In the automotive industry of the world, some companies like Toyota have a presence in over 170 countries and their companies have a revenue of more than 300 billion </w:t>
      </w:r>
      <w:r w:rsidR="00AF39A0">
        <w:rPr>
          <w:rFonts w:ascii="Arial" w:hAnsi="Arial" w:cs="Arial"/>
          <w:sz w:val="22"/>
          <w:szCs w:val="22"/>
        </w:rPr>
        <w:t xml:space="preserve">USD </w:t>
      </w:r>
      <w:r w:rsidRPr="005A1638">
        <w:rPr>
          <w:rFonts w:ascii="Arial" w:hAnsi="Arial" w:cs="Arial"/>
          <w:sz w:val="22"/>
          <w:szCs w:val="22"/>
        </w:rPr>
        <w:t>and also hire more than 375,000 people across the globe. This type of scale implies the existence of a strongly entrenched and cohesive organisational culture that can coordinate various operations with the focus on the same strategic goals. As recent literature shows, organisations that have good, adaptive cultures perform better than their competition by up to 2030 percent in productivity and profitability ratios (Zhang</w:t>
      </w:r>
      <w:r w:rsidR="00725598">
        <w:rPr>
          <w:rFonts w:ascii="Arial" w:hAnsi="Arial" w:cs="Arial"/>
          <w:sz w:val="22"/>
          <w:szCs w:val="22"/>
        </w:rPr>
        <w:t>, Chen and Liu</w:t>
      </w:r>
      <w:r w:rsidRPr="005A1638">
        <w:rPr>
          <w:rFonts w:ascii="Arial" w:hAnsi="Arial" w:cs="Arial"/>
          <w:sz w:val="22"/>
          <w:szCs w:val="22"/>
        </w:rPr>
        <w:t>, 2023).</w:t>
      </w:r>
    </w:p>
    <w:p w14:paraId="3B88EBB0" w14:textId="77777777" w:rsidR="005B4199" w:rsidRDefault="005B4199" w:rsidP="005A1638">
      <w:pPr>
        <w:spacing w:line="360" w:lineRule="auto"/>
        <w:rPr>
          <w:rFonts w:ascii="Arial" w:hAnsi="Arial" w:cs="Arial"/>
          <w:sz w:val="22"/>
          <w:szCs w:val="22"/>
        </w:rPr>
      </w:pPr>
      <w:r w:rsidRPr="005A1638">
        <w:rPr>
          <w:rFonts w:ascii="Arial" w:hAnsi="Arial" w:cs="Arial"/>
          <w:sz w:val="22"/>
          <w:szCs w:val="22"/>
        </w:rPr>
        <w:t>This report is a critical analysis of the ways in which the organisational culture of Toyota influences its structure and decision-making processes through the model developed by Edgar Schein as the main point of analysis. It also analyses the effect of culture on the efficiency of operations, responsiveness to strategy and performance of the organisation with real numerical measures in terms of productivity ratios, defect rates, and financial performance. The report takes a critical view, evaluating not only the facilitating but also the limiting nature of the culture of Toyota in a highly changing external environment where it is electrified, digitalised, and the external environment of the global supply chains is volatile.</w:t>
      </w:r>
    </w:p>
    <w:p w14:paraId="069133C8" w14:textId="77777777" w:rsidR="005810E2" w:rsidRPr="005A1638" w:rsidRDefault="005810E2" w:rsidP="005A1638">
      <w:pPr>
        <w:spacing w:line="360" w:lineRule="auto"/>
        <w:rPr>
          <w:rFonts w:ascii="Arial" w:hAnsi="Arial" w:cs="Arial"/>
          <w:sz w:val="22"/>
          <w:szCs w:val="22"/>
        </w:rPr>
      </w:pPr>
    </w:p>
    <w:p w14:paraId="705384D4" w14:textId="10369A0C" w:rsidR="005B4199" w:rsidRPr="005810E2" w:rsidRDefault="005B4199" w:rsidP="005810E2">
      <w:pPr>
        <w:suppressAutoHyphens w:val="0"/>
        <w:spacing w:after="160" w:line="360" w:lineRule="auto"/>
        <w:jc w:val="left"/>
        <w:rPr>
          <w:rFonts w:ascii="Arial" w:hAnsi="Arial" w:cs="Arial"/>
          <w:b/>
          <w:bCs/>
          <w:color w:val="5B9BD5" w:themeColor="accent1"/>
          <w:sz w:val="22"/>
          <w:szCs w:val="22"/>
          <w:lang w:bidi="bn-BD"/>
        </w:rPr>
      </w:pPr>
      <w:bookmarkStart w:id="1" w:name="_Toc226129645"/>
      <w:r w:rsidRPr="005810E2">
        <w:rPr>
          <w:rFonts w:ascii="Arial" w:hAnsi="Arial" w:cs="Arial"/>
          <w:b/>
          <w:bCs/>
          <w:sz w:val="28"/>
          <w:szCs w:val="28"/>
        </w:rPr>
        <w:t>2. Organisational Culture of Toyota</w:t>
      </w:r>
      <w:bookmarkEnd w:id="1"/>
    </w:p>
    <w:p w14:paraId="4F1BB6AB" w14:textId="77777777" w:rsidR="005B4199" w:rsidRPr="005A1638" w:rsidRDefault="005B4199" w:rsidP="005F4138">
      <w:pPr>
        <w:pStyle w:val="Heading3"/>
        <w:spacing w:line="360" w:lineRule="auto"/>
        <w:rPr>
          <w:rFonts w:ascii="Arial" w:hAnsi="Arial" w:cs="Arial"/>
          <w:color w:val="auto"/>
          <w:sz w:val="24"/>
          <w:szCs w:val="24"/>
        </w:rPr>
      </w:pPr>
      <w:bookmarkStart w:id="2" w:name="_Toc226129646"/>
      <w:r w:rsidRPr="005A1638">
        <w:rPr>
          <w:rFonts w:ascii="Arial" w:eastAsia="Times New Roman" w:hAnsi="Arial" w:cs="Arial"/>
          <w:color w:val="auto"/>
          <w:sz w:val="24"/>
          <w:szCs w:val="24"/>
        </w:rPr>
        <w:t>2.1 Nature of Toyota’s Organisational Culture</w:t>
      </w:r>
      <w:bookmarkEnd w:id="2"/>
    </w:p>
    <w:p w14:paraId="753BAF7C" w14:textId="053D026A" w:rsidR="005B4199" w:rsidRPr="00D56BD9" w:rsidRDefault="005B4199" w:rsidP="00D56BD9">
      <w:pPr>
        <w:spacing w:line="360" w:lineRule="auto"/>
        <w:rPr>
          <w:rFonts w:ascii="Arial" w:hAnsi="Arial" w:cs="Arial"/>
          <w:sz w:val="22"/>
          <w:szCs w:val="22"/>
        </w:rPr>
      </w:pPr>
      <w:r w:rsidRPr="00D56BD9">
        <w:rPr>
          <w:rFonts w:ascii="Arial" w:hAnsi="Arial" w:cs="Arial"/>
          <w:sz w:val="22"/>
          <w:szCs w:val="22"/>
        </w:rPr>
        <w:t>The organisational culture of Toyota is based on the core principles of continuous improvement (Kaizen) and respect of people that form the basis of the Toyota Production System (TPS). Empirical data indicate that TPS-based organisations attain up to 50</w:t>
      </w:r>
      <w:r w:rsidR="001147C6">
        <w:rPr>
          <w:rFonts w:ascii="Arial" w:hAnsi="Arial" w:cs="Arial"/>
          <w:sz w:val="22"/>
          <w:szCs w:val="22"/>
        </w:rPr>
        <w:t xml:space="preserve">% </w:t>
      </w:r>
      <w:r w:rsidRPr="00D56BD9">
        <w:rPr>
          <w:rFonts w:ascii="Arial" w:hAnsi="Arial" w:cs="Arial"/>
          <w:sz w:val="22"/>
          <w:szCs w:val="22"/>
        </w:rPr>
        <w:t>waste cuts and 30</w:t>
      </w:r>
      <w:r w:rsidR="001147C6">
        <w:rPr>
          <w:rFonts w:ascii="Arial" w:hAnsi="Arial" w:cs="Arial"/>
          <w:sz w:val="22"/>
          <w:szCs w:val="22"/>
        </w:rPr>
        <w:t xml:space="preserve">% </w:t>
      </w:r>
      <w:r w:rsidRPr="00D56BD9">
        <w:rPr>
          <w:rFonts w:ascii="Arial" w:hAnsi="Arial" w:cs="Arial"/>
          <w:sz w:val="22"/>
          <w:szCs w:val="22"/>
        </w:rPr>
        <w:t>efficiency gains over the conventional mass production systems (Holweg, 2022). This cultural orientation is not just symbolic at Toyota but is operationalised by standardised procedures, problems solving mechanisms with real-time operationalisation as well as employee empowerment practices.</w:t>
      </w:r>
    </w:p>
    <w:p w14:paraId="0DC8216F" w14:textId="55A9CCCB" w:rsidR="005B4199" w:rsidRPr="00D56BD9" w:rsidRDefault="005B4199" w:rsidP="00D56BD9">
      <w:pPr>
        <w:spacing w:line="360" w:lineRule="auto"/>
        <w:rPr>
          <w:rFonts w:ascii="Arial" w:hAnsi="Arial" w:cs="Arial"/>
          <w:sz w:val="22"/>
          <w:szCs w:val="22"/>
        </w:rPr>
      </w:pPr>
      <w:r w:rsidRPr="00D56BD9">
        <w:rPr>
          <w:rFonts w:ascii="Arial" w:hAnsi="Arial" w:cs="Arial"/>
          <w:sz w:val="22"/>
          <w:szCs w:val="22"/>
        </w:rPr>
        <w:t>Statistically, Toyota records a constant defect rate at less than 1</w:t>
      </w:r>
      <w:r w:rsidR="001147C6">
        <w:rPr>
          <w:rFonts w:ascii="Arial" w:hAnsi="Arial" w:cs="Arial"/>
          <w:sz w:val="22"/>
          <w:szCs w:val="22"/>
        </w:rPr>
        <w:t xml:space="preserve">% </w:t>
      </w:r>
      <w:r w:rsidRPr="00D56BD9">
        <w:rPr>
          <w:rFonts w:ascii="Arial" w:hAnsi="Arial" w:cs="Arial"/>
          <w:sz w:val="22"/>
          <w:szCs w:val="22"/>
        </w:rPr>
        <w:t>in its major production processes, which is much lower than the industry rates of about 23</w:t>
      </w:r>
      <w:r w:rsidR="001147C6">
        <w:rPr>
          <w:rFonts w:ascii="Arial" w:hAnsi="Arial" w:cs="Arial"/>
          <w:sz w:val="22"/>
          <w:szCs w:val="22"/>
        </w:rPr>
        <w:t xml:space="preserve">% </w:t>
      </w:r>
      <w:r w:rsidRPr="00D56BD9">
        <w:rPr>
          <w:rFonts w:ascii="Arial" w:hAnsi="Arial" w:cs="Arial"/>
          <w:sz w:val="22"/>
          <w:szCs w:val="22"/>
        </w:rPr>
        <w:t>(Liker and Franz, 2023). Also, labour productivity (measured in terms of vehicles produced per employee) is more than 12 units per year, which is against an industry standard of 810 units per year (MacDuffie, 2022). These signs reveal that the culture of Toyota is directly reflected on the quantifiable performance results instead of being a mere abstract organisational structure.</w:t>
      </w:r>
    </w:p>
    <w:p w14:paraId="51B75CB1" w14:textId="2E9C3CAC" w:rsidR="005B4199" w:rsidRPr="00D56BD9" w:rsidRDefault="005B4199" w:rsidP="00D56BD9">
      <w:pPr>
        <w:spacing w:line="360" w:lineRule="auto"/>
        <w:rPr>
          <w:rFonts w:ascii="Arial" w:hAnsi="Arial" w:cs="Arial"/>
          <w:sz w:val="22"/>
          <w:szCs w:val="22"/>
        </w:rPr>
      </w:pPr>
      <w:r w:rsidRPr="00D56BD9">
        <w:rPr>
          <w:rFonts w:ascii="Arial" w:hAnsi="Arial" w:cs="Arial"/>
          <w:sz w:val="22"/>
          <w:szCs w:val="22"/>
        </w:rPr>
        <w:t xml:space="preserve">Nevertheless, although efficiency metrics make the culture of Toyota even stronger, they also point to a severe limitation: the excessive focus on the incremental improvement can limit </w:t>
      </w:r>
      <w:r w:rsidRPr="00D56BD9">
        <w:rPr>
          <w:rFonts w:ascii="Arial" w:hAnsi="Arial" w:cs="Arial"/>
          <w:sz w:val="22"/>
          <w:szCs w:val="22"/>
        </w:rPr>
        <w:lastRenderedPageBreak/>
        <w:t>radical innovation. It has been shown that companies that are highly dependent on continuous improvement paradigms typically undergo 15</w:t>
      </w:r>
      <w:r w:rsidR="001147C6">
        <w:rPr>
          <w:rFonts w:ascii="Arial" w:hAnsi="Arial" w:cs="Arial"/>
          <w:sz w:val="22"/>
          <w:szCs w:val="22"/>
        </w:rPr>
        <w:t>-</w:t>
      </w:r>
      <w:r w:rsidRPr="00D56BD9">
        <w:rPr>
          <w:rFonts w:ascii="Arial" w:hAnsi="Arial" w:cs="Arial"/>
          <w:sz w:val="22"/>
          <w:szCs w:val="22"/>
        </w:rPr>
        <w:t>20</w:t>
      </w:r>
      <w:r w:rsidR="001147C6">
        <w:rPr>
          <w:rFonts w:ascii="Arial" w:hAnsi="Arial" w:cs="Arial"/>
          <w:sz w:val="22"/>
          <w:szCs w:val="22"/>
        </w:rPr>
        <w:t xml:space="preserve">% </w:t>
      </w:r>
      <w:r w:rsidRPr="00D56BD9">
        <w:rPr>
          <w:rFonts w:ascii="Arial" w:hAnsi="Arial" w:cs="Arial"/>
          <w:sz w:val="22"/>
          <w:szCs w:val="22"/>
        </w:rPr>
        <w:t>slower adoption of disruptive technologies, especially in the newer areas like electric vehicles (EVs) (Kano, 2023).</w:t>
      </w:r>
    </w:p>
    <w:p w14:paraId="026BC314" w14:textId="77777777" w:rsidR="005B4199" w:rsidRPr="00D56BD9" w:rsidRDefault="005B4199" w:rsidP="005F4138">
      <w:pPr>
        <w:pStyle w:val="Heading3"/>
        <w:spacing w:line="360" w:lineRule="auto"/>
        <w:rPr>
          <w:rFonts w:ascii="Arial" w:hAnsi="Arial" w:cs="Arial"/>
          <w:color w:val="auto"/>
          <w:sz w:val="24"/>
          <w:szCs w:val="24"/>
        </w:rPr>
      </w:pPr>
      <w:bookmarkStart w:id="3" w:name="_Toc226129647"/>
      <w:r w:rsidRPr="00D56BD9">
        <w:rPr>
          <w:rFonts w:ascii="Arial" w:eastAsia="Times New Roman" w:hAnsi="Arial" w:cs="Arial"/>
          <w:color w:val="auto"/>
          <w:sz w:val="24"/>
          <w:szCs w:val="24"/>
        </w:rPr>
        <w:t>2.2 Cultural Characteristics and Practices</w:t>
      </w:r>
      <w:bookmarkEnd w:id="3"/>
    </w:p>
    <w:p w14:paraId="7B278265" w14:textId="76EE1237" w:rsidR="003A5F49" w:rsidRPr="00D56BD9" w:rsidRDefault="003A5F49" w:rsidP="003A5F49">
      <w:pPr>
        <w:spacing w:line="360" w:lineRule="auto"/>
        <w:rPr>
          <w:rFonts w:ascii="Arial" w:hAnsi="Arial" w:cs="Arial"/>
          <w:sz w:val="22"/>
          <w:szCs w:val="22"/>
        </w:rPr>
      </w:pPr>
      <w:r w:rsidRPr="00D56BD9">
        <w:rPr>
          <w:rFonts w:ascii="Arial" w:hAnsi="Arial" w:cs="Arial"/>
          <w:sz w:val="22"/>
          <w:szCs w:val="22"/>
        </w:rPr>
        <w:t xml:space="preserve">The culture of Toyota is implemented as a set of embedded practices, such as just-in-time (JIT) production, </w:t>
      </w:r>
      <w:r w:rsidR="00AF39A0">
        <w:rPr>
          <w:rFonts w:ascii="Arial" w:hAnsi="Arial" w:cs="Arial"/>
          <w:sz w:val="22"/>
          <w:szCs w:val="22"/>
        </w:rPr>
        <w:t>J</w:t>
      </w:r>
      <w:r w:rsidRPr="00D56BD9">
        <w:rPr>
          <w:rFonts w:ascii="Arial" w:hAnsi="Arial" w:cs="Arial"/>
          <w:sz w:val="22"/>
          <w:szCs w:val="22"/>
        </w:rPr>
        <w:t>idoka (human-touch automation), and problem-solving routines. The practices enable the company to have 40 percent less inventory than the competitors and this will reduce holding costs and improve efficiency of cash flow (Netland and Powell, 2022).</w:t>
      </w:r>
    </w:p>
    <w:p w14:paraId="35C25C5F" w14:textId="48512F3C" w:rsidR="003A5F49" w:rsidRPr="00D56BD9" w:rsidRDefault="003A5F49" w:rsidP="003A5F49">
      <w:pPr>
        <w:spacing w:line="360" w:lineRule="auto"/>
        <w:rPr>
          <w:rFonts w:ascii="Arial" w:hAnsi="Arial" w:cs="Arial"/>
          <w:sz w:val="22"/>
          <w:szCs w:val="22"/>
        </w:rPr>
      </w:pPr>
      <w:r w:rsidRPr="00D56BD9">
        <w:rPr>
          <w:rFonts w:ascii="Arial" w:hAnsi="Arial" w:cs="Arial"/>
          <w:sz w:val="22"/>
          <w:szCs w:val="22"/>
        </w:rPr>
        <w:t>The other feature is employee involvement. The quality circles and feedback systems used by Toyota result in an average of 1015 improvement proposals per employee annually, and the implementation rate is over 90</w:t>
      </w:r>
      <w:r w:rsidR="00AF39A0">
        <w:rPr>
          <w:rFonts w:ascii="Arial" w:hAnsi="Arial" w:cs="Arial"/>
          <w:sz w:val="22"/>
          <w:szCs w:val="22"/>
        </w:rPr>
        <w:t xml:space="preserve">% </w:t>
      </w:r>
      <w:r w:rsidRPr="00D56BD9">
        <w:rPr>
          <w:rFonts w:ascii="Arial" w:hAnsi="Arial" w:cs="Arial"/>
          <w:sz w:val="22"/>
          <w:szCs w:val="22"/>
        </w:rPr>
        <w:t>(Liker and Franz, 2023). It is quite a contrasting story to the industry averages of 2-3 suggestions per employee which demonstrates that the level of engagement and culture compatibility is high.</w:t>
      </w:r>
    </w:p>
    <w:p w14:paraId="7C5E86D8" w14:textId="263DB082" w:rsidR="005B4199" w:rsidRPr="00D56BD9" w:rsidRDefault="003A5F49" w:rsidP="003A5F49">
      <w:pPr>
        <w:spacing w:line="360" w:lineRule="auto"/>
        <w:rPr>
          <w:rFonts w:ascii="Arial" w:hAnsi="Arial" w:cs="Arial"/>
          <w:sz w:val="22"/>
          <w:szCs w:val="22"/>
        </w:rPr>
      </w:pPr>
      <w:r w:rsidRPr="00D56BD9">
        <w:rPr>
          <w:rFonts w:ascii="Arial" w:hAnsi="Arial" w:cs="Arial"/>
          <w:sz w:val="22"/>
          <w:szCs w:val="22"/>
        </w:rPr>
        <w:t>Despite these advantages, the standardisation as embedded in the culture of Toyota creates the rigidity. Very formalised processes may restrict flexibility especially in dynamic environments that demand quick innovation. There is empirical evidence that over standardisation reduces organisational adaptability by approximately 12</w:t>
      </w:r>
      <w:r w:rsidR="00AF39A0">
        <w:rPr>
          <w:rFonts w:ascii="Arial" w:hAnsi="Arial" w:cs="Arial"/>
          <w:sz w:val="22"/>
          <w:szCs w:val="22"/>
        </w:rPr>
        <w:t>-</w:t>
      </w:r>
      <w:r w:rsidRPr="00D56BD9">
        <w:rPr>
          <w:rFonts w:ascii="Arial" w:hAnsi="Arial" w:cs="Arial"/>
          <w:sz w:val="22"/>
          <w:szCs w:val="22"/>
        </w:rPr>
        <w:t>18% of high uncertainty situations (Bortolotti,</w:t>
      </w:r>
      <w:r w:rsidR="000976D7">
        <w:rPr>
          <w:rFonts w:ascii="Arial" w:hAnsi="Arial" w:cs="Arial"/>
          <w:sz w:val="22"/>
          <w:szCs w:val="22"/>
        </w:rPr>
        <w:t xml:space="preserve"> Boscari and Danese,</w:t>
      </w:r>
      <w:r w:rsidRPr="00D56BD9">
        <w:rPr>
          <w:rFonts w:ascii="Arial" w:hAnsi="Arial" w:cs="Arial"/>
          <w:sz w:val="22"/>
          <w:szCs w:val="22"/>
        </w:rPr>
        <w:t xml:space="preserve"> 2022). This imposes a burden on efficiency and responsiveness particularly with the automotive industry shifting towards the digital and electric mobility.</w:t>
      </w:r>
    </w:p>
    <w:p w14:paraId="5168009B" w14:textId="77777777" w:rsidR="005B4199" w:rsidRPr="00E11673" w:rsidRDefault="005B4199" w:rsidP="005F4138">
      <w:pPr>
        <w:pStyle w:val="Heading3"/>
        <w:spacing w:line="360" w:lineRule="auto"/>
        <w:rPr>
          <w:rFonts w:ascii="Arial" w:hAnsi="Arial" w:cs="Arial"/>
          <w:color w:val="auto"/>
          <w:sz w:val="24"/>
          <w:szCs w:val="24"/>
        </w:rPr>
      </w:pPr>
      <w:bookmarkStart w:id="4" w:name="_Toc226129648"/>
      <w:r w:rsidRPr="00E11673">
        <w:rPr>
          <w:rFonts w:ascii="Arial" w:eastAsia="Times New Roman" w:hAnsi="Arial" w:cs="Arial"/>
          <w:color w:val="auto"/>
          <w:sz w:val="24"/>
          <w:szCs w:val="24"/>
        </w:rPr>
        <w:t>2.3 Critical Evaluation</w:t>
      </w:r>
      <w:bookmarkEnd w:id="4"/>
    </w:p>
    <w:p w14:paraId="1DEC2921" w14:textId="6F4F6D4B" w:rsidR="005B4199" w:rsidRPr="00AB170E" w:rsidRDefault="005B4199" w:rsidP="005F4138">
      <w:pPr>
        <w:spacing w:line="360" w:lineRule="auto"/>
        <w:rPr>
          <w:rFonts w:ascii="Arial" w:hAnsi="Arial" w:cs="Arial"/>
          <w:sz w:val="22"/>
          <w:szCs w:val="22"/>
        </w:rPr>
      </w:pPr>
      <w:r w:rsidRPr="00AB170E">
        <w:rPr>
          <w:rFonts w:ascii="Arial" w:hAnsi="Arial" w:cs="Arial"/>
          <w:sz w:val="22"/>
          <w:szCs w:val="22"/>
        </w:rPr>
        <w:t>More importantly, the culture of Toyota is a paradox. On the one hand, it provides a high level of operational efficiency, which is manifested in the high return on assets (ROA) of about 8</w:t>
      </w:r>
      <w:r w:rsidR="00AF39A0">
        <w:rPr>
          <w:rFonts w:ascii="Arial" w:hAnsi="Arial" w:cs="Arial"/>
          <w:sz w:val="22"/>
          <w:szCs w:val="22"/>
        </w:rPr>
        <w:t>-</w:t>
      </w:r>
      <w:r w:rsidRPr="00AB170E">
        <w:rPr>
          <w:rFonts w:ascii="Arial" w:hAnsi="Arial" w:cs="Arial"/>
          <w:sz w:val="22"/>
          <w:szCs w:val="22"/>
        </w:rPr>
        <w:t>10</w:t>
      </w:r>
      <w:r w:rsidR="00AF39A0">
        <w:rPr>
          <w:rFonts w:ascii="Arial" w:hAnsi="Arial" w:cs="Arial"/>
          <w:sz w:val="22"/>
          <w:szCs w:val="22"/>
        </w:rPr>
        <w:t xml:space="preserve">% </w:t>
      </w:r>
      <w:r w:rsidRPr="00AB170E">
        <w:rPr>
          <w:rFonts w:ascii="Arial" w:hAnsi="Arial" w:cs="Arial"/>
          <w:sz w:val="22"/>
          <w:szCs w:val="22"/>
        </w:rPr>
        <w:t>in contrast to industry average of 56</w:t>
      </w:r>
      <w:r w:rsidR="00AF39A0">
        <w:rPr>
          <w:rFonts w:ascii="Arial" w:hAnsi="Arial" w:cs="Arial"/>
          <w:sz w:val="22"/>
          <w:szCs w:val="22"/>
        </w:rPr>
        <w:t xml:space="preserve">% </w:t>
      </w:r>
      <w:r w:rsidRPr="00AB170E">
        <w:rPr>
          <w:rFonts w:ascii="Arial" w:hAnsi="Arial" w:cs="Arial"/>
          <w:sz w:val="22"/>
          <w:szCs w:val="22"/>
        </w:rPr>
        <w:t>(Statista, 2024). Conversely, the same culture can also be a barrier to fast strategic change, especially in those areas that need discontinuous innovation.</w:t>
      </w:r>
    </w:p>
    <w:p w14:paraId="07F2A345" w14:textId="5520BC13" w:rsidR="005B4199" w:rsidRPr="00AB170E" w:rsidRDefault="005B4199" w:rsidP="005F4138">
      <w:pPr>
        <w:spacing w:line="360" w:lineRule="auto"/>
        <w:rPr>
          <w:rFonts w:ascii="Arial" w:hAnsi="Arial" w:cs="Arial"/>
          <w:sz w:val="22"/>
          <w:szCs w:val="22"/>
        </w:rPr>
      </w:pPr>
      <w:r w:rsidRPr="00AB170E">
        <w:rPr>
          <w:rFonts w:ascii="Arial" w:hAnsi="Arial" w:cs="Arial"/>
          <w:sz w:val="22"/>
          <w:szCs w:val="22"/>
        </w:rPr>
        <w:t>The focus on consensus and gradualism may slow the process of decision-making and make one less responsive to external shocks. As an example, when semiconductor supplies were scarce, Toyota initially had the advantage of inventory tactics of lean but subsequently experienced a reduction in output of almost 20</w:t>
      </w:r>
      <w:r w:rsidR="00AF39A0">
        <w:rPr>
          <w:rFonts w:ascii="Arial" w:hAnsi="Arial" w:cs="Arial"/>
          <w:sz w:val="22"/>
          <w:szCs w:val="22"/>
        </w:rPr>
        <w:t>%</w:t>
      </w:r>
      <w:r w:rsidRPr="00AB170E">
        <w:rPr>
          <w:rFonts w:ascii="Arial" w:hAnsi="Arial" w:cs="Arial"/>
          <w:sz w:val="22"/>
          <w:szCs w:val="22"/>
        </w:rPr>
        <w:t xml:space="preserve"> in specific quarters, which demonstrates the weaknesses of highly optimised systems (Helper and Henderson, 2022).</w:t>
      </w:r>
    </w:p>
    <w:p w14:paraId="026E3E19" w14:textId="77777777" w:rsidR="005B4199" w:rsidRPr="00AB170E" w:rsidRDefault="005B4199" w:rsidP="005F4138">
      <w:pPr>
        <w:spacing w:line="360" w:lineRule="auto"/>
        <w:rPr>
          <w:rFonts w:ascii="Arial" w:hAnsi="Arial" w:cs="Arial"/>
          <w:sz w:val="22"/>
          <w:szCs w:val="22"/>
        </w:rPr>
      </w:pPr>
      <w:r w:rsidRPr="00AB170E">
        <w:rPr>
          <w:rFonts w:ascii="Arial" w:hAnsi="Arial" w:cs="Arial"/>
          <w:sz w:val="22"/>
          <w:szCs w:val="22"/>
        </w:rPr>
        <w:t>Therefore, although the organisational culture of Toyota is a key competitive advantage, it is not universal. Its performance depends on the stability of the environment, which puts its sustainability in the more unstable global markets into question.</w:t>
      </w:r>
    </w:p>
    <w:p w14:paraId="3575A84D" w14:textId="77777777" w:rsidR="00F5072A" w:rsidRDefault="00F5072A" w:rsidP="00092C01">
      <w:pPr>
        <w:suppressAutoHyphens w:val="0"/>
        <w:spacing w:after="160" w:line="259" w:lineRule="auto"/>
        <w:jc w:val="left"/>
      </w:pPr>
      <w:bookmarkStart w:id="5" w:name="_Toc226129649"/>
    </w:p>
    <w:p w14:paraId="5712A8EA" w14:textId="77777777" w:rsidR="00AE6761" w:rsidRDefault="00AE6761" w:rsidP="00092C01">
      <w:pPr>
        <w:suppressAutoHyphens w:val="0"/>
        <w:spacing w:after="160" w:line="259" w:lineRule="auto"/>
        <w:jc w:val="left"/>
        <w:rPr>
          <w:rFonts w:ascii="Arial" w:hAnsi="Arial" w:cs="Arial"/>
          <w:b/>
          <w:bCs/>
          <w:sz w:val="28"/>
          <w:szCs w:val="28"/>
        </w:rPr>
      </w:pPr>
    </w:p>
    <w:p w14:paraId="71D79B0A" w14:textId="3E1C19B2" w:rsidR="005B4199" w:rsidRPr="00F5072A" w:rsidRDefault="005B4199" w:rsidP="00092C01">
      <w:pPr>
        <w:suppressAutoHyphens w:val="0"/>
        <w:spacing w:after="160" w:line="259" w:lineRule="auto"/>
        <w:jc w:val="left"/>
        <w:rPr>
          <w:rFonts w:cstheme="majorBidi"/>
          <w:b/>
          <w:bCs/>
          <w:color w:val="5B9BD5" w:themeColor="accent1"/>
          <w:sz w:val="32"/>
          <w:szCs w:val="26"/>
          <w:lang w:bidi="bn-BD"/>
        </w:rPr>
      </w:pPr>
      <w:r w:rsidRPr="00F5072A">
        <w:rPr>
          <w:rFonts w:ascii="Arial" w:hAnsi="Arial" w:cs="Arial"/>
          <w:b/>
          <w:bCs/>
          <w:sz w:val="28"/>
          <w:szCs w:val="28"/>
        </w:rPr>
        <w:lastRenderedPageBreak/>
        <w:t>3. Influence of Culture on Structure and Decision-Making</w:t>
      </w:r>
      <w:bookmarkEnd w:id="5"/>
    </w:p>
    <w:p w14:paraId="7763C8FD" w14:textId="77777777" w:rsidR="005B4199" w:rsidRPr="00AB170E" w:rsidRDefault="005B4199" w:rsidP="005F4138">
      <w:pPr>
        <w:pStyle w:val="Heading3"/>
        <w:spacing w:line="360" w:lineRule="auto"/>
        <w:rPr>
          <w:rFonts w:ascii="Arial" w:hAnsi="Arial" w:cs="Arial"/>
          <w:color w:val="auto"/>
          <w:sz w:val="24"/>
          <w:szCs w:val="24"/>
        </w:rPr>
      </w:pPr>
      <w:bookmarkStart w:id="6" w:name="_Toc226129650"/>
      <w:r w:rsidRPr="00AB170E">
        <w:rPr>
          <w:rFonts w:ascii="Arial" w:eastAsia="Times New Roman" w:hAnsi="Arial" w:cs="Arial"/>
          <w:color w:val="auto"/>
          <w:sz w:val="24"/>
          <w:szCs w:val="24"/>
        </w:rPr>
        <w:t>3.1 Organisational Structure Shaped by Culture</w:t>
      </w:r>
      <w:bookmarkEnd w:id="6"/>
    </w:p>
    <w:p w14:paraId="4A228393" w14:textId="77777777" w:rsidR="005B4199" w:rsidRPr="00AB170E" w:rsidRDefault="005B4199" w:rsidP="005F4138">
      <w:pPr>
        <w:spacing w:line="360" w:lineRule="auto"/>
        <w:rPr>
          <w:rFonts w:ascii="Arial" w:hAnsi="Arial" w:cs="Arial"/>
          <w:sz w:val="22"/>
          <w:szCs w:val="22"/>
        </w:rPr>
      </w:pPr>
      <w:r w:rsidRPr="00AB170E">
        <w:rPr>
          <w:rFonts w:ascii="Arial" w:hAnsi="Arial" w:cs="Arial"/>
          <w:sz w:val="22"/>
          <w:szCs w:val="22"/>
        </w:rPr>
        <w:t>The organisational structure of Toyota is based on its cultural focus to efficiency, standardisation, and continuous improvement. The structure is traditionally hierarchical, but it has the features of decentralisation in the form of team-based production systems and inter-functional cooperation. This hybrid structure helps Toyota to retain control and generate localised problem-solving.</w:t>
      </w:r>
    </w:p>
    <w:p w14:paraId="291E8D5F" w14:textId="0240B486" w:rsidR="005B4199" w:rsidRPr="00AB170E" w:rsidRDefault="005B4199" w:rsidP="005F4138">
      <w:pPr>
        <w:spacing w:line="360" w:lineRule="auto"/>
        <w:rPr>
          <w:rFonts w:ascii="Arial" w:hAnsi="Arial" w:cs="Arial"/>
          <w:sz w:val="22"/>
          <w:szCs w:val="22"/>
        </w:rPr>
      </w:pPr>
      <w:r w:rsidRPr="00AB170E">
        <w:rPr>
          <w:rFonts w:ascii="Arial" w:hAnsi="Arial" w:cs="Arial"/>
          <w:sz w:val="22"/>
          <w:szCs w:val="22"/>
        </w:rPr>
        <w:t>Team-based production systems have numerically been shown to enhance productivity by 20-25</w:t>
      </w:r>
      <w:r w:rsidR="00AF39A0">
        <w:rPr>
          <w:rFonts w:ascii="Arial" w:hAnsi="Arial" w:cs="Arial"/>
          <w:sz w:val="22"/>
          <w:szCs w:val="22"/>
        </w:rPr>
        <w:t xml:space="preserve">% </w:t>
      </w:r>
      <w:r w:rsidRPr="00AB170E">
        <w:rPr>
          <w:rFonts w:ascii="Arial" w:hAnsi="Arial" w:cs="Arial"/>
          <w:sz w:val="22"/>
          <w:szCs w:val="22"/>
        </w:rPr>
        <w:t>in comparison with the purely hierarchical models, in large part because issues can be resolved faster and employees are more accountable (MacDuffie, 2022). At Toyota, production teams are enabled to stop assembly lines when defects are identified, which saves rework costs by about 30</w:t>
      </w:r>
      <w:r w:rsidR="00AF39A0">
        <w:rPr>
          <w:rFonts w:ascii="Arial" w:hAnsi="Arial" w:cs="Arial"/>
          <w:sz w:val="22"/>
          <w:szCs w:val="22"/>
        </w:rPr>
        <w:t xml:space="preserve">% </w:t>
      </w:r>
      <w:r w:rsidRPr="00AB170E">
        <w:rPr>
          <w:rFonts w:ascii="Arial" w:hAnsi="Arial" w:cs="Arial"/>
          <w:sz w:val="22"/>
          <w:szCs w:val="22"/>
        </w:rPr>
        <w:t>and overall quality performance.</w:t>
      </w:r>
    </w:p>
    <w:p w14:paraId="14224FBA" w14:textId="380C32DF" w:rsidR="005B4199" w:rsidRPr="00AB170E" w:rsidRDefault="005B4199" w:rsidP="005F4138">
      <w:pPr>
        <w:spacing w:line="360" w:lineRule="auto"/>
        <w:rPr>
          <w:rFonts w:ascii="Arial" w:hAnsi="Arial" w:cs="Arial"/>
          <w:sz w:val="22"/>
          <w:szCs w:val="22"/>
        </w:rPr>
      </w:pPr>
      <w:r w:rsidRPr="00AB170E">
        <w:rPr>
          <w:rFonts w:ascii="Arial" w:hAnsi="Arial" w:cs="Arial"/>
          <w:sz w:val="22"/>
          <w:szCs w:val="22"/>
        </w:rPr>
        <w:t xml:space="preserve">Nonetheless, this structure also contributes to conformity, which restricts the number of strategic views. Research has shown that organisations that have strongly integrated cultures and structures can have up to 25% reduced strategic experimentation especially in a </w:t>
      </w:r>
      <w:r w:rsidR="00AB170E" w:rsidRPr="00AB170E">
        <w:rPr>
          <w:rFonts w:ascii="Arial" w:hAnsi="Arial" w:cs="Arial"/>
          <w:sz w:val="22"/>
          <w:szCs w:val="22"/>
        </w:rPr>
        <w:t>fast-changing</w:t>
      </w:r>
      <w:r w:rsidRPr="00AB170E">
        <w:rPr>
          <w:rFonts w:ascii="Arial" w:hAnsi="Arial" w:cs="Arial"/>
          <w:sz w:val="22"/>
          <w:szCs w:val="22"/>
        </w:rPr>
        <w:t xml:space="preserve"> industry (Kano, 2023). This implies that the structural alignment of Toyota to its culture might limit its innovation capacity.</w:t>
      </w:r>
    </w:p>
    <w:p w14:paraId="035960B9" w14:textId="77777777" w:rsidR="005B4199" w:rsidRPr="00E242C0" w:rsidRDefault="005B4199" w:rsidP="005F4138">
      <w:pPr>
        <w:pStyle w:val="Heading3"/>
        <w:spacing w:line="360" w:lineRule="auto"/>
        <w:rPr>
          <w:rFonts w:ascii="Arial" w:hAnsi="Arial" w:cs="Arial"/>
          <w:color w:val="auto"/>
          <w:sz w:val="24"/>
          <w:szCs w:val="24"/>
        </w:rPr>
      </w:pPr>
      <w:bookmarkStart w:id="7" w:name="_Toc226129651"/>
      <w:r w:rsidRPr="00E242C0">
        <w:rPr>
          <w:rFonts w:ascii="Arial" w:eastAsia="Times New Roman" w:hAnsi="Arial" w:cs="Arial"/>
          <w:color w:val="auto"/>
          <w:sz w:val="24"/>
          <w:szCs w:val="24"/>
        </w:rPr>
        <w:t>3.2 Decision-Making Processes</w:t>
      </w:r>
      <w:bookmarkEnd w:id="7"/>
    </w:p>
    <w:p w14:paraId="16E05DFE" w14:textId="77777777" w:rsidR="005B4199" w:rsidRPr="006266F6" w:rsidRDefault="005B4199" w:rsidP="005F4138">
      <w:pPr>
        <w:spacing w:line="360" w:lineRule="auto"/>
        <w:rPr>
          <w:rFonts w:ascii="Arial" w:hAnsi="Arial" w:cs="Arial"/>
          <w:sz w:val="22"/>
          <w:szCs w:val="22"/>
        </w:rPr>
      </w:pPr>
      <w:r w:rsidRPr="006266F6">
        <w:rPr>
          <w:rFonts w:ascii="Arial" w:hAnsi="Arial" w:cs="Arial"/>
          <w:sz w:val="22"/>
          <w:szCs w:val="22"/>
        </w:rPr>
        <w:t>The decision-making process of Toyota is defined by the Ringi system which is a consensus-driven process that focuses on reaching an agreement among all before performing an action. Although this process boosts the quality of decisions made and lowers the resistance of implementation, it also leads to serious delays in time.</w:t>
      </w:r>
    </w:p>
    <w:p w14:paraId="3882A95F" w14:textId="35647576" w:rsidR="005B4199" w:rsidRPr="006266F6" w:rsidRDefault="005B4199" w:rsidP="005F4138">
      <w:pPr>
        <w:spacing w:line="360" w:lineRule="auto"/>
        <w:rPr>
          <w:rFonts w:ascii="Arial" w:hAnsi="Arial" w:cs="Arial"/>
          <w:sz w:val="22"/>
          <w:szCs w:val="22"/>
        </w:rPr>
      </w:pPr>
      <w:r w:rsidRPr="006266F6">
        <w:rPr>
          <w:rFonts w:ascii="Arial" w:hAnsi="Arial" w:cs="Arial"/>
          <w:sz w:val="22"/>
          <w:szCs w:val="22"/>
        </w:rPr>
        <w:t>Empirical evidence indicates that the time taken to reach a consensus in decision-making may be 30-50</w:t>
      </w:r>
      <w:r w:rsidR="00AF39A0">
        <w:rPr>
          <w:rFonts w:ascii="Arial" w:hAnsi="Arial" w:cs="Arial"/>
          <w:sz w:val="22"/>
          <w:szCs w:val="22"/>
        </w:rPr>
        <w:t xml:space="preserve">% </w:t>
      </w:r>
      <w:r w:rsidRPr="006266F6">
        <w:rPr>
          <w:rFonts w:ascii="Arial" w:hAnsi="Arial" w:cs="Arial"/>
          <w:sz w:val="22"/>
          <w:szCs w:val="22"/>
        </w:rPr>
        <w:t>longer than the time taken with top-down methods (Bortolotti</w:t>
      </w:r>
      <w:r w:rsidR="00C81E9D">
        <w:rPr>
          <w:rFonts w:ascii="Arial" w:hAnsi="Arial" w:cs="Arial"/>
          <w:sz w:val="22"/>
          <w:szCs w:val="22"/>
        </w:rPr>
        <w:t xml:space="preserve">, Boscari and </w:t>
      </w:r>
      <w:r w:rsidR="00182FE9">
        <w:rPr>
          <w:rFonts w:ascii="Arial" w:hAnsi="Arial" w:cs="Arial"/>
          <w:sz w:val="22"/>
          <w:szCs w:val="22"/>
        </w:rPr>
        <w:t>Danese</w:t>
      </w:r>
      <w:r w:rsidRPr="006266F6">
        <w:rPr>
          <w:rFonts w:ascii="Arial" w:hAnsi="Arial" w:cs="Arial"/>
          <w:sz w:val="22"/>
          <w:szCs w:val="22"/>
        </w:rPr>
        <w:t>, 2022). This can be seen at Toyota at such strategic points as electrification, where decision-making is slower, which has led to late penetration into the battery electric vehicle (BEV) market compared to other companies.</w:t>
      </w:r>
    </w:p>
    <w:p w14:paraId="07A88206" w14:textId="69FAF98F" w:rsidR="005B4199" w:rsidRPr="006266F6" w:rsidRDefault="005B4199" w:rsidP="005F4138">
      <w:pPr>
        <w:spacing w:line="360" w:lineRule="auto"/>
        <w:rPr>
          <w:rFonts w:ascii="Arial" w:hAnsi="Arial" w:cs="Arial"/>
          <w:sz w:val="22"/>
          <w:szCs w:val="22"/>
        </w:rPr>
      </w:pPr>
      <w:r w:rsidRPr="006266F6">
        <w:rPr>
          <w:rFonts w:ascii="Arial" w:hAnsi="Arial" w:cs="Arial"/>
          <w:sz w:val="22"/>
          <w:szCs w:val="22"/>
        </w:rPr>
        <w:t>On the other hand, the Ringi system enhances effectiveness in execution. The success rates of implementation are above 85–90 as compared to about 60</w:t>
      </w:r>
      <w:r w:rsidR="00AF39A0">
        <w:rPr>
          <w:rFonts w:ascii="Arial" w:hAnsi="Arial" w:cs="Arial"/>
          <w:sz w:val="22"/>
          <w:szCs w:val="22"/>
        </w:rPr>
        <w:t>-</w:t>
      </w:r>
      <w:r w:rsidRPr="006266F6">
        <w:rPr>
          <w:rFonts w:ascii="Arial" w:hAnsi="Arial" w:cs="Arial"/>
          <w:sz w:val="22"/>
          <w:szCs w:val="22"/>
        </w:rPr>
        <w:t>70 in organisations where the decision-making process is less participatory (Netland and Powell, 2022). This emphasises on a trade-off between speed and quality of execution, with Toyota focusing on the latter.</w:t>
      </w:r>
    </w:p>
    <w:p w14:paraId="6690D1DB" w14:textId="77777777" w:rsidR="005B4199" w:rsidRPr="00E242C0" w:rsidRDefault="005B4199" w:rsidP="005F4138">
      <w:pPr>
        <w:pStyle w:val="Heading3"/>
        <w:spacing w:line="360" w:lineRule="auto"/>
        <w:rPr>
          <w:rFonts w:ascii="Arial" w:eastAsia="Times New Roman" w:hAnsi="Arial" w:cs="Arial"/>
          <w:color w:val="auto"/>
          <w:sz w:val="24"/>
          <w:szCs w:val="24"/>
        </w:rPr>
      </w:pPr>
      <w:bookmarkStart w:id="8" w:name="_Toc226129652"/>
      <w:r w:rsidRPr="00E242C0">
        <w:rPr>
          <w:rFonts w:ascii="Arial" w:eastAsia="Times New Roman" w:hAnsi="Arial" w:cs="Arial"/>
          <w:color w:val="auto"/>
          <w:sz w:val="24"/>
          <w:szCs w:val="24"/>
        </w:rPr>
        <w:t>3.3 Critical Analysis</w:t>
      </w:r>
      <w:bookmarkEnd w:id="8"/>
    </w:p>
    <w:p w14:paraId="5CCFA8CE" w14:textId="5CCE5279" w:rsidR="00A602F9" w:rsidRPr="0060472B" w:rsidRDefault="00A602F9" w:rsidP="00A602F9">
      <w:pPr>
        <w:spacing w:line="360" w:lineRule="auto"/>
        <w:rPr>
          <w:rFonts w:ascii="Arial" w:hAnsi="Arial" w:cs="Arial"/>
          <w:sz w:val="22"/>
          <w:szCs w:val="22"/>
          <w:lang w:bidi="bn-BD"/>
        </w:rPr>
      </w:pPr>
      <w:r w:rsidRPr="0060472B">
        <w:rPr>
          <w:rFonts w:ascii="Arial" w:hAnsi="Arial" w:cs="Arial"/>
          <w:sz w:val="22"/>
          <w:szCs w:val="22"/>
          <w:lang w:bidi="bn-BD"/>
        </w:rPr>
        <w:t xml:space="preserve">Still, more crucially, there are both strengths and deficiencies to the structure and decision-making processes in Toyota, which is founded on culture. The fusion of culture and structure enhances uniformity of operations and reduce variation which contributes to quality and </w:t>
      </w:r>
      <w:r w:rsidRPr="0060472B">
        <w:rPr>
          <w:rFonts w:ascii="Arial" w:hAnsi="Arial" w:cs="Arial"/>
          <w:sz w:val="22"/>
          <w:szCs w:val="22"/>
          <w:lang w:bidi="bn-BD"/>
        </w:rPr>
        <w:lastRenderedPageBreak/>
        <w:t xml:space="preserve">productivity of results. However, once more this congruence enhances path </w:t>
      </w:r>
      <w:r w:rsidR="006266F6" w:rsidRPr="0060472B">
        <w:rPr>
          <w:rFonts w:ascii="Arial" w:hAnsi="Arial" w:cs="Arial"/>
          <w:sz w:val="22"/>
          <w:szCs w:val="22"/>
          <w:lang w:bidi="bn-BD"/>
        </w:rPr>
        <w:t>dependency,</w:t>
      </w:r>
      <w:r w:rsidRPr="0060472B">
        <w:rPr>
          <w:rFonts w:ascii="Arial" w:hAnsi="Arial" w:cs="Arial"/>
          <w:sz w:val="22"/>
          <w:szCs w:val="22"/>
          <w:lang w:bidi="bn-BD"/>
        </w:rPr>
        <w:t xml:space="preserve"> and the organisation is unable to respond to disruptive change in a timely manner.</w:t>
      </w:r>
    </w:p>
    <w:p w14:paraId="258BD668" w14:textId="77777777" w:rsidR="00A602F9" w:rsidRPr="0060472B" w:rsidRDefault="00A602F9" w:rsidP="00A602F9">
      <w:pPr>
        <w:spacing w:line="360" w:lineRule="auto"/>
        <w:rPr>
          <w:rFonts w:ascii="Arial" w:hAnsi="Arial" w:cs="Arial"/>
          <w:sz w:val="22"/>
          <w:szCs w:val="22"/>
          <w:lang w:bidi="bn-BD"/>
        </w:rPr>
      </w:pPr>
      <w:r w:rsidRPr="0060472B">
        <w:rPr>
          <w:rFonts w:ascii="Arial" w:hAnsi="Arial" w:cs="Arial"/>
          <w:sz w:val="22"/>
          <w:szCs w:val="22"/>
          <w:lang w:bidi="bn-BD"/>
        </w:rPr>
        <w:t>The efficiency versus agility dilemma is particularly apparent under the case of world electrification. Even though Toyota continues to lead the hybrid cars, its rate of transition into full electric cars is lower and this is a sign of structural and cultural inertia. Toyota is the easiest to make a low market share of EVs in the world (less than 5 to more than 15 of the market leaders) according to the market data (IEA, 2024).</w:t>
      </w:r>
    </w:p>
    <w:p w14:paraId="00AD1905" w14:textId="70EB8A1A" w:rsidR="005B4199" w:rsidRPr="0060472B" w:rsidRDefault="00A602F9" w:rsidP="00A602F9">
      <w:pPr>
        <w:spacing w:line="360" w:lineRule="auto"/>
        <w:rPr>
          <w:rFonts w:ascii="Arial" w:hAnsi="Arial" w:cs="Arial"/>
          <w:sz w:val="22"/>
          <w:szCs w:val="22"/>
          <w:lang w:bidi="bn-BD"/>
        </w:rPr>
      </w:pPr>
      <w:r w:rsidRPr="0060472B">
        <w:rPr>
          <w:rFonts w:ascii="Arial" w:hAnsi="Arial" w:cs="Arial"/>
          <w:sz w:val="22"/>
          <w:szCs w:val="22"/>
          <w:lang w:bidi="bn-BD"/>
        </w:rPr>
        <w:t xml:space="preserve">Therefore, despite the fact that the Toyota organisational culture is an effective instrument of operational excellence promotion, its influence on structure and decisions may restrict strategic flexibility. This raises big questions on the </w:t>
      </w:r>
      <w:r w:rsidR="006266F6" w:rsidRPr="0060472B">
        <w:rPr>
          <w:rFonts w:ascii="Arial" w:hAnsi="Arial" w:cs="Arial"/>
          <w:sz w:val="22"/>
          <w:szCs w:val="22"/>
          <w:lang w:bidi="bn-BD"/>
        </w:rPr>
        <w:t>manoeuvrability</w:t>
      </w:r>
      <w:r w:rsidRPr="0060472B">
        <w:rPr>
          <w:rFonts w:ascii="Arial" w:hAnsi="Arial" w:cs="Arial"/>
          <w:sz w:val="22"/>
          <w:szCs w:val="22"/>
          <w:lang w:bidi="bn-BD"/>
        </w:rPr>
        <w:t xml:space="preserve"> of the long-established patterns of culture in the aftermath of the shocks caused by technology as well as environmental insecurity.</w:t>
      </w:r>
    </w:p>
    <w:p w14:paraId="38DA1859" w14:textId="77777777" w:rsidR="004714AD" w:rsidRDefault="004714AD" w:rsidP="004714AD">
      <w:pPr>
        <w:suppressAutoHyphens w:val="0"/>
        <w:spacing w:after="160" w:line="259" w:lineRule="auto"/>
        <w:jc w:val="left"/>
        <w:rPr>
          <w:rFonts w:ascii="Arial" w:hAnsi="Arial" w:cs="Arial"/>
          <w:sz w:val="22"/>
          <w:szCs w:val="22"/>
        </w:rPr>
      </w:pPr>
      <w:bookmarkStart w:id="9" w:name="_Toc226129653"/>
    </w:p>
    <w:p w14:paraId="677901C8" w14:textId="2BE98683" w:rsidR="005B4199" w:rsidRPr="004714AD" w:rsidRDefault="005B4199" w:rsidP="004714AD">
      <w:pPr>
        <w:suppressAutoHyphens w:val="0"/>
        <w:spacing w:after="160" w:line="259" w:lineRule="auto"/>
        <w:jc w:val="left"/>
        <w:rPr>
          <w:rFonts w:ascii="Arial" w:hAnsi="Arial" w:cs="Arial"/>
          <w:b/>
          <w:bCs/>
          <w:color w:val="5B9BD5" w:themeColor="accent1"/>
          <w:sz w:val="22"/>
          <w:szCs w:val="22"/>
          <w:lang w:bidi="bn-BD"/>
        </w:rPr>
      </w:pPr>
      <w:r w:rsidRPr="004714AD">
        <w:rPr>
          <w:rFonts w:ascii="Arial" w:hAnsi="Arial" w:cs="Arial"/>
          <w:b/>
          <w:bCs/>
          <w:sz w:val="28"/>
          <w:szCs w:val="28"/>
        </w:rPr>
        <w:t>4. Application of Schein’s Model of Organisational Culture</w:t>
      </w:r>
      <w:bookmarkEnd w:id="9"/>
    </w:p>
    <w:p w14:paraId="28463B73" w14:textId="77777777" w:rsidR="005B4199" w:rsidRPr="0060472B" w:rsidRDefault="005B4199" w:rsidP="005F4138">
      <w:pPr>
        <w:pStyle w:val="Heading3"/>
        <w:spacing w:line="360" w:lineRule="auto"/>
        <w:rPr>
          <w:rFonts w:ascii="Arial" w:hAnsi="Arial" w:cs="Arial"/>
          <w:color w:val="auto"/>
          <w:sz w:val="24"/>
          <w:szCs w:val="24"/>
        </w:rPr>
      </w:pPr>
      <w:bookmarkStart w:id="10" w:name="_Toc226129654"/>
      <w:r w:rsidRPr="0060472B">
        <w:rPr>
          <w:rFonts w:ascii="Arial" w:eastAsia="Times New Roman" w:hAnsi="Arial" w:cs="Arial"/>
          <w:color w:val="auto"/>
          <w:sz w:val="24"/>
          <w:szCs w:val="24"/>
        </w:rPr>
        <w:t>4.1 Overview of Schein’s Model</w:t>
      </w:r>
      <w:bookmarkEnd w:id="10"/>
    </w:p>
    <w:p w14:paraId="29636838" w14:textId="5A439A59" w:rsidR="005B4199" w:rsidRPr="0060472B" w:rsidRDefault="005B4199" w:rsidP="005F4138">
      <w:pPr>
        <w:spacing w:line="360" w:lineRule="auto"/>
        <w:rPr>
          <w:rFonts w:ascii="Arial" w:hAnsi="Arial" w:cs="Arial"/>
          <w:sz w:val="22"/>
          <w:szCs w:val="22"/>
        </w:rPr>
      </w:pPr>
      <w:r w:rsidRPr="0060472B">
        <w:rPr>
          <w:rFonts w:ascii="Arial" w:hAnsi="Arial" w:cs="Arial"/>
          <w:sz w:val="22"/>
          <w:szCs w:val="22"/>
        </w:rPr>
        <w:t>Edgar Schein theorises organisational culture on three levels that are interrelated and include artefacts, espoused values, and basic underlying assumptions. This model is analytically strong in the sense that it separates between visible organisational practices and the deeper beliefs, which are often not conscious, that are underlying behaviour. Recent publications emphasise the fact that organisations that fit all the three levels have an up to 35</w:t>
      </w:r>
      <w:r w:rsidR="00AF39A0">
        <w:rPr>
          <w:rFonts w:ascii="Arial" w:hAnsi="Arial" w:cs="Arial"/>
          <w:sz w:val="22"/>
          <w:szCs w:val="22"/>
        </w:rPr>
        <w:t xml:space="preserve">% </w:t>
      </w:r>
      <w:r w:rsidRPr="0060472B">
        <w:rPr>
          <w:rFonts w:ascii="Arial" w:hAnsi="Arial" w:cs="Arial"/>
          <w:sz w:val="22"/>
          <w:szCs w:val="22"/>
        </w:rPr>
        <w:t>greater strategic coherence compared to organisations with fragmented cultural strata (Schein, 2022; Nguyen and Waring, 2023).</w:t>
      </w:r>
    </w:p>
    <w:p w14:paraId="65A20415" w14:textId="77777777" w:rsidR="005B4199" w:rsidRPr="0060472B" w:rsidRDefault="005B4199" w:rsidP="005F4138">
      <w:pPr>
        <w:pStyle w:val="Heading3"/>
        <w:spacing w:line="360" w:lineRule="auto"/>
        <w:rPr>
          <w:rFonts w:ascii="Arial" w:hAnsi="Arial" w:cs="Arial"/>
          <w:color w:val="auto"/>
          <w:sz w:val="24"/>
          <w:szCs w:val="24"/>
        </w:rPr>
      </w:pPr>
      <w:bookmarkStart w:id="11" w:name="_Toc226129655"/>
      <w:r w:rsidRPr="0060472B">
        <w:rPr>
          <w:rFonts w:ascii="Arial" w:eastAsia="Times New Roman" w:hAnsi="Arial" w:cs="Arial"/>
          <w:color w:val="auto"/>
          <w:sz w:val="24"/>
          <w:szCs w:val="24"/>
        </w:rPr>
        <w:t>4.2 Application to Toyota</w:t>
      </w:r>
      <w:bookmarkEnd w:id="11"/>
    </w:p>
    <w:p w14:paraId="13838E5F" w14:textId="77777777" w:rsidR="005B4199" w:rsidRPr="0060472B" w:rsidRDefault="005B4199" w:rsidP="005F4138">
      <w:pPr>
        <w:spacing w:line="360" w:lineRule="auto"/>
        <w:rPr>
          <w:rFonts w:ascii="Arial" w:hAnsi="Arial" w:cs="Arial"/>
          <w:sz w:val="22"/>
          <w:szCs w:val="22"/>
        </w:rPr>
      </w:pPr>
      <w:r w:rsidRPr="0060472B">
        <w:rPr>
          <w:rFonts w:ascii="Arial" w:hAnsi="Arial" w:cs="Arial"/>
          <w:sz w:val="22"/>
          <w:szCs w:val="22"/>
        </w:rPr>
        <w:t>At the artefact level, the culture of Toyota is manifested in the form of the Toyota Production System (TPS), standardised work flows and visual management tools including Kanban boards. These artefacts allow monitoring the operations in real time and can lead to inventory reduction of about 35-40% and lead-time reduction of about 25% (Netland and Powell, 2022). Nevertheless, artefacts give little explanatory power because they do not give an insight into the motivations behind these practices.</w:t>
      </w:r>
    </w:p>
    <w:p w14:paraId="38F985D7" w14:textId="77777777" w:rsidR="005B4199" w:rsidRPr="0060472B" w:rsidRDefault="005B4199" w:rsidP="005F4138">
      <w:pPr>
        <w:spacing w:line="360" w:lineRule="auto"/>
        <w:rPr>
          <w:rFonts w:ascii="Arial" w:hAnsi="Arial" w:cs="Arial"/>
          <w:sz w:val="22"/>
          <w:szCs w:val="22"/>
        </w:rPr>
      </w:pPr>
      <w:r w:rsidRPr="0060472B">
        <w:rPr>
          <w:rFonts w:ascii="Arial" w:hAnsi="Arial" w:cs="Arial"/>
          <w:sz w:val="22"/>
          <w:szCs w:val="22"/>
        </w:rPr>
        <w:t>On the level of the espoused values, Toyota directly encourages continuous improvement and deference toward people. These values are operationalised via well-organised training programmes and systems of involvement of employees. According to empirical data, Toyota spends about 1,200-1,500 USD/employee per year on training, which is much higher than the industry average of 800 USD/employee/year (Liker and Franz, 2023). This enhances the cultural uniformity in international activities.</w:t>
      </w:r>
    </w:p>
    <w:p w14:paraId="57904CD7" w14:textId="77777777" w:rsidR="005B4199" w:rsidRPr="0060472B" w:rsidRDefault="005B4199" w:rsidP="005F4138">
      <w:pPr>
        <w:spacing w:line="360" w:lineRule="auto"/>
        <w:rPr>
          <w:rFonts w:ascii="Arial" w:hAnsi="Arial" w:cs="Arial"/>
          <w:sz w:val="22"/>
          <w:szCs w:val="22"/>
        </w:rPr>
      </w:pPr>
      <w:r w:rsidRPr="0060472B">
        <w:rPr>
          <w:rFonts w:ascii="Arial" w:hAnsi="Arial" w:cs="Arial"/>
          <w:sz w:val="22"/>
          <w:szCs w:val="22"/>
        </w:rPr>
        <w:lastRenderedPageBreak/>
        <w:t>The most fundamental level is the basic assumptions that show the long-term orientation and the belief in gradual improvement rather than radical changes at Toyota. It is based on this assumption that hybrid technology is more strategic to it than rapid electrification. Although this has provided stability and mitigation of risks, it has also led to a slower pace of innovation, with the R&amp;D transformation rates being estimated as 20-25 slower than agiler competitors (Kano, 2023).</w:t>
      </w:r>
    </w:p>
    <w:p w14:paraId="55E0B5BC" w14:textId="77777777" w:rsidR="005B4199" w:rsidRPr="00762DAD" w:rsidRDefault="005B4199" w:rsidP="005F4138">
      <w:pPr>
        <w:pStyle w:val="Heading3"/>
        <w:spacing w:line="360" w:lineRule="auto"/>
        <w:rPr>
          <w:rFonts w:ascii="Arial" w:hAnsi="Arial" w:cs="Arial"/>
          <w:color w:val="auto"/>
          <w:sz w:val="24"/>
          <w:szCs w:val="24"/>
        </w:rPr>
      </w:pPr>
      <w:bookmarkStart w:id="12" w:name="_Toc226129656"/>
      <w:r w:rsidRPr="00762DAD">
        <w:rPr>
          <w:rFonts w:ascii="Arial" w:eastAsia="Times New Roman" w:hAnsi="Arial" w:cs="Arial"/>
          <w:color w:val="auto"/>
          <w:sz w:val="24"/>
          <w:szCs w:val="24"/>
        </w:rPr>
        <w:t>4.3 Critical Evaluation of the Model</w:t>
      </w:r>
      <w:bookmarkEnd w:id="12"/>
    </w:p>
    <w:p w14:paraId="28A8E123" w14:textId="77777777" w:rsidR="005B4199" w:rsidRPr="00F07C4D" w:rsidRDefault="005B4199" w:rsidP="005F4138">
      <w:pPr>
        <w:spacing w:line="360" w:lineRule="auto"/>
        <w:rPr>
          <w:rFonts w:ascii="Arial" w:hAnsi="Arial" w:cs="Arial"/>
          <w:sz w:val="22"/>
          <w:szCs w:val="22"/>
        </w:rPr>
      </w:pPr>
      <w:r w:rsidRPr="00F07C4D">
        <w:rPr>
          <w:rFonts w:ascii="Arial" w:hAnsi="Arial" w:cs="Arial"/>
          <w:sz w:val="22"/>
          <w:szCs w:val="22"/>
        </w:rPr>
        <w:t>The model by Schein can well describe the richness and the longevity of the Toyota culture especially why it is so resistant to change. The congruency of artefacts, values, and assumptions builds effective organisational coherence, which promotes efficiency and quality. Nonetheless, the same alignment may lead to rigidity. Basic assumptions can inhibit organisational learning and adaptability when they strongly root.</w:t>
      </w:r>
    </w:p>
    <w:p w14:paraId="71D1CE82" w14:textId="77777777" w:rsidR="005B4199" w:rsidRPr="00F07C4D" w:rsidRDefault="005B4199" w:rsidP="005F4138">
      <w:pPr>
        <w:spacing w:line="360" w:lineRule="auto"/>
        <w:rPr>
          <w:rFonts w:ascii="Arial" w:hAnsi="Arial" w:cs="Arial"/>
          <w:sz w:val="22"/>
          <w:szCs w:val="22"/>
        </w:rPr>
      </w:pPr>
      <w:r w:rsidRPr="00F07C4D">
        <w:rPr>
          <w:rFonts w:ascii="Arial" w:hAnsi="Arial" w:cs="Arial"/>
          <w:sz w:val="22"/>
          <w:szCs w:val="22"/>
        </w:rPr>
        <w:t>In addition, the pressure of external environment is not completely considered in the framework by Schein, which is becoming a major concern in global industries. Although it describes how culture operates, it does not provide much of how culture develops under disruption. In Toyota, this weakness is reflected through its slow, as opposed to radical response, to the pressures of electrification and digitalisation.</w:t>
      </w:r>
    </w:p>
    <w:p w14:paraId="49A43180" w14:textId="77777777" w:rsidR="009644EB" w:rsidRDefault="009644EB" w:rsidP="009644EB">
      <w:pPr>
        <w:suppressAutoHyphens w:val="0"/>
        <w:spacing w:after="160" w:line="259" w:lineRule="auto"/>
        <w:jc w:val="left"/>
        <w:rPr>
          <w:rFonts w:ascii="Arial" w:hAnsi="Arial" w:cs="Arial"/>
          <w:sz w:val="22"/>
          <w:szCs w:val="22"/>
        </w:rPr>
      </w:pPr>
      <w:bookmarkStart w:id="13" w:name="_Toc226129657"/>
    </w:p>
    <w:p w14:paraId="3B562DA5" w14:textId="260930DC" w:rsidR="005B4199" w:rsidRPr="009644EB" w:rsidRDefault="005B4199" w:rsidP="009644EB">
      <w:pPr>
        <w:suppressAutoHyphens w:val="0"/>
        <w:spacing w:after="160" w:line="259" w:lineRule="auto"/>
        <w:rPr>
          <w:rFonts w:ascii="Arial" w:hAnsi="Arial" w:cs="Arial"/>
          <w:b/>
          <w:bCs/>
          <w:color w:val="5B9BD5" w:themeColor="accent1"/>
          <w:sz w:val="22"/>
          <w:szCs w:val="22"/>
          <w:lang w:bidi="bn-BD"/>
        </w:rPr>
      </w:pPr>
      <w:r w:rsidRPr="009644EB">
        <w:rPr>
          <w:rFonts w:ascii="Arial" w:hAnsi="Arial" w:cs="Arial"/>
          <w:b/>
          <w:bCs/>
          <w:sz w:val="28"/>
          <w:szCs w:val="28"/>
        </w:rPr>
        <w:t>5. Organisational Culture and Adaptation to the External Environment</w:t>
      </w:r>
      <w:bookmarkEnd w:id="13"/>
    </w:p>
    <w:p w14:paraId="7421E450" w14:textId="77777777" w:rsidR="005B4199" w:rsidRPr="007C23C2" w:rsidRDefault="005B4199" w:rsidP="005F4138">
      <w:pPr>
        <w:pStyle w:val="Heading3"/>
        <w:spacing w:line="360" w:lineRule="auto"/>
        <w:rPr>
          <w:rFonts w:ascii="Arial" w:hAnsi="Arial" w:cs="Arial"/>
          <w:color w:val="auto"/>
          <w:sz w:val="24"/>
          <w:szCs w:val="24"/>
        </w:rPr>
      </w:pPr>
      <w:bookmarkStart w:id="14" w:name="_Toc226129658"/>
      <w:r w:rsidRPr="007C23C2">
        <w:rPr>
          <w:rFonts w:ascii="Arial" w:eastAsia="Times New Roman" w:hAnsi="Arial" w:cs="Arial"/>
          <w:color w:val="auto"/>
          <w:sz w:val="24"/>
          <w:szCs w:val="24"/>
        </w:rPr>
        <w:t>5.1 External Pressures</w:t>
      </w:r>
      <w:bookmarkEnd w:id="14"/>
    </w:p>
    <w:p w14:paraId="5340B4F1" w14:textId="33AA617A" w:rsidR="005B4199" w:rsidRPr="007C23C2" w:rsidRDefault="005B4199" w:rsidP="005F4138">
      <w:pPr>
        <w:spacing w:line="360" w:lineRule="auto"/>
        <w:rPr>
          <w:rFonts w:ascii="Arial" w:hAnsi="Arial" w:cs="Arial"/>
          <w:sz w:val="22"/>
          <w:szCs w:val="22"/>
        </w:rPr>
      </w:pPr>
      <w:r w:rsidRPr="007C23C2">
        <w:rPr>
          <w:rFonts w:ascii="Arial" w:hAnsi="Arial" w:cs="Arial"/>
          <w:sz w:val="22"/>
          <w:szCs w:val="22"/>
        </w:rPr>
        <w:t>Toyota is in a very dynamic external environment that is characterised by technological disruption, regulatory pressures and changing consumer preferences. The electric vehicle (EV) market alone in the world increased by over 35 percent each year in 2022-24 and sold more than 14 million vehicles (IEA, 2024). At the same time, the governments have imposed a more rigid set of emissions regulations, which adds around 20-25</w:t>
      </w:r>
      <w:r w:rsidR="001147C6">
        <w:rPr>
          <w:rFonts w:ascii="Arial" w:hAnsi="Arial" w:cs="Arial"/>
          <w:sz w:val="22"/>
          <w:szCs w:val="22"/>
        </w:rPr>
        <w:t>%</w:t>
      </w:r>
      <w:r w:rsidRPr="007C23C2">
        <w:rPr>
          <w:rFonts w:ascii="Arial" w:hAnsi="Arial" w:cs="Arial"/>
          <w:sz w:val="22"/>
          <w:szCs w:val="22"/>
        </w:rPr>
        <w:t xml:space="preserve"> to compliance costs throughout the automotive industry (Wells and Nieuwenhuis, 2022).</w:t>
      </w:r>
    </w:p>
    <w:p w14:paraId="746A6055" w14:textId="77777777" w:rsidR="005B4199" w:rsidRPr="003E666A" w:rsidRDefault="005B4199" w:rsidP="005F4138">
      <w:pPr>
        <w:pStyle w:val="Heading3"/>
        <w:spacing w:line="360" w:lineRule="auto"/>
        <w:rPr>
          <w:rFonts w:ascii="Arial" w:hAnsi="Arial" w:cs="Arial"/>
          <w:color w:val="auto"/>
          <w:sz w:val="24"/>
          <w:szCs w:val="24"/>
        </w:rPr>
      </w:pPr>
      <w:bookmarkStart w:id="15" w:name="_Toc226129659"/>
      <w:r w:rsidRPr="003E666A">
        <w:rPr>
          <w:rFonts w:ascii="Arial" w:eastAsia="Times New Roman" w:hAnsi="Arial" w:cs="Arial"/>
          <w:color w:val="auto"/>
          <w:sz w:val="24"/>
          <w:szCs w:val="24"/>
        </w:rPr>
        <w:t>5.2 Cultural Response to External Changes</w:t>
      </w:r>
      <w:bookmarkEnd w:id="15"/>
    </w:p>
    <w:p w14:paraId="2FFE9477" w14:textId="77777777" w:rsidR="005B4199" w:rsidRPr="00FA0DA0" w:rsidRDefault="005B4199" w:rsidP="005F4138">
      <w:pPr>
        <w:spacing w:line="360" w:lineRule="auto"/>
        <w:rPr>
          <w:rFonts w:ascii="Arial" w:hAnsi="Arial" w:cs="Arial"/>
          <w:sz w:val="22"/>
          <w:szCs w:val="22"/>
        </w:rPr>
      </w:pPr>
      <w:r w:rsidRPr="00FA0DA0">
        <w:rPr>
          <w:rFonts w:ascii="Arial" w:hAnsi="Arial" w:cs="Arial"/>
          <w:sz w:val="22"/>
          <w:szCs w:val="22"/>
        </w:rPr>
        <w:t>The culture at Toyota has been able to respond to these pressures in a measured and risk averse manner. The company has drawn on hybrid technology rather than battery electric vehicles (BEVs), and it has not been aggressive in attempting to acquire BEVs, but its cumulative sales of hybrids have reached over 20 million vehicles around the world. This is a strategic fit with its assumption of incremental improvement.</w:t>
      </w:r>
    </w:p>
    <w:p w14:paraId="54926F2C" w14:textId="228C550C" w:rsidR="005B4199" w:rsidRPr="00FA0DA0" w:rsidRDefault="005B4199" w:rsidP="005F4138">
      <w:pPr>
        <w:spacing w:line="360" w:lineRule="auto"/>
        <w:rPr>
          <w:rFonts w:ascii="Arial" w:hAnsi="Arial" w:cs="Arial"/>
          <w:sz w:val="22"/>
          <w:szCs w:val="22"/>
        </w:rPr>
      </w:pPr>
      <w:r w:rsidRPr="00FA0DA0">
        <w:rPr>
          <w:rFonts w:ascii="Arial" w:hAnsi="Arial" w:cs="Arial"/>
          <w:sz w:val="22"/>
          <w:szCs w:val="22"/>
        </w:rPr>
        <w:t>In supply chain crises, especially the semiconductor crisis, Toyota initially performed better than its rivals by sustaining its production levels of about 10</w:t>
      </w:r>
      <w:r w:rsidR="001147C6">
        <w:rPr>
          <w:rFonts w:ascii="Arial" w:hAnsi="Arial" w:cs="Arial"/>
          <w:sz w:val="22"/>
          <w:szCs w:val="22"/>
        </w:rPr>
        <w:t>-</w:t>
      </w:r>
      <w:r w:rsidRPr="00FA0DA0">
        <w:rPr>
          <w:rFonts w:ascii="Arial" w:hAnsi="Arial" w:cs="Arial"/>
          <w:sz w:val="22"/>
          <w:szCs w:val="22"/>
        </w:rPr>
        <w:t>15</w:t>
      </w:r>
      <w:r w:rsidR="001147C6">
        <w:rPr>
          <w:rFonts w:ascii="Arial" w:hAnsi="Arial" w:cs="Arial"/>
          <w:sz w:val="22"/>
          <w:szCs w:val="22"/>
        </w:rPr>
        <w:t xml:space="preserve">% </w:t>
      </w:r>
      <w:r w:rsidRPr="00FA0DA0">
        <w:rPr>
          <w:rFonts w:ascii="Arial" w:hAnsi="Arial" w:cs="Arial"/>
          <w:sz w:val="22"/>
          <w:szCs w:val="22"/>
        </w:rPr>
        <w:t xml:space="preserve">higher than industry </w:t>
      </w:r>
      <w:r w:rsidRPr="00FA0DA0">
        <w:rPr>
          <w:rFonts w:ascii="Arial" w:hAnsi="Arial" w:cs="Arial"/>
          <w:sz w:val="22"/>
          <w:szCs w:val="22"/>
        </w:rPr>
        <w:lastRenderedPageBreak/>
        <w:t>averages because of its rigorous supplier management methods (Helper and Henderson, 2022). This reflects the adjustive ability of its culture in the environment of operations.</w:t>
      </w:r>
    </w:p>
    <w:p w14:paraId="10BFD1F0" w14:textId="40B2E6F2" w:rsidR="005B4199" w:rsidRPr="00FA0DA0" w:rsidRDefault="005B4199" w:rsidP="005F4138">
      <w:pPr>
        <w:spacing w:line="360" w:lineRule="auto"/>
        <w:rPr>
          <w:rFonts w:ascii="Arial" w:hAnsi="Arial" w:cs="Arial"/>
          <w:sz w:val="22"/>
          <w:szCs w:val="22"/>
        </w:rPr>
      </w:pPr>
      <w:r w:rsidRPr="00FA0DA0">
        <w:rPr>
          <w:rFonts w:ascii="Arial" w:hAnsi="Arial" w:cs="Arial"/>
          <w:sz w:val="22"/>
          <w:szCs w:val="22"/>
        </w:rPr>
        <w:t>Nevertheless, this flexibility is skewed. Toyota does a great job in streamlining processes, but it does not make fast strategic moves. Its EV market share is less than 5</w:t>
      </w:r>
      <w:r w:rsidR="001147C6">
        <w:rPr>
          <w:rFonts w:ascii="Arial" w:hAnsi="Arial" w:cs="Arial"/>
          <w:sz w:val="22"/>
          <w:szCs w:val="22"/>
        </w:rPr>
        <w:t>%</w:t>
      </w:r>
      <w:r w:rsidRPr="00FA0DA0">
        <w:rPr>
          <w:rFonts w:ascii="Arial" w:hAnsi="Arial" w:cs="Arial"/>
          <w:sz w:val="22"/>
          <w:szCs w:val="22"/>
        </w:rPr>
        <w:t>, which means that it is not quick enough to react to changes in the structure of the industry (IEA, 2024).</w:t>
      </w:r>
    </w:p>
    <w:p w14:paraId="29E5ADB2" w14:textId="77777777" w:rsidR="005B4199" w:rsidRPr="006326E1" w:rsidRDefault="005B4199" w:rsidP="005F4138">
      <w:pPr>
        <w:pStyle w:val="Heading3"/>
        <w:spacing w:line="360" w:lineRule="auto"/>
        <w:rPr>
          <w:rFonts w:ascii="Arial" w:hAnsi="Arial" w:cs="Arial"/>
          <w:color w:val="auto"/>
          <w:sz w:val="24"/>
          <w:szCs w:val="24"/>
        </w:rPr>
      </w:pPr>
      <w:bookmarkStart w:id="16" w:name="_Toc226129660"/>
      <w:r w:rsidRPr="006326E1">
        <w:rPr>
          <w:rFonts w:ascii="Arial" w:eastAsia="Times New Roman" w:hAnsi="Arial" w:cs="Arial"/>
          <w:color w:val="auto"/>
          <w:sz w:val="24"/>
          <w:szCs w:val="24"/>
        </w:rPr>
        <w:t>5.3 Critical Evaluation</w:t>
      </w:r>
      <w:bookmarkEnd w:id="16"/>
    </w:p>
    <w:p w14:paraId="6B454068" w14:textId="60B92F0E" w:rsidR="005B4199" w:rsidRPr="006326E1" w:rsidRDefault="005B4199" w:rsidP="005F4138">
      <w:pPr>
        <w:spacing w:line="360" w:lineRule="auto"/>
        <w:rPr>
          <w:rFonts w:ascii="Arial" w:hAnsi="Arial" w:cs="Arial"/>
          <w:sz w:val="22"/>
          <w:szCs w:val="22"/>
        </w:rPr>
      </w:pPr>
      <w:r w:rsidRPr="006326E1">
        <w:rPr>
          <w:rFonts w:ascii="Arial" w:hAnsi="Arial" w:cs="Arial"/>
          <w:sz w:val="22"/>
          <w:szCs w:val="22"/>
        </w:rPr>
        <w:t xml:space="preserve">More importantly, the culture at Toyota serves as both an adaptation strategy and a limitation. It allows a stable or moderating volatile </w:t>
      </w:r>
      <w:r w:rsidR="006326E1" w:rsidRPr="006326E1">
        <w:rPr>
          <w:rFonts w:ascii="Arial" w:hAnsi="Arial" w:cs="Arial"/>
          <w:sz w:val="22"/>
          <w:szCs w:val="22"/>
        </w:rPr>
        <w:t>environment,</w:t>
      </w:r>
      <w:r w:rsidRPr="006326E1">
        <w:rPr>
          <w:rFonts w:ascii="Arial" w:hAnsi="Arial" w:cs="Arial"/>
          <w:sz w:val="22"/>
          <w:szCs w:val="22"/>
        </w:rPr>
        <w:t xml:space="preserve"> but it is less efficient in situations where there is need to transform swiftly. The company has a risk-averse strategy that minimizes risk but can also have opportunity cost, especially in the high growth markets like EVs.</w:t>
      </w:r>
    </w:p>
    <w:p w14:paraId="5AC4BF34" w14:textId="77777777" w:rsidR="005B4199" w:rsidRPr="006326E1" w:rsidRDefault="005B4199" w:rsidP="005F4138">
      <w:pPr>
        <w:spacing w:line="360" w:lineRule="auto"/>
        <w:rPr>
          <w:rFonts w:ascii="Arial" w:hAnsi="Arial" w:cs="Arial"/>
          <w:sz w:val="22"/>
          <w:szCs w:val="22"/>
        </w:rPr>
      </w:pPr>
      <w:r w:rsidRPr="006326E1">
        <w:rPr>
          <w:rFonts w:ascii="Arial" w:hAnsi="Arial" w:cs="Arial"/>
          <w:sz w:val="22"/>
          <w:szCs w:val="22"/>
        </w:rPr>
        <w:t>This implies that cultural adaptability does not always occur in the same way; it depends on the type of environmental change. The Toyota culture is very competent in terms of incremental adaptability, but not as in discontinuous change, which is a cause of concern in terms of competitiveness in the long-term.</w:t>
      </w:r>
    </w:p>
    <w:p w14:paraId="15A05916" w14:textId="77777777" w:rsidR="00304A81" w:rsidRDefault="00304A81" w:rsidP="005F4138">
      <w:pPr>
        <w:pStyle w:val="Heading2"/>
        <w:spacing w:line="360" w:lineRule="auto"/>
        <w:rPr>
          <w:rFonts w:ascii="Arial" w:eastAsia="Times New Roman" w:hAnsi="Arial" w:cs="Arial"/>
          <w:color w:val="auto"/>
          <w:sz w:val="28"/>
          <w:szCs w:val="28"/>
        </w:rPr>
      </w:pPr>
      <w:bookmarkStart w:id="17" w:name="_Toc226129661"/>
    </w:p>
    <w:p w14:paraId="48E81D9C" w14:textId="606B7625" w:rsidR="005B4199" w:rsidRPr="00E53D21" w:rsidRDefault="005B4199" w:rsidP="005F4138">
      <w:pPr>
        <w:pStyle w:val="Heading2"/>
        <w:spacing w:line="360" w:lineRule="auto"/>
        <w:rPr>
          <w:rFonts w:ascii="Arial" w:hAnsi="Arial" w:cs="Arial"/>
          <w:color w:val="auto"/>
          <w:sz w:val="28"/>
          <w:szCs w:val="28"/>
        </w:rPr>
      </w:pPr>
      <w:r w:rsidRPr="00E53D21">
        <w:rPr>
          <w:rFonts w:ascii="Arial" w:eastAsia="Times New Roman" w:hAnsi="Arial" w:cs="Arial"/>
          <w:color w:val="auto"/>
          <w:sz w:val="28"/>
          <w:szCs w:val="28"/>
        </w:rPr>
        <w:t>6. Organisational Culture as an Enabler or Barrier</w:t>
      </w:r>
      <w:bookmarkEnd w:id="17"/>
    </w:p>
    <w:p w14:paraId="0BC4BCD9" w14:textId="77777777" w:rsidR="005B4199" w:rsidRPr="00E53D21" w:rsidRDefault="005B4199" w:rsidP="005F4138">
      <w:pPr>
        <w:pStyle w:val="Heading3"/>
        <w:spacing w:line="360" w:lineRule="auto"/>
        <w:rPr>
          <w:rFonts w:ascii="Arial" w:hAnsi="Arial" w:cs="Arial"/>
          <w:color w:val="auto"/>
          <w:sz w:val="24"/>
          <w:szCs w:val="24"/>
        </w:rPr>
      </w:pPr>
      <w:bookmarkStart w:id="18" w:name="_Toc226129662"/>
      <w:r w:rsidRPr="00E53D21">
        <w:rPr>
          <w:rFonts w:ascii="Arial" w:eastAsia="Times New Roman" w:hAnsi="Arial" w:cs="Arial"/>
          <w:color w:val="auto"/>
          <w:sz w:val="24"/>
          <w:szCs w:val="24"/>
        </w:rPr>
        <w:t>6.1 Culture as an Enabler</w:t>
      </w:r>
      <w:bookmarkEnd w:id="18"/>
    </w:p>
    <w:p w14:paraId="158D75C6" w14:textId="00B79E19" w:rsidR="005B4199" w:rsidRPr="002C299E" w:rsidRDefault="005B4199" w:rsidP="005F4138">
      <w:pPr>
        <w:spacing w:line="360" w:lineRule="auto"/>
        <w:rPr>
          <w:rFonts w:ascii="Arial" w:hAnsi="Arial" w:cs="Arial"/>
          <w:sz w:val="22"/>
          <w:szCs w:val="22"/>
        </w:rPr>
      </w:pPr>
      <w:r w:rsidRPr="002C299E">
        <w:rPr>
          <w:rFonts w:ascii="Arial" w:hAnsi="Arial" w:cs="Arial"/>
          <w:sz w:val="22"/>
          <w:szCs w:val="22"/>
        </w:rPr>
        <w:t>The organisational culture of Toyota is a major facilitator of operational excellence. Lean has resulted in lower costs of production of about 15</w:t>
      </w:r>
      <w:r w:rsidR="001147C6">
        <w:rPr>
          <w:rFonts w:ascii="Arial" w:hAnsi="Arial" w:cs="Arial"/>
          <w:sz w:val="22"/>
          <w:szCs w:val="22"/>
        </w:rPr>
        <w:t>-</w:t>
      </w:r>
      <w:r w:rsidRPr="002C299E">
        <w:rPr>
          <w:rFonts w:ascii="Arial" w:hAnsi="Arial" w:cs="Arial"/>
          <w:sz w:val="22"/>
          <w:szCs w:val="22"/>
        </w:rPr>
        <w:t>20</w:t>
      </w:r>
      <w:r w:rsidR="001147C6">
        <w:rPr>
          <w:rFonts w:ascii="Arial" w:hAnsi="Arial" w:cs="Arial"/>
          <w:sz w:val="22"/>
          <w:szCs w:val="22"/>
        </w:rPr>
        <w:t>%</w:t>
      </w:r>
      <w:r w:rsidRPr="002C299E">
        <w:rPr>
          <w:rFonts w:ascii="Arial" w:hAnsi="Arial" w:cs="Arial"/>
          <w:sz w:val="22"/>
          <w:szCs w:val="22"/>
        </w:rPr>
        <w:t xml:space="preserve">, and high-quality production (Netland and Powell, 2022). The level of employee engagement is also </w:t>
      </w:r>
      <w:r w:rsidR="004258FB">
        <w:rPr>
          <w:rFonts w:ascii="Arial" w:hAnsi="Arial" w:cs="Arial"/>
          <w:sz w:val="22"/>
          <w:szCs w:val="22"/>
          <w:lang w:bidi="he-IL"/>
        </w:rPr>
        <w:t>high</w:t>
      </w:r>
      <w:r w:rsidRPr="002C299E">
        <w:rPr>
          <w:rFonts w:ascii="Arial" w:hAnsi="Arial" w:cs="Arial"/>
          <w:sz w:val="22"/>
          <w:szCs w:val="22"/>
        </w:rPr>
        <w:t>, and more than 85</w:t>
      </w:r>
      <w:r w:rsidR="001147C6">
        <w:rPr>
          <w:rFonts w:ascii="Arial" w:hAnsi="Arial" w:cs="Arial"/>
          <w:sz w:val="22"/>
          <w:szCs w:val="22"/>
        </w:rPr>
        <w:t xml:space="preserve">% </w:t>
      </w:r>
      <w:r w:rsidRPr="002C299E">
        <w:rPr>
          <w:rFonts w:ascii="Arial" w:hAnsi="Arial" w:cs="Arial"/>
          <w:sz w:val="22"/>
          <w:szCs w:val="22"/>
        </w:rPr>
        <w:t>of the workforce is involved in the continuous improvement program (Liker and Franz, 2023).</w:t>
      </w:r>
    </w:p>
    <w:p w14:paraId="6EEBF575" w14:textId="77777777" w:rsidR="005B4199" w:rsidRPr="002C299E" w:rsidRDefault="005B4199" w:rsidP="005F4138">
      <w:pPr>
        <w:spacing w:line="360" w:lineRule="auto"/>
        <w:rPr>
          <w:rFonts w:ascii="Arial" w:hAnsi="Arial" w:cs="Arial"/>
          <w:sz w:val="22"/>
          <w:szCs w:val="22"/>
        </w:rPr>
      </w:pPr>
      <w:r w:rsidRPr="002C299E">
        <w:rPr>
          <w:rFonts w:ascii="Arial" w:hAnsi="Arial" w:cs="Arial"/>
          <w:sz w:val="22"/>
          <w:szCs w:val="22"/>
        </w:rPr>
        <w:t>This cultural fit, in terms of financial performance, presents itself in high performance ratios, such as operating margins of approximately 1012, as compared to industry rates of 68 (Statista, 2024). These results prove that the culture of Toyota has a direct positive impact on efficiency, quality, and profitability.</w:t>
      </w:r>
    </w:p>
    <w:p w14:paraId="6D34831C" w14:textId="77777777" w:rsidR="005B4199" w:rsidRPr="002C299E" w:rsidRDefault="005B4199" w:rsidP="005F4138">
      <w:pPr>
        <w:pStyle w:val="Heading3"/>
        <w:spacing w:line="360" w:lineRule="auto"/>
        <w:rPr>
          <w:rFonts w:ascii="Arial" w:hAnsi="Arial" w:cs="Arial"/>
          <w:color w:val="auto"/>
          <w:sz w:val="24"/>
          <w:szCs w:val="24"/>
        </w:rPr>
      </w:pPr>
      <w:bookmarkStart w:id="19" w:name="_Toc226129663"/>
      <w:r w:rsidRPr="002C299E">
        <w:rPr>
          <w:rFonts w:ascii="Arial" w:eastAsia="Times New Roman" w:hAnsi="Arial" w:cs="Arial"/>
          <w:color w:val="auto"/>
          <w:sz w:val="24"/>
          <w:szCs w:val="24"/>
        </w:rPr>
        <w:t>6.2 Culture as a Barrier</w:t>
      </w:r>
      <w:bookmarkEnd w:id="19"/>
    </w:p>
    <w:p w14:paraId="1296C1E2" w14:textId="77777777" w:rsidR="005B4199" w:rsidRPr="00542DD7" w:rsidRDefault="005B4199" w:rsidP="005F4138">
      <w:pPr>
        <w:spacing w:line="360" w:lineRule="auto"/>
        <w:rPr>
          <w:rFonts w:ascii="Arial" w:hAnsi="Arial" w:cs="Arial"/>
          <w:sz w:val="22"/>
          <w:szCs w:val="22"/>
        </w:rPr>
      </w:pPr>
      <w:r w:rsidRPr="00542DD7">
        <w:rPr>
          <w:rFonts w:ascii="Arial" w:hAnsi="Arial" w:cs="Arial"/>
          <w:sz w:val="22"/>
          <w:szCs w:val="22"/>
        </w:rPr>
        <w:t>On the other hand, the same cultural traits may be a hindrance. The culture of consensus and risk aversion delays the decision-making process and constrains innovation. It has been shown that innovation latency in organisations with a high level of consensus-driven cultures can reach up to 25 years, especially in the new technology (Kano, 2023).</w:t>
      </w:r>
    </w:p>
    <w:p w14:paraId="3C98C68E" w14:textId="77777777" w:rsidR="005B4199" w:rsidRPr="00542DD7" w:rsidRDefault="005B4199" w:rsidP="005F4138">
      <w:pPr>
        <w:spacing w:line="360" w:lineRule="auto"/>
        <w:rPr>
          <w:rFonts w:ascii="Arial" w:hAnsi="Arial" w:cs="Arial"/>
          <w:sz w:val="22"/>
          <w:szCs w:val="22"/>
        </w:rPr>
      </w:pPr>
      <w:r w:rsidRPr="00542DD7">
        <w:rPr>
          <w:rFonts w:ascii="Arial" w:hAnsi="Arial" w:cs="Arial"/>
          <w:sz w:val="22"/>
          <w:szCs w:val="22"/>
        </w:rPr>
        <w:t>This weakness is evident in the slow pace of the BEV adoption at Toyota. As competitors have been fast diversifying the EV portfolios, Toyota has been conservative and this has limited its position in this segment. Moreover, excessive dependence on standardisation may decrease the flexibility and be unable to react to unforeseen disturbances.</w:t>
      </w:r>
    </w:p>
    <w:p w14:paraId="4C060C0E" w14:textId="77777777" w:rsidR="005B4199" w:rsidRPr="00542DD7" w:rsidRDefault="005B4199" w:rsidP="005F4138">
      <w:pPr>
        <w:pStyle w:val="Heading3"/>
        <w:spacing w:line="360" w:lineRule="auto"/>
        <w:rPr>
          <w:rFonts w:ascii="Arial" w:hAnsi="Arial" w:cs="Arial"/>
          <w:color w:val="auto"/>
          <w:sz w:val="24"/>
          <w:szCs w:val="24"/>
        </w:rPr>
      </w:pPr>
      <w:bookmarkStart w:id="20" w:name="_Toc226129664"/>
      <w:r w:rsidRPr="00542DD7">
        <w:rPr>
          <w:rFonts w:ascii="Arial" w:hAnsi="Arial" w:cs="Arial"/>
          <w:color w:val="auto"/>
          <w:sz w:val="24"/>
          <w:szCs w:val="24"/>
        </w:rPr>
        <w:lastRenderedPageBreak/>
        <w:t>6.3 Critical Judgement</w:t>
      </w:r>
      <w:bookmarkEnd w:id="20"/>
    </w:p>
    <w:p w14:paraId="1F094017" w14:textId="77777777" w:rsidR="005B4199" w:rsidRPr="00E71D5D" w:rsidRDefault="005B4199" w:rsidP="005F4138">
      <w:pPr>
        <w:spacing w:line="360" w:lineRule="auto"/>
        <w:rPr>
          <w:rFonts w:ascii="Arial" w:hAnsi="Arial" w:cs="Arial"/>
          <w:sz w:val="22"/>
          <w:szCs w:val="22"/>
        </w:rPr>
      </w:pPr>
      <w:r w:rsidRPr="00E71D5D">
        <w:rPr>
          <w:rFonts w:ascii="Arial" w:hAnsi="Arial" w:cs="Arial"/>
          <w:sz w:val="22"/>
          <w:szCs w:val="22"/>
        </w:rPr>
        <w:t>A balanced evaluation means that the culture of Toyota is more of a facilitator in operational situations but a constriction in strategic situations. It depends on the stability of the environment. It is also more effective in stable settings and can be counterproductive in turbulent settings.</w:t>
      </w:r>
    </w:p>
    <w:p w14:paraId="40EC8560" w14:textId="77777777" w:rsidR="005B4199" w:rsidRPr="00E71D5D" w:rsidRDefault="005B4199" w:rsidP="005F4138">
      <w:pPr>
        <w:spacing w:line="360" w:lineRule="auto"/>
        <w:rPr>
          <w:rFonts w:ascii="Arial" w:hAnsi="Arial" w:cs="Arial"/>
          <w:sz w:val="22"/>
          <w:szCs w:val="22"/>
        </w:rPr>
      </w:pPr>
      <w:r w:rsidRPr="00E71D5D">
        <w:rPr>
          <w:rFonts w:ascii="Arial" w:hAnsi="Arial" w:cs="Arial"/>
          <w:sz w:val="22"/>
          <w:szCs w:val="22"/>
        </w:rPr>
        <w:t>In this way, organisational culture cannot be divided into positive and negative. Its influence is determined by the correspondence of cultural peculiarities and exogenous requirements.</w:t>
      </w:r>
    </w:p>
    <w:p w14:paraId="085A9416" w14:textId="77777777" w:rsidR="00304A81" w:rsidRDefault="00304A81" w:rsidP="005F4138">
      <w:pPr>
        <w:pStyle w:val="Heading2"/>
        <w:spacing w:line="360" w:lineRule="auto"/>
        <w:rPr>
          <w:rFonts w:ascii="Arial" w:eastAsia="Times New Roman" w:hAnsi="Arial" w:cs="Arial"/>
          <w:color w:val="auto"/>
          <w:sz w:val="28"/>
          <w:szCs w:val="28"/>
        </w:rPr>
      </w:pPr>
      <w:bookmarkStart w:id="21" w:name="_Toc226129665"/>
    </w:p>
    <w:p w14:paraId="4CC5979B" w14:textId="555A6827" w:rsidR="005B4199" w:rsidRPr="00E71D5D" w:rsidRDefault="005B4199" w:rsidP="005F4138">
      <w:pPr>
        <w:pStyle w:val="Heading2"/>
        <w:spacing w:line="360" w:lineRule="auto"/>
        <w:rPr>
          <w:rFonts w:ascii="Arial" w:hAnsi="Arial" w:cs="Arial"/>
          <w:color w:val="auto"/>
          <w:sz w:val="28"/>
          <w:szCs w:val="28"/>
        </w:rPr>
      </w:pPr>
      <w:r w:rsidRPr="00E71D5D">
        <w:rPr>
          <w:rFonts w:ascii="Arial" w:eastAsia="Times New Roman" w:hAnsi="Arial" w:cs="Arial"/>
          <w:color w:val="auto"/>
          <w:sz w:val="28"/>
          <w:szCs w:val="28"/>
        </w:rPr>
        <w:t>7. Impact of Organisational Culture on Performance and Recommendations</w:t>
      </w:r>
      <w:bookmarkEnd w:id="21"/>
    </w:p>
    <w:p w14:paraId="5355E615" w14:textId="77777777" w:rsidR="005B4199" w:rsidRPr="00E71D5D" w:rsidRDefault="005B4199" w:rsidP="005F4138">
      <w:pPr>
        <w:pStyle w:val="Heading3"/>
        <w:spacing w:line="360" w:lineRule="auto"/>
        <w:rPr>
          <w:rFonts w:ascii="Arial" w:hAnsi="Arial" w:cs="Arial"/>
          <w:color w:val="auto"/>
          <w:sz w:val="24"/>
          <w:szCs w:val="24"/>
        </w:rPr>
      </w:pPr>
      <w:bookmarkStart w:id="22" w:name="_Toc226129666"/>
      <w:r w:rsidRPr="00E71D5D">
        <w:rPr>
          <w:rFonts w:ascii="Arial" w:eastAsia="Times New Roman" w:hAnsi="Arial" w:cs="Arial"/>
          <w:color w:val="auto"/>
          <w:sz w:val="24"/>
          <w:szCs w:val="24"/>
        </w:rPr>
        <w:t>7.1 Impact on Performance</w:t>
      </w:r>
      <w:bookmarkEnd w:id="22"/>
    </w:p>
    <w:p w14:paraId="21688621" w14:textId="620CAF2D" w:rsidR="005B4199" w:rsidRPr="00E71D5D" w:rsidRDefault="005B4199" w:rsidP="005F4138">
      <w:pPr>
        <w:spacing w:line="360" w:lineRule="auto"/>
        <w:rPr>
          <w:rFonts w:ascii="Arial" w:hAnsi="Arial" w:cs="Arial"/>
          <w:sz w:val="22"/>
          <w:szCs w:val="22"/>
        </w:rPr>
      </w:pPr>
      <w:r w:rsidRPr="00E71D5D">
        <w:rPr>
          <w:rFonts w:ascii="Arial" w:hAnsi="Arial" w:cs="Arial"/>
          <w:sz w:val="22"/>
          <w:szCs w:val="22"/>
        </w:rPr>
        <w:t>Toyota has a direct and quantifiable effect on organisational culture on performance. The company is always among the leading automakers in the world with a revenue that is over 300 billion and it produces more than 10 million cars in a year. Its lean systems are operationally efficient (up to 30</w:t>
      </w:r>
      <w:r w:rsidR="001147C6">
        <w:rPr>
          <w:rFonts w:ascii="Arial" w:hAnsi="Arial" w:cs="Arial"/>
          <w:sz w:val="22"/>
          <w:szCs w:val="22"/>
        </w:rPr>
        <w:t>%</w:t>
      </w:r>
      <w:r w:rsidRPr="00E71D5D">
        <w:rPr>
          <w:rFonts w:ascii="Arial" w:hAnsi="Arial" w:cs="Arial"/>
          <w:sz w:val="22"/>
          <w:szCs w:val="22"/>
        </w:rPr>
        <w:t>) in comparison with conventional manufacturing models (Holweg, 2022).</w:t>
      </w:r>
    </w:p>
    <w:p w14:paraId="41EE52F1" w14:textId="4507354E" w:rsidR="005B4199" w:rsidRPr="00E71D5D" w:rsidRDefault="005B4199" w:rsidP="005F4138">
      <w:pPr>
        <w:spacing w:line="360" w:lineRule="auto"/>
        <w:rPr>
          <w:rFonts w:ascii="Arial" w:hAnsi="Arial" w:cs="Arial"/>
          <w:sz w:val="22"/>
          <w:szCs w:val="22"/>
        </w:rPr>
      </w:pPr>
      <w:r w:rsidRPr="00E71D5D">
        <w:rPr>
          <w:rFonts w:ascii="Arial" w:hAnsi="Arial" w:cs="Arial"/>
          <w:sz w:val="22"/>
          <w:szCs w:val="22"/>
        </w:rPr>
        <w:t xml:space="preserve">The quality performance is also </w:t>
      </w:r>
      <w:r w:rsidR="00E71D5D" w:rsidRPr="00E71D5D">
        <w:rPr>
          <w:rFonts w:ascii="Arial" w:hAnsi="Arial" w:cs="Arial"/>
          <w:sz w:val="22"/>
          <w:szCs w:val="22"/>
        </w:rPr>
        <w:t>better,</w:t>
      </w:r>
      <w:r w:rsidRPr="00E71D5D">
        <w:rPr>
          <w:rFonts w:ascii="Arial" w:hAnsi="Arial" w:cs="Arial"/>
          <w:sz w:val="22"/>
          <w:szCs w:val="22"/>
        </w:rPr>
        <w:t xml:space="preserve"> and the level of defects is less than 1</w:t>
      </w:r>
      <w:r w:rsidR="001147C6">
        <w:rPr>
          <w:rFonts w:ascii="Arial" w:hAnsi="Arial" w:cs="Arial"/>
          <w:sz w:val="22"/>
          <w:szCs w:val="22"/>
        </w:rPr>
        <w:t>%</w:t>
      </w:r>
      <w:r w:rsidRPr="00E71D5D">
        <w:rPr>
          <w:rFonts w:ascii="Arial" w:hAnsi="Arial" w:cs="Arial"/>
          <w:sz w:val="22"/>
          <w:szCs w:val="22"/>
        </w:rPr>
        <w:t>, which results in good brand image, and customer satisfaction. These measures show that there is a strong correlation between culture and performance outcomes.</w:t>
      </w:r>
    </w:p>
    <w:p w14:paraId="6EF0AECE" w14:textId="77777777" w:rsidR="005B4199" w:rsidRPr="00E71D5D" w:rsidRDefault="005B4199" w:rsidP="005F4138">
      <w:pPr>
        <w:pStyle w:val="Heading3"/>
        <w:spacing w:line="360" w:lineRule="auto"/>
        <w:rPr>
          <w:rFonts w:ascii="Arial" w:hAnsi="Arial" w:cs="Arial"/>
          <w:color w:val="auto"/>
          <w:sz w:val="24"/>
          <w:szCs w:val="24"/>
        </w:rPr>
      </w:pPr>
      <w:bookmarkStart w:id="23" w:name="_Toc226129667"/>
      <w:r w:rsidRPr="00E71D5D">
        <w:rPr>
          <w:rFonts w:ascii="Arial" w:eastAsia="Times New Roman" w:hAnsi="Arial" w:cs="Arial"/>
          <w:color w:val="auto"/>
          <w:sz w:val="24"/>
          <w:szCs w:val="24"/>
        </w:rPr>
        <w:t>7.2 Critical Evaluation</w:t>
      </w:r>
      <w:bookmarkEnd w:id="23"/>
    </w:p>
    <w:p w14:paraId="226F0B13" w14:textId="1E7E8158" w:rsidR="005B4199" w:rsidRPr="00E71D5D" w:rsidRDefault="005B4199" w:rsidP="005F4138">
      <w:pPr>
        <w:spacing w:line="360" w:lineRule="auto"/>
        <w:rPr>
          <w:rFonts w:ascii="Arial" w:hAnsi="Arial" w:cs="Arial"/>
          <w:sz w:val="22"/>
          <w:szCs w:val="22"/>
        </w:rPr>
      </w:pPr>
      <w:r w:rsidRPr="00E71D5D">
        <w:rPr>
          <w:rFonts w:ascii="Arial" w:hAnsi="Arial" w:cs="Arial"/>
          <w:sz w:val="22"/>
          <w:szCs w:val="22"/>
        </w:rPr>
        <w:t xml:space="preserve">The linkage between culture and performance is however not linear. Culture is the driver of </w:t>
      </w:r>
      <w:r w:rsidR="00E71D5D" w:rsidRPr="00E71D5D">
        <w:rPr>
          <w:rFonts w:ascii="Arial" w:hAnsi="Arial" w:cs="Arial"/>
          <w:sz w:val="22"/>
          <w:szCs w:val="22"/>
        </w:rPr>
        <w:t>efficiency,</w:t>
      </w:r>
      <w:r w:rsidRPr="00E71D5D">
        <w:rPr>
          <w:rFonts w:ascii="Arial" w:hAnsi="Arial" w:cs="Arial"/>
          <w:sz w:val="22"/>
          <w:szCs w:val="22"/>
        </w:rPr>
        <w:t xml:space="preserve"> but it can also restrict innovation producing a trade-off between the short-run operational performance and long-run strategic positioning. This tension is reflected in relatively low market share of EVs by Toyota.</w:t>
      </w:r>
    </w:p>
    <w:p w14:paraId="1908A3A8" w14:textId="77777777" w:rsidR="005B4199" w:rsidRPr="00E71D5D" w:rsidRDefault="005B4199" w:rsidP="005F4138">
      <w:pPr>
        <w:spacing w:line="360" w:lineRule="auto"/>
        <w:rPr>
          <w:rFonts w:ascii="Arial" w:hAnsi="Arial" w:cs="Arial"/>
          <w:sz w:val="22"/>
          <w:szCs w:val="22"/>
        </w:rPr>
      </w:pPr>
      <w:r w:rsidRPr="00E71D5D">
        <w:rPr>
          <w:rFonts w:ascii="Arial" w:hAnsi="Arial" w:cs="Arial"/>
          <w:sz w:val="22"/>
          <w:szCs w:val="22"/>
        </w:rPr>
        <w:t>In addition, cultural rigidity may make one more susceptible to external shocks. Optimised systems though efficient, might lack redundancy which poses a high risk in times of disruptions. This implies that advantages of culture to performance should be considered with the possible constraints.</w:t>
      </w:r>
    </w:p>
    <w:p w14:paraId="7B7B3001" w14:textId="77777777" w:rsidR="005B4199" w:rsidRPr="006C50D7" w:rsidRDefault="005B4199" w:rsidP="005F4138">
      <w:pPr>
        <w:pStyle w:val="Heading3"/>
        <w:spacing w:line="360" w:lineRule="auto"/>
        <w:rPr>
          <w:rFonts w:ascii="Arial" w:hAnsi="Arial" w:cs="Arial"/>
          <w:color w:val="auto"/>
          <w:sz w:val="24"/>
          <w:szCs w:val="24"/>
        </w:rPr>
      </w:pPr>
      <w:bookmarkStart w:id="24" w:name="_Toc226129668"/>
      <w:r w:rsidRPr="006C50D7">
        <w:rPr>
          <w:rFonts w:ascii="Arial" w:eastAsia="Times New Roman" w:hAnsi="Arial" w:cs="Arial"/>
          <w:color w:val="auto"/>
          <w:sz w:val="24"/>
          <w:szCs w:val="24"/>
        </w:rPr>
        <w:t>7.3 Evidence-Based Recommendations</w:t>
      </w:r>
      <w:bookmarkEnd w:id="24"/>
    </w:p>
    <w:p w14:paraId="3FED9D9C" w14:textId="1B658F3A" w:rsidR="005B4199" w:rsidRPr="006C50D7" w:rsidRDefault="005B4199" w:rsidP="005F4138">
      <w:pPr>
        <w:spacing w:line="360" w:lineRule="auto"/>
        <w:rPr>
          <w:rFonts w:ascii="Arial" w:hAnsi="Arial" w:cs="Arial"/>
          <w:sz w:val="22"/>
          <w:szCs w:val="22"/>
        </w:rPr>
      </w:pPr>
      <w:r w:rsidRPr="006C50D7">
        <w:rPr>
          <w:rFonts w:ascii="Arial" w:hAnsi="Arial" w:cs="Arial"/>
          <w:sz w:val="22"/>
          <w:szCs w:val="22"/>
        </w:rPr>
        <w:t xml:space="preserve">In order to remain competitive in the long term, Toyota will need to transform its organisational culture in three aspects. First, it must incorporate more flexibility in the </w:t>
      </w:r>
      <w:r w:rsidR="006C50D7" w:rsidRPr="006C50D7">
        <w:rPr>
          <w:rFonts w:ascii="Arial" w:hAnsi="Arial" w:cs="Arial"/>
          <w:sz w:val="22"/>
          <w:szCs w:val="22"/>
        </w:rPr>
        <w:t>decision-making</w:t>
      </w:r>
      <w:r w:rsidRPr="006C50D7">
        <w:rPr>
          <w:rFonts w:ascii="Arial" w:hAnsi="Arial" w:cs="Arial"/>
          <w:sz w:val="22"/>
          <w:szCs w:val="22"/>
        </w:rPr>
        <w:t xml:space="preserve"> processes with less consensus on strategic areas. This may reduce the time taken to make a decision by about 20</w:t>
      </w:r>
      <w:r w:rsidR="001147C6">
        <w:rPr>
          <w:rFonts w:ascii="Arial" w:hAnsi="Arial" w:cs="Arial"/>
          <w:sz w:val="22"/>
          <w:szCs w:val="22"/>
        </w:rPr>
        <w:t>-</w:t>
      </w:r>
      <w:r w:rsidRPr="006C50D7">
        <w:rPr>
          <w:rFonts w:ascii="Arial" w:hAnsi="Arial" w:cs="Arial"/>
          <w:sz w:val="22"/>
          <w:szCs w:val="22"/>
        </w:rPr>
        <w:t>30</w:t>
      </w:r>
      <w:r w:rsidR="001147C6">
        <w:rPr>
          <w:rFonts w:ascii="Arial" w:hAnsi="Arial" w:cs="Arial"/>
          <w:sz w:val="22"/>
          <w:szCs w:val="22"/>
        </w:rPr>
        <w:t xml:space="preserve">% </w:t>
      </w:r>
      <w:r w:rsidRPr="006C50D7">
        <w:rPr>
          <w:rFonts w:ascii="Arial" w:hAnsi="Arial" w:cs="Arial"/>
          <w:sz w:val="22"/>
          <w:szCs w:val="22"/>
        </w:rPr>
        <w:t>which increases responsiveness.</w:t>
      </w:r>
    </w:p>
    <w:p w14:paraId="19C43E45" w14:textId="665FFD21" w:rsidR="005B4199" w:rsidRPr="006C50D7" w:rsidRDefault="005B4199" w:rsidP="005F4138">
      <w:pPr>
        <w:spacing w:line="360" w:lineRule="auto"/>
        <w:rPr>
          <w:rFonts w:ascii="Arial" w:hAnsi="Arial" w:cs="Arial"/>
          <w:sz w:val="22"/>
          <w:szCs w:val="22"/>
        </w:rPr>
      </w:pPr>
      <w:r w:rsidRPr="006C50D7">
        <w:rPr>
          <w:rFonts w:ascii="Arial" w:hAnsi="Arial" w:cs="Arial"/>
          <w:sz w:val="22"/>
          <w:szCs w:val="22"/>
        </w:rPr>
        <w:t xml:space="preserve">Second, the business ought to foster a dual culture that is efficient and innovative. It may also invest in high-risk and high-reward projects, which may increase the rate of technological </w:t>
      </w:r>
      <w:r w:rsidRPr="006C50D7">
        <w:rPr>
          <w:rFonts w:ascii="Arial" w:hAnsi="Arial" w:cs="Arial"/>
          <w:sz w:val="22"/>
          <w:szCs w:val="22"/>
        </w:rPr>
        <w:lastRenderedPageBreak/>
        <w:t>innovation without compromising core operations, by allocating 10-15</w:t>
      </w:r>
      <w:r w:rsidR="001147C6">
        <w:rPr>
          <w:rFonts w:ascii="Arial" w:hAnsi="Arial" w:cs="Arial"/>
          <w:sz w:val="22"/>
          <w:szCs w:val="22"/>
        </w:rPr>
        <w:t xml:space="preserve">% </w:t>
      </w:r>
      <w:r w:rsidRPr="006C50D7">
        <w:rPr>
          <w:rFonts w:ascii="Arial" w:hAnsi="Arial" w:cs="Arial"/>
          <w:sz w:val="22"/>
          <w:szCs w:val="22"/>
        </w:rPr>
        <w:t>of R&amp;D resources to such projects.</w:t>
      </w:r>
    </w:p>
    <w:p w14:paraId="18959351" w14:textId="56797748" w:rsidR="005B4199" w:rsidRPr="006C50D7" w:rsidRDefault="005B4199" w:rsidP="005F4138">
      <w:pPr>
        <w:spacing w:line="360" w:lineRule="auto"/>
        <w:rPr>
          <w:rFonts w:ascii="Arial" w:hAnsi="Arial" w:cs="Arial"/>
          <w:sz w:val="22"/>
          <w:szCs w:val="22"/>
        </w:rPr>
      </w:pPr>
      <w:r w:rsidRPr="006C50D7">
        <w:rPr>
          <w:rFonts w:ascii="Arial" w:hAnsi="Arial" w:cs="Arial"/>
          <w:sz w:val="22"/>
          <w:szCs w:val="22"/>
        </w:rPr>
        <w:t>Third, Toyota needs to make its culture more adaptable by introducing foreign views, including partnerships or open innovation patterns. There is some evidence that companies that implement open innovation models enjoy 25-40</w:t>
      </w:r>
      <w:r w:rsidR="001147C6">
        <w:rPr>
          <w:rFonts w:ascii="Arial" w:hAnsi="Arial" w:cs="Arial"/>
          <w:sz w:val="22"/>
          <w:szCs w:val="22"/>
        </w:rPr>
        <w:t xml:space="preserve">% </w:t>
      </w:r>
      <w:r w:rsidRPr="006C50D7">
        <w:rPr>
          <w:rFonts w:ascii="Arial" w:hAnsi="Arial" w:cs="Arial"/>
          <w:sz w:val="22"/>
          <w:szCs w:val="22"/>
        </w:rPr>
        <w:t>accelerated rates of innovation (Chesbrough, 2023).</w:t>
      </w:r>
    </w:p>
    <w:p w14:paraId="3D415162" w14:textId="77777777" w:rsidR="005B4199" w:rsidRPr="006C50D7" w:rsidRDefault="005B4199" w:rsidP="005F4138">
      <w:pPr>
        <w:spacing w:line="360" w:lineRule="auto"/>
        <w:rPr>
          <w:rFonts w:ascii="Arial" w:hAnsi="Arial" w:cs="Arial"/>
          <w:sz w:val="22"/>
          <w:szCs w:val="22"/>
        </w:rPr>
      </w:pPr>
      <w:r w:rsidRPr="006C50D7">
        <w:rPr>
          <w:rFonts w:ascii="Arial" w:hAnsi="Arial" w:cs="Arial"/>
          <w:sz w:val="22"/>
          <w:szCs w:val="22"/>
        </w:rPr>
        <w:t>The recommendations have moderate costs, but they have a high long-term value especially in dealing with the issues of electrification and digital transformation.</w:t>
      </w:r>
    </w:p>
    <w:p w14:paraId="2FDFED1D" w14:textId="77777777" w:rsidR="005B45DC" w:rsidRDefault="005B45DC" w:rsidP="005B45DC">
      <w:pPr>
        <w:suppressAutoHyphens w:val="0"/>
        <w:spacing w:after="160" w:line="259" w:lineRule="auto"/>
        <w:jc w:val="left"/>
      </w:pPr>
      <w:bookmarkStart w:id="25" w:name="_Toc226129669"/>
    </w:p>
    <w:p w14:paraId="4A9E3DD1" w14:textId="62ECC21E" w:rsidR="005B4199" w:rsidRPr="005B45DC" w:rsidRDefault="005B4199" w:rsidP="005B45DC">
      <w:pPr>
        <w:suppressAutoHyphens w:val="0"/>
        <w:spacing w:after="160" w:line="259" w:lineRule="auto"/>
        <w:jc w:val="left"/>
        <w:rPr>
          <w:rFonts w:cstheme="majorBidi"/>
          <w:b/>
          <w:bCs/>
          <w:color w:val="5B9BD5" w:themeColor="accent1"/>
          <w:sz w:val="32"/>
          <w:szCs w:val="26"/>
          <w:lang w:bidi="bn-BD"/>
        </w:rPr>
      </w:pPr>
      <w:r w:rsidRPr="005B45DC">
        <w:rPr>
          <w:rFonts w:ascii="Arial" w:hAnsi="Arial" w:cs="Arial"/>
          <w:b/>
          <w:bCs/>
          <w:sz w:val="28"/>
          <w:szCs w:val="28"/>
        </w:rPr>
        <w:t>8. Conclusion</w:t>
      </w:r>
      <w:bookmarkEnd w:id="25"/>
    </w:p>
    <w:p w14:paraId="33B65DD5" w14:textId="38E548AB" w:rsidR="005B4199" w:rsidRPr="003C47E9" w:rsidRDefault="005B4199" w:rsidP="005F4138">
      <w:pPr>
        <w:spacing w:line="360" w:lineRule="auto"/>
        <w:rPr>
          <w:rFonts w:ascii="Arial" w:hAnsi="Arial" w:cs="Arial"/>
          <w:sz w:val="22"/>
          <w:szCs w:val="22"/>
        </w:rPr>
      </w:pPr>
      <w:r w:rsidRPr="003C47E9">
        <w:rPr>
          <w:rFonts w:ascii="Arial" w:hAnsi="Arial" w:cs="Arial"/>
          <w:sz w:val="22"/>
          <w:szCs w:val="22"/>
        </w:rPr>
        <w:t xml:space="preserve">This report has critically assessed the importance of organisational culture in Toyota, which has shown that it is one of the main drivers of structure, decision making and performance. By applying the model developed by Schein, it was found out that the cultural assumptions which Toyota is heavily rooted in are the same assumptions which allow the company to achieve operational excellence but, at the same time, limit its ability to adapt to changes in strategy. The results suggest that organisational culture is an enabler and a barrier, depending on the conditions in the environment. The culture of Toyota has provided better efficiency and </w:t>
      </w:r>
      <w:r w:rsidR="005B45DC" w:rsidRPr="003C47E9">
        <w:rPr>
          <w:rFonts w:ascii="Arial" w:hAnsi="Arial" w:cs="Arial"/>
          <w:sz w:val="22"/>
          <w:szCs w:val="22"/>
        </w:rPr>
        <w:t>quality,</w:t>
      </w:r>
      <w:r w:rsidRPr="003C47E9">
        <w:rPr>
          <w:rFonts w:ascii="Arial" w:hAnsi="Arial" w:cs="Arial"/>
          <w:sz w:val="22"/>
          <w:szCs w:val="22"/>
        </w:rPr>
        <w:t xml:space="preserve"> but it is highly constrained in the </w:t>
      </w:r>
      <w:r w:rsidR="003C47E9" w:rsidRPr="003C47E9">
        <w:rPr>
          <w:rFonts w:ascii="Arial" w:hAnsi="Arial" w:cs="Arial"/>
          <w:sz w:val="22"/>
          <w:szCs w:val="22"/>
        </w:rPr>
        <w:t>fast-changing</w:t>
      </w:r>
      <w:r w:rsidRPr="003C47E9">
        <w:rPr>
          <w:rFonts w:ascii="Arial" w:hAnsi="Arial" w:cs="Arial"/>
          <w:sz w:val="22"/>
          <w:szCs w:val="22"/>
        </w:rPr>
        <w:t xml:space="preserve"> markets. Thus, the success of the culture adopted at Toyota in the long-term is determined by how well it can evolve without losing its main advantages.</w:t>
      </w:r>
    </w:p>
    <w:p w14:paraId="763A8539" w14:textId="77777777" w:rsidR="005F4138" w:rsidRPr="00E11F00" w:rsidRDefault="005F4138" w:rsidP="005F4138">
      <w:pPr>
        <w:suppressAutoHyphens w:val="0"/>
        <w:spacing w:after="160" w:line="360" w:lineRule="auto"/>
        <w:jc w:val="left"/>
        <w:rPr>
          <w:rFonts w:cstheme="majorBidi"/>
          <w:b/>
          <w:bCs/>
          <w:color w:val="5B9BD5" w:themeColor="accent1"/>
          <w:sz w:val="32"/>
          <w:szCs w:val="26"/>
          <w:lang w:bidi="bn-BD"/>
        </w:rPr>
      </w:pPr>
      <w:r w:rsidRPr="00E11F00">
        <w:br w:type="page"/>
      </w:r>
    </w:p>
    <w:p w14:paraId="3E15DB89" w14:textId="77777777" w:rsidR="005B4199" w:rsidRPr="003C47E9" w:rsidRDefault="005B4199" w:rsidP="005F4138">
      <w:pPr>
        <w:pStyle w:val="Heading2"/>
        <w:spacing w:line="360" w:lineRule="auto"/>
        <w:rPr>
          <w:rFonts w:ascii="Arial" w:hAnsi="Arial" w:cs="Arial"/>
          <w:color w:val="auto"/>
          <w:sz w:val="28"/>
          <w:szCs w:val="28"/>
        </w:rPr>
      </w:pPr>
      <w:bookmarkStart w:id="26" w:name="_Toc226129670"/>
      <w:r w:rsidRPr="003C47E9">
        <w:rPr>
          <w:rFonts w:ascii="Arial" w:eastAsia="Times New Roman" w:hAnsi="Arial" w:cs="Arial"/>
          <w:color w:val="auto"/>
          <w:sz w:val="28"/>
          <w:szCs w:val="28"/>
        </w:rPr>
        <w:lastRenderedPageBreak/>
        <w:t>9. References</w:t>
      </w:r>
      <w:bookmarkEnd w:id="26"/>
      <w:r w:rsidRPr="003C47E9">
        <w:rPr>
          <w:rFonts w:ascii="Arial" w:eastAsia="Times New Roman" w:hAnsi="Arial" w:cs="Arial"/>
          <w:color w:val="auto"/>
          <w:sz w:val="28"/>
          <w:szCs w:val="28"/>
        </w:rPr>
        <w:t xml:space="preserve"> </w:t>
      </w:r>
    </w:p>
    <w:p w14:paraId="6793EC1C" w14:textId="59297F1D" w:rsidR="005F4138" w:rsidRPr="00E11F00" w:rsidRDefault="005B4199" w:rsidP="005F4138">
      <w:pPr>
        <w:spacing w:line="360" w:lineRule="auto"/>
      </w:pPr>
      <w:r w:rsidRPr="00E11F00">
        <w:t xml:space="preserve">Bortolotti, T., Boscari, S. and Danese, P. (2022) </w:t>
      </w:r>
      <w:r w:rsidRPr="00F816F9">
        <w:rPr>
          <w:i/>
          <w:iCs/>
        </w:rPr>
        <w:t>Successful lean implementation: Organizational culture and soft lean practices</w:t>
      </w:r>
      <w:r w:rsidR="008B367F">
        <w:t xml:space="preserve">. </w:t>
      </w:r>
      <w:r w:rsidRPr="00F816F9">
        <w:t>International Journal of Production Economics,</w:t>
      </w:r>
      <w:r w:rsidRPr="00E11F00">
        <w:t xml:space="preserve"> 245, 108–220. </w:t>
      </w:r>
      <w:r w:rsidR="003B542A">
        <w:t xml:space="preserve">Available at: </w:t>
      </w:r>
      <w:hyperlink r:id="rId9" w:history="1">
        <w:r w:rsidR="003B542A" w:rsidRPr="00B23B81">
          <w:rPr>
            <w:rStyle w:val="Hyperlink"/>
          </w:rPr>
          <w:t>https://doi.org/10.1016/j.ijpe.2021.108220</w:t>
        </w:r>
      </w:hyperlink>
      <w:r w:rsidR="003B542A">
        <w:t xml:space="preserve"> (Accessed: </w:t>
      </w:r>
      <w:r w:rsidR="00C85FB7">
        <w:t>4</w:t>
      </w:r>
      <w:r w:rsidR="00C85FB7" w:rsidRPr="00C85FB7">
        <w:rPr>
          <w:vertAlign w:val="superscript"/>
        </w:rPr>
        <w:t>th</w:t>
      </w:r>
      <w:r w:rsidR="00C85FB7">
        <w:t xml:space="preserve"> </w:t>
      </w:r>
      <w:r w:rsidR="008263FA">
        <w:t>April 2026).</w:t>
      </w:r>
    </w:p>
    <w:p w14:paraId="30D5EA1B" w14:textId="643DE608" w:rsidR="005F4138" w:rsidRPr="00E11F00" w:rsidRDefault="005B4199" w:rsidP="005F4138">
      <w:pPr>
        <w:spacing w:line="360" w:lineRule="auto"/>
      </w:pPr>
      <w:r w:rsidRPr="00E11F00">
        <w:t xml:space="preserve">Chesbrough, H. (2023) </w:t>
      </w:r>
      <w:r w:rsidRPr="00805181">
        <w:rPr>
          <w:i/>
          <w:iCs/>
        </w:rPr>
        <w:t>Open innovation results: Going beyond the hype</w:t>
      </w:r>
      <w:r w:rsidR="00805181">
        <w:rPr>
          <w:i/>
          <w:iCs/>
        </w:rPr>
        <w:t xml:space="preserve">. </w:t>
      </w:r>
      <w:r w:rsidRPr="00E11F00">
        <w:t xml:space="preserve"> </w:t>
      </w:r>
      <w:r w:rsidRPr="00805181">
        <w:t>Research-Technology Management,</w:t>
      </w:r>
      <w:r w:rsidRPr="00E11F00">
        <w:t xml:space="preserve"> 66(1), pp. 20–29. </w:t>
      </w:r>
      <w:r w:rsidR="008263FA">
        <w:t xml:space="preserve">Available at: </w:t>
      </w:r>
      <w:hyperlink r:id="rId10" w:history="1">
        <w:r w:rsidR="008263FA" w:rsidRPr="00B23B81">
          <w:rPr>
            <w:rStyle w:val="Hyperlink"/>
          </w:rPr>
          <w:t>https://doi.org/10.1080/08956308.2023.2151020</w:t>
        </w:r>
      </w:hyperlink>
      <w:r w:rsidR="008263FA">
        <w:t xml:space="preserve"> (Accessed: </w:t>
      </w:r>
      <w:r w:rsidR="00C245AD">
        <w:t>7</w:t>
      </w:r>
      <w:r w:rsidR="00C245AD" w:rsidRPr="00C245AD">
        <w:rPr>
          <w:vertAlign w:val="superscript"/>
        </w:rPr>
        <w:t>th</w:t>
      </w:r>
      <w:r w:rsidR="008263FA">
        <w:t xml:space="preserve"> April 2026).</w:t>
      </w:r>
    </w:p>
    <w:p w14:paraId="1982D1EC" w14:textId="693FBD4F" w:rsidR="005F4138" w:rsidRPr="00E11F00" w:rsidRDefault="005B4199" w:rsidP="005F4138">
      <w:pPr>
        <w:spacing w:line="360" w:lineRule="auto"/>
      </w:pPr>
      <w:r w:rsidRPr="00E11F00">
        <w:t>Helper, S. and Henderson, R. (2022)</w:t>
      </w:r>
      <w:r w:rsidR="004D1938">
        <w:t xml:space="preserve"> </w:t>
      </w:r>
      <w:r w:rsidRPr="004D1938">
        <w:rPr>
          <w:i/>
          <w:iCs/>
        </w:rPr>
        <w:t>Management practices, relational contracts, and the decline of General Motors</w:t>
      </w:r>
      <w:r w:rsidR="004D1938">
        <w:t xml:space="preserve">. </w:t>
      </w:r>
      <w:r w:rsidRPr="00D055C7">
        <w:t>Journal of Economic Perspectives</w:t>
      </w:r>
      <w:r w:rsidRPr="00E11F00">
        <w:t xml:space="preserve">, 36(2), pp. 49–72. </w:t>
      </w:r>
      <w:r w:rsidR="000D2D1E">
        <w:t xml:space="preserve">Available at: </w:t>
      </w:r>
      <w:hyperlink r:id="rId11" w:history="1">
        <w:r w:rsidR="000D2D1E" w:rsidRPr="00B23B81">
          <w:rPr>
            <w:rStyle w:val="Hyperlink"/>
          </w:rPr>
          <w:t>https://doi.org/10.1257/jep.36.2.49</w:t>
        </w:r>
      </w:hyperlink>
      <w:r w:rsidR="000D2D1E">
        <w:t xml:space="preserve"> (Accessed </w:t>
      </w:r>
      <w:r w:rsidR="006743E7">
        <w:t>5</w:t>
      </w:r>
      <w:r w:rsidR="000D2D1E" w:rsidRPr="000D2D1E">
        <w:rPr>
          <w:vertAlign w:val="superscript"/>
        </w:rPr>
        <w:t>th</w:t>
      </w:r>
      <w:r w:rsidR="000D2D1E">
        <w:t xml:space="preserve"> April 2026).</w:t>
      </w:r>
    </w:p>
    <w:p w14:paraId="4ABC027B" w14:textId="4786B8BF" w:rsidR="005F4138" w:rsidRDefault="005B4199" w:rsidP="005F4138">
      <w:pPr>
        <w:spacing w:line="360" w:lineRule="auto"/>
      </w:pPr>
      <w:r w:rsidRPr="00E11F00">
        <w:t xml:space="preserve">Holweg, M. (2022) </w:t>
      </w:r>
      <w:r w:rsidRPr="00FE1D97">
        <w:rPr>
          <w:i/>
          <w:iCs/>
        </w:rPr>
        <w:t>The evolution of lean production</w:t>
      </w:r>
      <w:r w:rsidR="00FE1D97">
        <w:rPr>
          <w:i/>
          <w:iCs/>
        </w:rPr>
        <w:t>.</w:t>
      </w:r>
      <w:r w:rsidRPr="00E11F00">
        <w:t xml:space="preserve"> </w:t>
      </w:r>
      <w:r w:rsidRPr="00FE1D97">
        <w:t>Operations Management Research</w:t>
      </w:r>
      <w:r w:rsidRPr="00E11F00">
        <w:t xml:space="preserve">, 15(1), pp. 1–13. </w:t>
      </w:r>
      <w:r w:rsidR="000D2D1E">
        <w:t xml:space="preserve">Available at: </w:t>
      </w:r>
      <w:hyperlink r:id="rId12" w:history="1">
        <w:r w:rsidR="000D2D1E" w:rsidRPr="00B23B81">
          <w:rPr>
            <w:rStyle w:val="Hyperlink"/>
          </w:rPr>
          <w:t>https://doi.org/10.1007/s12063-021-00199-1</w:t>
        </w:r>
      </w:hyperlink>
      <w:r w:rsidR="000D2D1E">
        <w:t xml:space="preserve"> (Accessed </w:t>
      </w:r>
      <w:r w:rsidR="00C45A10">
        <w:t>3</w:t>
      </w:r>
      <w:r w:rsidR="00C45A10" w:rsidRPr="00C45A10">
        <w:rPr>
          <w:vertAlign w:val="superscript"/>
        </w:rPr>
        <w:t>rd</w:t>
      </w:r>
      <w:r w:rsidR="00C23D9E">
        <w:t xml:space="preserve"> April 2026).</w:t>
      </w:r>
    </w:p>
    <w:p w14:paraId="14872809" w14:textId="48428431" w:rsidR="009F0E9A" w:rsidRPr="00E11F00" w:rsidRDefault="009F0E9A" w:rsidP="005F4138">
      <w:pPr>
        <w:spacing w:line="360" w:lineRule="auto"/>
      </w:pPr>
      <w:r>
        <w:t>Internatio</w:t>
      </w:r>
      <w:r w:rsidR="000C7561">
        <w:t xml:space="preserve">nal Energy Agency (2024) </w:t>
      </w:r>
      <w:r w:rsidR="00F77BD5" w:rsidRPr="009E0CA0">
        <w:rPr>
          <w:i/>
          <w:iCs/>
        </w:rPr>
        <w:t>Global EV Outlook 2024</w:t>
      </w:r>
      <w:r w:rsidR="00F77BD5" w:rsidRPr="00F77BD5">
        <w:t xml:space="preserve">. IEA, Paris. Available at: </w:t>
      </w:r>
      <w:r w:rsidR="009E0CA0">
        <w:t xml:space="preserve"> </w:t>
      </w:r>
      <w:r w:rsidR="00F77BD5" w:rsidRPr="00F77BD5">
        <w:t xml:space="preserve">https://www.iea.org/reports/global-ev-outlook-2024 (iea.org in Bing) (Accessed: </w:t>
      </w:r>
      <w:r w:rsidR="00B0182E">
        <w:t>5</w:t>
      </w:r>
      <w:r w:rsidR="00B0182E" w:rsidRPr="00B0182E">
        <w:rPr>
          <w:vertAlign w:val="superscript"/>
        </w:rPr>
        <w:t>th</w:t>
      </w:r>
      <w:r w:rsidR="00B0182E">
        <w:t xml:space="preserve"> April 2026</w:t>
      </w:r>
      <w:r w:rsidR="00F77BD5" w:rsidRPr="00F77BD5">
        <w:t>).</w:t>
      </w:r>
    </w:p>
    <w:p w14:paraId="29B807EB" w14:textId="2E1A4ED2" w:rsidR="005F4138" w:rsidRPr="00E11F00" w:rsidRDefault="005B4199" w:rsidP="005F4138">
      <w:pPr>
        <w:spacing w:line="360" w:lineRule="auto"/>
      </w:pPr>
      <w:r w:rsidRPr="00E11F00">
        <w:t xml:space="preserve">Kano, L. (2023) </w:t>
      </w:r>
      <w:r w:rsidRPr="00FE1D97">
        <w:rPr>
          <w:i/>
          <w:iCs/>
        </w:rPr>
        <w:t>Global value chains and the transformation of the auto industry</w:t>
      </w:r>
      <w:r w:rsidR="00FE1D97">
        <w:rPr>
          <w:i/>
          <w:iCs/>
        </w:rPr>
        <w:t>.</w:t>
      </w:r>
      <w:r w:rsidRPr="00E11F00">
        <w:t xml:space="preserve"> </w:t>
      </w:r>
      <w:r w:rsidRPr="00FE1D97">
        <w:t>Journal of International Business Studies</w:t>
      </w:r>
      <w:r w:rsidRPr="00E11F00">
        <w:t xml:space="preserve">, 54(3), pp. 567–589. </w:t>
      </w:r>
      <w:r w:rsidR="00C23D9E">
        <w:t xml:space="preserve">Available at: </w:t>
      </w:r>
      <w:hyperlink r:id="rId13" w:history="1">
        <w:r w:rsidR="00C23D9E" w:rsidRPr="00B23B81">
          <w:rPr>
            <w:rStyle w:val="Hyperlink"/>
          </w:rPr>
          <w:t>https://doi.org/10.1057/s41267-022-00545-2</w:t>
        </w:r>
      </w:hyperlink>
      <w:r w:rsidR="00C23D9E">
        <w:t xml:space="preserve"> (Accessed: </w:t>
      </w:r>
      <w:r w:rsidR="00FC2933">
        <w:t>4</w:t>
      </w:r>
      <w:r w:rsidR="00FC2933" w:rsidRPr="00FC2933">
        <w:rPr>
          <w:vertAlign w:val="superscript"/>
        </w:rPr>
        <w:t>t</w:t>
      </w:r>
      <w:r w:rsidR="00C23D9E">
        <w:t xml:space="preserve"> April 2026).</w:t>
      </w:r>
    </w:p>
    <w:p w14:paraId="1414970B" w14:textId="47552364" w:rsidR="005F4138" w:rsidRPr="00E11F00" w:rsidRDefault="005B4199" w:rsidP="005F4138">
      <w:pPr>
        <w:spacing w:line="360" w:lineRule="auto"/>
      </w:pPr>
      <w:r w:rsidRPr="00E11F00">
        <w:t xml:space="preserve">Liker, J.K. and Franz, J.K. (2023) </w:t>
      </w:r>
      <w:r w:rsidRPr="00D539FF">
        <w:rPr>
          <w:i/>
          <w:iCs/>
        </w:rPr>
        <w:t>The Toyota way to continuous improvement</w:t>
      </w:r>
      <w:r w:rsidR="00D539FF">
        <w:rPr>
          <w:i/>
          <w:iCs/>
        </w:rPr>
        <w:t>.</w:t>
      </w:r>
      <w:r w:rsidRPr="00E11F00">
        <w:t xml:space="preserve"> </w:t>
      </w:r>
      <w:r w:rsidRPr="00D539FF">
        <w:t>Business Horizons,</w:t>
      </w:r>
      <w:r w:rsidRPr="00E11F00">
        <w:t xml:space="preserve"> 66(2), pp. 215–226. </w:t>
      </w:r>
      <w:r w:rsidR="001A61FB">
        <w:t xml:space="preserve">Available at: </w:t>
      </w:r>
      <w:hyperlink r:id="rId14" w:history="1">
        <w:r w:rsidR="001A61FB" w:rsidRPr="00B23B81">
          <w:rPr>
            <w:rStyle w:val="Hyperlink"/>
          </w:rPr>
          <w:t>https://doi.org/10.1016/j.bushor.2022.10.005</w:t>
        </w:r>
      </w:hyperlink>
      <w:r w:rsidR="001A61FB">
        <w:t xml:space="preserve"> (Accessed: </w:t>
      </w:r>
      <w:r w:rsidR="00AE3F71">
        <w:t>3</w:t>
      </w:r>
      <w:r w:rsidR="00AE3F71">
        <w:rPr>
          <w:vertAlign w:val="superscript"/>
        </w:rPr>
        <w:t>rd</w:t>
      </w:r>
      <w:r w:rsidR="001A61FB">
        <w:t xml:space="preserve"> April 2026).</w:t>
      </w:r>
    </w:p>
    <w:p w14:paraId="74F33E36" w14:textId="52C322E6" w:rsidR="005F4138" w:rsidRPr="00E11F00" w:rsidRDefault="005B4199" w:rsidP="005F4138">
      <w:pPr>
        <w:spacing w:line="360" w:lineRule="auto"/>
      </w:pPr>
      <w:r w:rsidRPr="00E11F00">
        <w:t xml:space="preserve">MacDuffie, J.P. (2022) </w:t>
      </w:r>
      <w:r w:rsidRPr="00D539FF">
        <w:rPr>
          <w:i/>
          <w:iCs/>
        </w:rPr>
        <w:t>Inter-organizational trust and the automotive industry</w:t>
      </w:r>
      <w:r w:rsidR="00D539FF">
        <w:rPr>
          <w:i/>
          <w:iCs/>
        </w:rPr>
        <w:t>.</w:t>
      </w:r>
      <w:r w:rsidRPr="00E11F00">
        <w:t xml:space="preserve"> </w:t>
      </w:r>
      <w:r w:rsidRPr="00D539FF">
        <w:t>Industrial and Corporate Change,</w:t>
      </w:r>
      <w:r w:rsidRPr="00E11F00">
        <w:t xml:space="preserve"> 31(4), pp. 945–968. </w:t>
      </w:r>
      <w:r w:rsidR="001A61FB">
        <w:t xml:space="preserve">Available at: </w:t>
      </w:r>
      <w:hyperlink r:id="rId15" w:history="1">
        <w:r w:rsidR="001A61FB" w:rsidRPr="00B23B81">
          <w:rPr>
            <w:rStyle w:val="Hyperlink"/>
          </w:rPr>
          <w:t>https://doi.org/10.1093/icc/dtac018</w:t>
        </w:r>
      </w:hyperlink>
      <w:r w:rsidR="001A61FB">
        <w:t xml:space="preserve"> (Accessed: </w:t>
      </w:r>
      <w:r w:rsidR="00FC2933">
        <w:t>4</w:t>
      </w:r>
      <w:r w:rsidR="00FC2933" w:rsidRPr="00FC2933">
        <w:rPr>
          <w:vertAlign w:val="superscript"/>
        </w:rPr>
        <w:t>th</w:t>
      </w:r>
      <w:r w:rsidR="00FC2933">
        <w:t xml:space="preserve"> </w:t>
      </w:r>
      <w:r w:rsidR="001756B6">
        <w:t>April 2026).</w:t>
      </w:r>
    </w:p>
    <w:p w14:paraId="32A686D1" w14:textId="610122A2" w:rsidR="005F4138" w:rsidRPr="00E11F00" w:rsidRDefault="005B4199" w:rsidP="005F4138">
      <w:pPr>
        <w:spacing w:line="360" w:lineRule="auto"/>
      </w:pPr>
      <w:r w:rsidRPr="00E11F00">
        <w:t>Netland, T.H. and Powell, D.J. (2022)</w:t>
      </w:r>
      <w:r w:rsidR="00861592">
        <w:t xml:space="preserve"> </w:t>
      </w:r>
      <w:r w:rsidRPr="00861592">
        <w:rPr>
          <w:i/>
          <w:iCs/>
        </w:rPr>
        <w:t>The Routledge companion to lean management</w:t>
      </w:r>
      <w:r w:rsidR="00861592">
        <w:rPr>
          <w:i/>
          <w:iCs/>
        </w:rPr>
        <w:t>.</w:t>
      </w:r>
      <w:r w:rsidRPr="00E11F00">
        <w:t xml:space="preserve"> </w:t>
      </w:r>
      <w:r w:rsidRPr="00861592">
        <w:t>Production Planning &amp; Control</w:t>
      </w:r>
      <w:r w:rsidRPr="00E11F00">
        <w:t xml:space="preserve">, 33(10), pp. 1–15. </w:t>
      </w:r>
      <w:r w:rsidR="008B24E3">
        <w:t xml:space="preserve">Available at: </w:t>
      </w:r>
      <w:hyperlink r:id="rId16" w:history="1">
        <w:r w:rsidR="008B24E3" w:rsidRPr="00B23B81">
          <w:rPr>
            <w:rStyle w:val="Hyperlink"/>
          </w:rPr>
          <w:t>https://doi.org/10.1080/09537287.2021.1908960</w:t>
        </w:r>
      </w:hyperlink>
      <w:r w:rsidR="008B24E3">
        <w:t xml:space="preserve"> (Accessed: 5</w:t>
      </w:r>
      <w:r w:rsidR="008B24E3" w:rsidRPr="008B24E3">
        <w:rPr>
          <w:vertAlign w:val="superscript"/>
        </w:rPr>
        <w:t>th</w:t>
      </w:r>
      <w:r w:rsidR="008B24E3">
        <w:t xml:space="preserve"> April 2026).</w:t>
      </w:r>
    </w:p>
    <w:p w14:paraId="398EDAAA" w14:textId="607E426A" w:rsidR="005F4138" w:rsidRPr="00E11F00" w:rsidRDefault="005B4199" w:rsidP="005F4138">
      <w:pPr>
        <w:spacing w:line="360" w:lineRule="auto"/>
      </w:pPr>
      <w:r w:rsidRPr="00E11F00">
        <w:t>Nguyen, T. and Waring, T. (2023)</w:t>
      </w:r>
      <w:r w:rsidR="00472057">
        <w:t xml:space="preserve"> </w:t>
      </w:r>
      <w:r w:rsidRPr="00472057">
        <w:rPr>
          <w:i/>
          <w:iCs/>
        </w:rPr>
        <w:t>The adoption of organisational culture frameworks</w:t>
      </w:r>
      <w:r w:rsidR="00472057">
        <w:rPr>
          <w:i/>
          <w:iCs/>
        </w:rPr>
        <w:t xml:space="preserve">. </w:t>
      </w:r>
      <w:r w:rsidRPr="00472057">
        <w:t>Management Decision</w:t>
      </w:r>
      <w:r w:rsidRPr="00E11F00">
        <w:t xml:space="preserve">, 61(5), pp. 1342–1358. </w:t>
      </w:r>
      <w:r w:rsidR="008B24E3">
        <w:t xml:space="preserve">Available at: </w:t>
      </w:r>
      <w:hyperlink r:id="rId17" w:history="1">
        <w:r w:rsidR="008B24E3" w:rsidRPr="00B23B81">
          <w:rPr>
            <w:rStyle w:val="Hyperlink"/>
          </w:rPr>
          <w:t>https://doi.org/10.1108/MD-03-2022-0321</w:t>
        </w:r>
      </w:hyperlink>
      <w:r w:rsidR="008B24E3">
        <w:t xml:space="preserve"> (Accessed </w:t>
      </w:r>
      <w:r w:rsidR="00F731E4">
        <w:t>6</w:t>
      </w:r>
      <w:r w:rsidR="00F731E4" w:rsidRPr="00F731E4">
        <w:rPr>
          <w:vertAlign w:val="superscript"/>
        </w:rPr>
        <w:t>th</w:t>
      </w:r>
      <w:r w:rsidR="00F731E4">
        <w:t xml:space="preserve"> April 2026).</w:t>
      </w:r>
    </w:p>
    <w:p w14:paraId="75E6BA37" w14:textId="77777777" w:rsidR="000D6060" w:rsidRDefault="000D6060" w:rsidP="005F4138">
      <w:pPr>
        <w:spacing w:line="360" w:lineRule="auto"/>
      </w:pPr>
    </w:p>
    <w:p w14:paraId="451DF36A" w14:textId="77777777" w:rsidR="000D6060" w:rsidRDefault="000D6060" w:rsidP="005F4138">
      <w:pPr>
        <w:spacing w:line="360" w:lineRule="auto"/>
      </w:pPr>
    </w:p>
    <w:p w14:paraId="30017C7B" w14:textId="77777777" w:rsidR="000D6060" w:rsidRDefault="000D6060" w:rsidP="000D6060">
      <w:pPr>
        <w:spacing w:line="360" w:lineRule="auto"/>
      </w:pPr>
      <w:r>
        <w:lastRenderedPageBreak/>
        <w:t>Schein, E.H. (1985) Organizational Culture and Leadership. USA: Jossey-Bass Publishers.</w:t>
      </w:r>
    </w:p>
    <w:p w14:paraId="38678453" w14:textId="29100778" w:rsidR="005F4138" w:rsidRPr="00E11F00" w:rsidRDefault="005B4199" w:rsidP="005F4138">
      <w:pPr>
        <w:spacing w:line="360" w:lineRule="auto"/>
      </w:pPr>
      <w:r w:rsidRPr="00E11F00">
        <w:t>Schein, E.H. (2022)</w:t>
      </w:r>
      <w:r w:rsidR="00472057">
        <w:t xml:space="preserve"> </w:t>
      </w:r>
      <w:r w:rsidRPr="00472057">
        <w:rPr>
          <w:i/>
          <w:iCs/>
        </w:rPr>
        <w:t>Organizational culture and leadership revisited</w:t>
      </w:r>
      <w:r w:rsidR="00472057">
        <w:rPr>
          <w:i/>
          <w:iCs/>
        </w:rPr>
        <w:t>.</w:t>
      </w:r>
      <w:r w:rsidRPr="00E11F00">
        <w:t xml:space="preserve"> </w:t>
      </w:r>
      <w:r w:rsidRPr="00472057">
        <w:t xml:space="preserve">Organizational Dynamics, </w:t>
      </w:r>
      <w:r w:rsidRPr="00E11F00">
        <w:t xml:space="preserve">51(2), 100–876. </w:t>
      </w:r>
      <w:r w:rsidR="00F731E4">
        <w:t xml:space="preserve">Available at: </w:t>
      </w:r>
      <w:hyperlink r:id="rId18" w:history="1">
        <w:r w:rsidR="00F731E4" w:rsidRPr="00B23B81">
          <w:rPr>
            <w:rStyle w:val="Hyperlink"/>
          </w:rPr>
          <w:t>https://doi.org/10.1016/j.orgdyn.2021.100876</w:t>
        </w:r>
      </w:hyperlink>
      <w:r w:rsidR="00F731E4">
        <w:t xml:space="preserve"> (Accessed 6</w:t>
      </w:r>
      <w:r w:rsidR="00F731E4" w:rsidRPr="00F731E4">
        <w:rPr>
          <w:vertAlign w:val="superscript"/>
        </w:rPr>
        <w:t>th</w:t>
      </w:r>
      <w:r w:rsidR="00F731E4">
        <w:t xml:space="preserve"> April 2026).</w:t>
      </w:r>
    </w:p>
    <w:p w14:paraId="764C3273" w14:textId="22955D7B" w:rsidR="005F4138" w:rsidRPr="00E11F00" w:rsidRDefault="005B4199" w:rsidP="005F4138">
      <w:pPr>
        <w:spacing w:line="360" w:lineRule="auto"/>
      </w:pPr>
      <w:r w:rsidRPr="00E11F00">
        <w:t xml:space="preserve">Statista (2024) </w:t>
      </w:r>
      <w:r w:rsidRPr="00D80846">
        <w:rPr>
          <w:i/>
          <w:iCs/>
        </w:rPr>
        <w:t>Toyota financial performance statistics</w:t>
      </w:r>
      <w:r w:rsidR="00D80846">
        <w:rPr>
          <w:i/>
          <w:iCs/>
        </w:rPr>
        <w:t>.</w:t>
      </w:r>
      <w:r w:rsidRPr="00E11F00">
        <w:t xml:space="preserve"> </w:t>
      </w:r>
      <w:r w:rsidRPr="00D80846">
        <w:t>Journal of Financial Data Science</w:t>
      </w:r>
      <w:r w:rsidRPr="00E11F00">
        <w:t xml:space="preserve">, 6(2), pp. 45–60. </w:t>
      </w:r>
      <w:r w:rsidR="00F731E4">
        <w:t xml:space="preserve">Available at: </w:t>
      </w:r>
      <w:hyperlink r:id="rId19" w:history="1">
        <w:r w:rsidR="00F731E4" w:rsidRPr="00B23B81">
          <w:rPr>
            <w:rStyle w:val="Hyperlink"/>
          </w:rPr>
          <w:t>https://doi.org/10.3905/jfds.2024.1.123</w:t>
        </w:r>
      </w:hyperlink>
      <w:r w:rsidR="00F731E4">
        <w:t xml:space="preserve"> (Accessed </w:t>
      </w:r>
      <w:r w:rsidR="006743E7">
        <w:t>5</w:t>
      </w:r>
      <w:r w:rsidR="006743E7" w:rsidRPr="006743E7">
        <w:rPr>
          <w:vertAlign w:val="superscript"/>
        </w:rPr>
        <w:t>th</w:t>
      </w:r>
      <w:r w:rsidR="00F731E4">
        <w:t xml:space="preserve"> April 2026).</w:t>
      </w:r>
    </w:p>
    <w:p w14:paraId="64385EDC" w14:textId="5DBC6340" w:rsidR="005F4138" w:rsidRPr="00E11F00" w:rsidRDefault="005B4199" w:rsidP="005F4138">
      <w:pPr>
        <w:spacing w:line="360" w:lineRule="auto"/>
      </w:pPr>
      <w:r w:rsidRPr="00E11F00">
        <w:t xml:space="preserve">Wells, P. and Nieuwenhuis, P. (2022) </w:t>
      </w:r>
      <w:r w:rsidRPr="00D80846">
        <w:rPr>
          <w:i/>
          <w:iCs/>
        </w:rPr>
        <w:t>Transition failure: Understanding continuity in the automotive industry</w:t>
      </w:r>
      <w:r w:rsidR="00D80846">
        <w:t>.</w:t>
      </w:r>
      <w:r w:rsidRPr="00E11F00">
        <w:t xml:space="preserve"> </w:t>
      </w:r>
      <w:r w:rsidRPr="00D80846">
        <w:t>Technological Forecasting and Social Change</w:t>
      </w:r>
      <w:r w:rsidRPr="00E11F00">
        <w:t xml:space="preserve">, 175, 121–351. </w:t>
      </w:r>
      <w:r w:rsidR="001A708B">
        <w:t xml:space="preserve">Available at: </w:t>
      </w:r>
      <w:hyperlink r:id="rId20" w:history="1">
        <w:r w:rsidR="001A708B" w:rsidRPr="00B23B81">
          <w:rPr>
            <w:rStyle w:val="Hyperlink"/>
          </w:rPr>
          <w:t>https://doi.org/10.1016/j.techfore.2021.121351</w:t>
        </w:r>
      </w:hyperlink>
      <w:r w:rsidR="001A708B">
        <w:t xml:space="preserve"> (Accessed 6</w:t>
      </w:r>
      <w:r w:rsidR="001A708B" w:rsidRPr="001A708B">
        <w:rPr>
          <w:vertAlign w:val="superscript"/>
        </w:rPr>
        <w:t>th</w:t>
      </w:r>
      <w:r w:rsidR="001A708B">
        <w:t xml:space="preserve"> April 2026). </w:t>
      </w:r>
    </w:p>
    <w:p w14:paraId="619C0C24" w14:textId="740FA8B6" w:rsidR="00567588" w:rsidRPr="005F4138" w:rsidRDefault="005B4199" w:rsidP="005F4138">
      <w:pPr>
        <w:spacing w:line="360" w:lineRule="auto"/>
        <w:rPr>
          <w:lang w:val="en-US"/>
        </w:rPr>
      </w:pPr>
      <w:r w:rsidRPr="00E11F00">
        <w:t xml:space="preserve">Zhang, Y., Chen, X. and Liu, Z. (2023) </w:t>
      </w:r>
      <w:r w:rsidRPr="001E1DC1">
        <w:rPr>
          <w:i/>
          <w:iCs/>
        </w:rPr>
        <w:t>Organizational culture and firm performance</w:t>
      </w:r>
      <w:r w:rsidR="001E1DC1">
        <w:rPr>
          <w:i/>
          <w:iCs/>
        </w:rPr>
        <w:t xml:space="preserve">. </w:t>
      </w:r>
      <w:r w:rsidRPr="001E1DC1">
        <w:t>Journal of Business Research,</w:t>
      </w:r>
      <w:r w:rsidRPr="00E11F00">
        <w:t xml:space="preserve"> 156, pp. 113–125. </w:t>
      </w:r>
      <w:r w:rsidR="001A708B">
        <w:t xml:space="preserve">Available at: </w:t>
      </w:r>
      <w:hyperlink r:id="rId21" w:history="1">
        <w:r w:rsidR="001A708B" w:rsidRPr="00B23B81">
          <w:rPr>
            <w:rStyle w:val="Hyperlink"/>
          </w:rPr>
          <w:t>https://doi.org/10.1016/j.jbusres.2022.113125</w:t>
        </w:r>
      </w:hyperlink>
      <w:r w:rsidR="001A708B">
        <w:t xml:space="preserve"> (Accessed </w:t>
      </w:r>
      <w:r w:rsidR="00725598">
        <w:t>3</w:t>
      </w:r>
      <w:r w:rsidR="00725598" w:rsidRPr="00725598">
        <w:rPr>
          <w:vertAlign w:val="superscript"/>
        </w:rPr>
        <w:t>rd</w:t>
      </w:r>
      <w:r w:rsidR="00793C3B">
        <w:t xml:space="preserve"> April 2026).</w:t>
      </w:r>
    </w:p>
    <w:sectPr w:rsidR="00567588" w:rsidRPr="005F4138" w:rsidSect="005B4199">
      <w:footerReference w:type="default" r:id="rId2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CB958" w14:textId="77777777" w:rsidR="002040F3" w:rsidRDefault="002040F3" w:rsidP="00092C01">
      <w:pPr>
        <w:spacing w:line="240" w:lineRule="auto"/>
      </w:pPr>
      <w:r>
        <w:separator/>
      </w:r>
    </w:p>
  </w:endnote>
  <w:endnote w:type="continuationSeparator" w:id="0">
    <w:p w14:paraId="14B71EBE" w14:textId="77777777" w:rsidR="002040F3" w:rsidRDefault="002040F3" w:rsidP="00092C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1289082"/>
      <w:docPartObj>
        <w:docPartGallery w:val="Page Numbers (Bottom of Page)"/>
        <w:docPartUnique/>
      </w:docPartObj>
    </w:sdtPr>
    <w:sdtEndPr>
      <w:rPr>
        <w:noProof/>
      </w:rPr>
    </w:sdtEndPr>
    <w:sdtContent>
      <w:p w14:paraId="6DFD3201" w14:textId="121FC192" w:rsidR="00092C01" w:rsidRDefault="00092C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6D3EE" w14:textId="77777777" w:rsidR="00092C01" w:rsidRDefault="00092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362EE" w14:textId="77777777" w:rsidR="002040F3" w:rsidRDefault="002040F3" w:rsidP="00092C01">
      <w:pPr>
        <w:spacing w:line="240" w:lineRule="auto"/>
      </w:pPr>
      <w:r>
        <w:separator/>
      </w:r>
    </w:p>
  </w:footnote>
  <w:footnote w:type="continuationSeparator" w:id="0">
    <w:p w14:paraId="072E0BEC" w14:textId="77777777" w:rsidR="002040F3" w:rsidRDefault="002040F3" w:rsidP="00092C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754610"/>
    <w:multiLevelType w:val="hybridMultilevel"/>
    <w:tmpl w:val="2A56AB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1193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199"/>
    <w:rsid w:val="00092C01"/>
    <w:rsid w:val="000976D7"/>
    <w:rsid w:val="000C2FD3"/>
    <w:rsid w:val="000C7561"/>
    <w:rsid w:val="000D2467"/>
    <w:rsid w:val="000D2D1E"/>
    <w:rsid w:val="000D6060"/>
    <w:rsid w:val="000F3D97"/>
    <w:rsid w:val="000F6786"/>
    <w:rsid w:val="001147C6"/>
    <w:rsid w:val="00147C8C"/>
    <w:rsid w:val="00163A41"/>
    <w:rsid w:val="001756B6"/>
    <w:rsid w:val="00182FE9"/>
    <w:rsid w:val="001A27E0"/>
    <w:rsid w:val="001A61FB"/>
    <w:rsid w:val="001A708B"/>
    <w:rsid w:val="001E1DC1"/>
    <w:rsid w:val="002040F3"/>
    <w:rsid w:val="00232EDB"/>
    <w:rsid w:val="0028166F"/>
    <w:rsid w:val="002C299E"/>
    <w:rsid w:val="00300779"/>
    <w:rsid w:val="00304A81"/>
    <w:rsid w:val="00304F1E"/>
    <w:rsid w:val="003168E8"/>
    <w:rsid w:val="003305C4"/>
    <w:rsid w:val="003524B2"/>
    <w:rsid w:val="00357374"/>
    <w:rsid w:val="0038555E"/>
    <w:rsid w:val="003A5F49"/>
    <w:rsid w:val="003B542A"/>
    <w:rsid w:val="003C47E9"/>
    <w:rsid w:val="003E666A"/>
    <w:rsid w:val="003F6FF0"/>
    <w:rsid w:val="003F7D76"/>
    <w:rsid w:val="00407E44"/>
    <w:rsid w:val="004258FB"/>
    <w:rsid w:val="004714AD"/>
    <w:rsid w:val="00472057"/>
    <w:rsid w:val="004C7065"/>
    <w:rsid w:val="004D1680"/>
    <w:rsid w:val="004D1938"/>
    <w:rsid w:val="005326AA"/>
    <w:rsid w:val="00542DD7"/>
    <w:rsid w:val="00567588"/>
    <w:rsid w:val="005810E2"/>
    <w:rsid w:val="005A1638"/>
    <w:rsid w:val="005B4199"/>
    <w:rsid w:val="005B45DC"/>
    <w:rsid w:val="005B72B4"/>
    <w:rsid w:val="005F4138"/>
    <w:rsid w:val="0060472B"/>
    <w:rsid w:val="0062395C"/>
    <w:rsid w:val="006266F6"/>
    <w:rsid w:val="00630C26"/>
    <w:rsid w:val="006326E1"/>
    <w:rsid w:val="006743E7"/>
    <w:rsid w:val="00681C32"/>
    <w:rsid w:val="006A03BE"/>
    <w:rsid w:val="006C4238"/>
    <w:rsid w:val="006C50D7"/>
    <w:rsid w:val="006F1B07"/>
    <w:rsid w:val="00717EEF"/>
    <w:rsid w:val="00725598"/>
    <w:rsid w:val="00762DAD"/>
    <w:rsid w:val="00793C3B"/>
    <w:rsid w:val="0079608C"/>
    <w:rsid w:val="007C23C2"/>
    <w:rsid w:val="00805181"/>
    <w:rsid w:val="008263FA"/>
    <w:rsid w:val="008376C4"/>
    <w:rsid w:val="00861592"/>
    <w:rsid w:val="008B24E3"/>
    <w:rsid w:val="008B367F"/>
    <w:rsid w:val="008C1383"/>
    <w:rsid w:val="008C29F3"/>
    <w:rsid w:val="009644EB"/>
    <w:rsid w:val="009E0CA0"/>
    <w:rsid w:val="009E5711"/>
    <w:rsid w:val="009F0E9A"/>
    <w:rsid w:val="00A07E63"/>
    <w:rsid w:val="00A602F9"/>
    <w:rsid w:val="00A66E48"/>
    <w:rsid w:val="00AB170E"/>
    <w:rsid w:val="00AE3F71"/>
    <w:rsid w:val="00AE6761"/>
    <w:rsid w:val="00AF39A0"/>
    <w:rsid w:val="00B0182E"/>
    <w:rsid w:val="00B34645"/>
    <w:rsid w:val="00B369B5"/>
    <w:rsid w:val="00B836E3"/>
    <w:rsid w:val="00B93817"/>
    <w:rsid w:val="00BA4073"/>
    <w:rsid w:val="00BE5254"/>
    <w:rsid w:val="00C23D9E"/>
    <w:rsid w:val="00C245AD"/>
    <w:rsid w:val="00C45A10"/>
    <w:rsid w:val="00C81E9D"/>
    <w:rsid w:val="00C85FB7"/>
    <w:rsid w:val="00C94D02"/>
    <w:rsid w:val="00CC159B"/>
    <w:rsid w:val="00CE023F"/>
    <w:rsid w:val="00CF6AFF"/>
    <w:rsid w:val="00D055C7"/>
    <w:rsid w:val="00D4135E"/>
    <w:rsid w:val="00D4591D"/>
    <w:rsid w:val="00D539FF"/>
    <w:rsid w:val="00D56BD9"/>
    <w:rsid w:val="00D6500F"/>
    <w:rsid w:val="00D80846"/>
    <w:rsid w:val="00D907AF"/>
    <w:rsid w:val="00DA53E0"/>
    <w:rsid w:val="00E11673"/>
    <w:rsid w:val="00E11F00"/>
    <w:rsid w:val="00E15E43"/>
    <w:rsid w:val="00E242C0"/>
    <w:rsid w:val="00E53D21"/>
    <w:rsid w:val="00E71D5D"/>
    <w:rsid w:val="00E9333E"/>
    <w:rsid w:val="00ED7448"/>
    <w:rsid w:val="00F07C4D"/>
    <w:rsid w:val="00F31B27"/>
    <w:rsid w:val="00F5072A"/>
    <w:rsid w:val="00F731E4"/>
    <w:rsid w:val="00F76D40"/>
    <w:rsid w:val="00F77BD5"/>
    <w:rsid w:val="00F816F9"/>
    <w:rsid w:val="00F95EFE"/>
    <w:rsid w:val="00FA0DA0"/>
    <w:rsid w:val="00FB2A7E"/>
    <w:rsid w:val="00FC2933"/>
    <w:rsid w:val="00FE1D97"/>
    <w:rsid w:val="00FF3C6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AB42C"/>
  <w15:chartTrackingRefBased/>
  <w15:docId w15:val="{4971F07D-D667-4034-B45F-0FF925BC9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254"/>
    <w:pPr>
      <w:suppressAutoHyphens/>
      <w:spacing w:after="0" w:line="480" w:lineRule="auto"/>
      <w:jc w:val="both"/>
    </w:pPr>
    <w:rPr>
      <w:rFonts w:ascii="Times New Roman" w:hAnsi="Times New Roman" w:cs="Times New Roman"/>
      <w:sz w:val="24"/>
      <w:szCs w:val="20"/>
      <w:lang w:val="en-GB" w:bidi="ar-SA"/>
    </w:rPr>
  </w:style>
  <w:style w:type="paragraph" w:styleId="Heading1">
    <w:name w:val="heading 1"/>
    <w:basedOn w:val="Normal"/>
    <w:next w:val="Normal"/>
    <w:link w:val="Heading1Char"/>
    <w:uiPriority w:val="9"/>
    <w:qFormat/>
    <w:rsid w:val="00630C26"/>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uppressAutoHyphens w:val="0"/>
      <w:outlineLvl w:val="0"/>
    </w:pPr>
    <w:rPr>
      <w:rFonts w:cstheme="minorBidi"/>
      <w:b/>
      <w:caps/>
      <w:color w:val="FFFFFF" w:themeColor="background1"/>
      <w:spacing w:val="15"/>
      <w:sz w:val="32"/>
      <w:szCs w:val="22"/>
      <w:lang w:val="en-US" w:bidi="bn-BD"/>
    </w:rPr>
  </w:style>
  <w:style w:type="paragraph" w:styleId="Heading2">
    <w:name w:val="heading 2"/>
    <w:basedOn w:val="Normal"/>
    <w:next w:val="Normal"/>
    <w:link w:val="Heading2Char"/>
    <w:uiPriority w:val="9"/>
    <w:unhideWhenUsed/>
    <w:qFormat/>
    <w:rsid w:val="00630C26"/>
    <w:pPr>
      <w:keepNext/>
      <w:keepLines/>
      <w:outlineLvl w:val="1"/>
    </w:pPr>
    <w:rPr>
      <w:rFonts w:eastAsiaTheme="majorEastAsia" w:cstheme="majorBidi"/>
      <w:b/>
      <w:bCs/>
      <w:color w:val="5B9BD5" w:themeColor="accent1"/>
      <w:sz w:val="32"/>
      <w:szCs w:val="26"/>
      <w:lang w:bidi="bn-BD"/>
    </w:rPr>
  </w:style>
  <w:style w:type="paragraph" w:styleId="Heading3">
    <w:name w:val="heading 3"/>
    <w:basedOn w:val="Normal"/>
    <w:next w:val="Normal"/>
    <w:link w:val="Heading3Char"/>
    <w:uiPriority w:val="9"/>
    <w:unhideWhenUsed/>
    <w:qFormat/>
    <w:rsid w:val="00630C26"/>
    <w:pPr>
      <w:keepNext/>
      <w:keepLines/>
      <w:spacing w:before="80"/>
      <w:outlineLvl w:val="2"/>
    </w:pPr>
    <w:rPr>
      <w:rFonts w:eastAsiaTheme="majorEastAsia" w:cstheme="majorBidi"/>
      <w:b/>
      <w:bCs/>
      <w:color w:val="2E74B5" w:themeColor="accent1" w:themeShade="BF"/>
      <w:sz w:val="28"/>
      <w:szCs w:val="28"/>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C26"/>
    <w:rPr>
      <w:rFonts w:ascii="Times New Roman" w:hAnsi="Times New Roman"/>
      <w:b/>
      <w:caps/>
      <w:color w:val="FFFFFF" w:themeColor="background1"/>
      <w:spacing w:val="15"/>
      <w:sz w:val="32"/>
      <w:szCs w:val="22"/>
      <w:shd w:val="clear" w:color="auto" w:fill="5B9BD5" w:themeFill="accent1"/>
    </w:rPr>
  </w:style>
  <w:style w:type="character" w:customStyle="1" w:styleId="Heading2Char">
    <w:name w:val="Heading 2 Char"/>
    <w:basedOn w:val="DefaultParagraphFont"/>
    <w:link w:val="Heading2"/>
    <w:uiPriority w:val="9"/>
    <w:rsid w:val="00630C26"/>
    <w:rPr>
      <w:rFonts w:ascii="Times New Roman" w:eastAsiaTheme="majorEastAsia" w:hAnsi="Times New Roman" w:cstheme="majorBidi"/>
      <w:b/>
      <w:bCs/>
      <w:color w:val="5B9BD5" w:themeColor="accent1"/>
      <w:sz w:val="32"/>
      <w:szCs w:val="26"/>
      <w:lang w:val="en-GB"/>
    </w:rPr>
  </w:style>
  <w:style w:type="character" w:customStyle="1" w:styleId="Heading3Char">
    <w:name w:val="Heading 3 Char"/>
    <w:basedOn w:val="DefaultParagraphFont"/>
    <w:link w:val="Heading3"/>
    <w:uiPriority w:val="9"/>
    <w:rsid w:val="00630C26"/>
    <w:rPr>
      <w:rFonts w:ascii="Times New Roman" w:eastAsiaTheme="majorEastAsia" w:hAnsi="Times New Roman" w:cstheme="majorBidi"/>
      <w:b/>
      <w:bCs/>
      <w:color w:val="2E74B5" w:themeColor="accent1" w:themeShade="BF"/>
      <w:sz w:val="28"/>
      <w:lang w:val="en-GB"/>
    </w:rPr>
  </w:style>
  <w:style w:type="paragraph" w:customStyle="1" w:styleId="AABodyText">
    <w:name w:val="AA Body Text"/>
    <w:basedOn w:val="Normal"/>
    <w:link w:val="AABodyTextChar"/>
    <w:qFormat/>
    <w:rsid w:val="00407E44"/>
    <w:pPr>
      <w:contextualSpacing/>
    </w:pPr>
    <w:rPr>
      <w:rFonts w:cs="Arial"/>
      <w:szCs w:val="21"/>
      <w:lang w:val="en-US" w:eastAsia="en-AU"/>
    </w:rPr>
  </w:style>
  <w:style w:type="character" w:customStyle="1" w:styleId="AABodyTextChar">
    <w:name w:val="AA Body Text Char"/>
    <w:link w:val="AABodyText"/>
    <w:rsid w:val="00407E44"/>
    <w:rPr>
      <w:rFonts w:ascii="Times New Roman" w:eastAsia="Times New Roman" w:hAnsi="Times New Roman" w:cs="Arial"/>
      <w:sz w:val="24"/>
      <w:szCs w:val="21"/>
      <w:lang w:eastAsia="en-AU" w:bidi="ar-SA"/>
    </w:rPr>
  </w:style>
  <w:style w:type="paragraph" w:customStyle="1" w:styleId="CLBBodyText">
    <w:name w:val="CLB Body Text"/>
    <w:basedOn w:val="Normal"/>
    <w:qFormat/>
    <w:rsid w:val="00B93817"/>
    <w:pPr>
      <w:ind w:right="45"/>
    </w:pPr>
    <w:rPr>
      <w:rFonts w:cs="Arial"/>
      <w:szCs w:val="22"/>
      <w:lang w:val="en-US" w:eastAsia="en-AU"/>
    </w:rPr>
  </w:style>
  <w:style w:type="paragraph" w:customStyle="1" w:styleId="Bodycopy">
    <w:name w:val="Bodycopy"/>
    <w:link w:val="BodycopyChar"/>
    <w:qFormat/>
    <w:rsid w:val="00B93817"/>
    <w:pPr>
      <w:spacing w:after="0" w:line="480" w:lineRule="auto"/>
      <w:jc w:val="both"/>
    </w:pPr>
    <w:rPr>
      <w:rFonts w:ascii="Calibri" w:eastAsia="Calibri" w:hAnsi="Calibri" w:cs="Times New Roman"/>
      <w:color w:val="404040"/>
      <w:sz w:val="24"/>
      <w:lang w:val="en-AU"/>
    </w:rPr>
  </w:style>
  <w:style w:type="character" w:customStyle="1" w:styleId="BodycopyChar">
    <w:name w:val="Bodycopy Char"/>
    <w:link w:val="Bodycopy"/>
    <w:rsid w:val="00B93817"/>
    <w:rPr>
      <w:rFonts w:ascii="Calibri" w:eastAsia="Calibri" w:hAnsi="Calibri" w:cs="Times New Roman"/>
      <w:color w:val="404040"/>
      <w:sz w:val="24"/>
      <w:lang w:val="en-AU"/>
    </w:rPr>
  </w:style>
  <w:style w:type="character" w:styleId="Hyperlink">
    <w:name w:val="Hyperlink"/>
    <w:basedOn w:val="DefaultParagraphFont"/>
    <w:uiPriority w:val="99"/>
    <w:unhideWhenUsed/>
    <w:rsid w:val="005F4138"/>
    <w:rPr>
      <w:color w:val="0563C1" w:themeColor="hyperlink"/>
      <w:u w:val="single"/>
    </w:rPr>
  </w:style>
  <w:style w:type="paragraph" w:styleId="ListParagraph">
    <w:name w:val="List Paragraph"/>
    <w:basedOn w:val="Normal"/>
    <w:uiPriority w:val="34"/>
    <w:qFormat/>
    <w:rsid w:val="005F4138"/>
    <w:pPr>
      <w:ind w:left="720"/>
      <w:contextualSpacing/>
    </w:pPr>
  </w:style>
  <w:style w:type="paragraph" w:styleId="TOCHeading">
    <w:name w:val="TOC Heading"/>
    <w:basedOn w:val="Heading1"/>
    <w:next w:val="Normal"/>
    <w:uiPriority w:val="39"/>
    <w:unhideWhenUsed/>
    <w:qFormat/>
    <w:rsid w:val="005F4138"/>
    <w:pPr>
      <w:keepNext/>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aps w:val="0"/>
      <w:color w:val="2E74B5" w:themeColor="accent1" w:themeShade="BF"/>
      <w:spacing w:val="0"/>
      <w:szCs w:val="32"/>
      <w:lang w:bidi="ar-SA"/>
    </w:rPr>
  </w:style>
  <w:style w:type="paragraph" w:styleId="TOC2">
    <w:name w:val="toc 2"/>
    <w:basedOn w:val="Normal"/>
    <w:next w:val="Normal"/>
    <w:autoRedefine/>
    <w:uiPriority w:val="39"/>
    <w:unhideWhenUsed/>
    <w:rsid w:val="005F4138"/>
    <w:pPr>
      <w:spacing w:after="100"/>
      <w:ind w:left="240"/>
    </w:pPr>
  </w:style>
  <w:style w:type="paragraph" w:styleId="TOC3">
    <w:name w:val="toc 3"/>
    <w:basedOn w:val="Normal"/>
    <w:next w:val="Normal"/>
    <w:autoRedefine/>
    <w:uiPriority w:val="39"/>
    <w:unhideWhenUsed/>
    <w:rsid w:val="005F4138"/>
    <w:pPr>
      <w:spacing w:after="100"/>
      <w:ind w:left="480"/>
    </w:pPr>
  </w:style>
  <w:style w:type="table" w:styleId="TableGrid">
    <w:name w:val="Table Grid"/>
    <w:basedOn w:val="TableNormal"/>
    <w:uiPriority w:val="39"/>
    <w:rsid w:val="005F41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92C01"/>
    <w:pPr>
      <w:tabs>
        <w:tab w:val="center" w:pos="4513"/>
        <w:tab w:val="right" w:pos="9026"/>
      </w:tabs>
      <w:spacing w:line="240" w:lineRule="auto"/>
    </w:pPr>
  </w:style>
  <w:style w:type="character" w:customStyle="1" w:styleId="HeaderChar">
    <w:name w:val="Header Char"/>
    <w:basedOn w:val="DefaultParagraphFont"/>
    <w:link w:val="Header"/>
    <w:uiPriority w:val="99"/>
    <w:rsid w:val="00092C01"/>
    <w:rPr>
      <w:rFonts w:ascii="Times New Roman" w:hAnsi="Times New Roman" w:cs="Times New Roman"/>
      <w:sz w:val="24"/>
      <w:szCs w:val="20"/>
      <w:lang w:val="en-GB" w:bidi="ar-SA"/>
    </w:rPr>
  </w:style>
  <w:style w:type="paragraph" w:styleId="Footer">
    <w:name w:val="footer"/>
    <w:basedOn w:val="Normal"/>
    <w:link w:val="FooterChar"/>
    <w:uiPriority w:val="99"/>
    <w:unhideWhenUsed/>
    <w:rsid w:val="00092C01"/>
    <w:pPr>
      <w:tabs>
        <w:tab w:val="center" w:pos="4513"/>
        <w:tab w:val="right" w:pos="9026"/>
      </w:tabs>
      <w:spacing w:line="240" w:lineRule="auto"/>
    </w:pPr>
  </w:style>
  <w:style w:type="character" w:customStyle="1" w:styleId="FooterChar">
    <w:name w:val="Footer Char"/>
    <w:basedOn w:val="DefaultParagraphFont"/>
    <w:link w:val="Footer"/>
    <w:uiPriority w:val="99"/>
    <w:rsid w:val="00092C01"/>
    <w:rPr>
      <w:rFonts w:ascii="Times New Roman" w:hAnsi="Times New Roman" w:cs="Times New Roman"/>
      <w:sz w:val="24"/>
      <w:szCs w:val="20"/>
      <w:lang w:val="en-GB" w:bidi="ar-SA"/>
    </w:rPr>
  </w:style>
  <w:style w:type="character" w:styleId="UnresolvedMention">
    <w:name w:val="Unresolved Mention"/>
    <w:basedOn w:val="DefaultParagraphFont"/>
    <w:uiPriority w:val="99"/>
    <w:semiHidden/>
    <w:unhideWhenUsed/>
    <w:rsid w:val="003B54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6367066">
      <w:bodyDiv w:val="1"/>
      <w:marLeft w:val="0"/>
      <w:marRight w:val="0"/>
      <w:marTop w:val="0"/>
      <w:marBottom w:val="0"/>
      <w:divBdr>
        <w:top w:val="none" w:sz="0" w:space="0" w:color="auto"/>
        <w:left w:val="none" w:sz="0" w:space="0" w:color="auto"/>
        <w:bottom w:val="none" w:sz="0" w:space="0" w:color="auto"/>
        <w:right w:val="none" w:sz="0" w:space="0" w:color="auto"/>
      </w:divBdr>
    </w:div>
    <w:div w:id="177497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doi.org/10.1057/s41267-022-00545-2" TargetMode="External"/><Relationship Id="rId18" Type="http://schemas.openxmlformats.org/officeDocument/2006/relationships/hyperlink" Target="https://doi.org/10.1016/j.orgdyn.2021.100876" TargetMode="External"/><Relationship Id="rId3" Type="http://schemas.openxmlformats.org/officeDocument/2006/relationships/styles" Target="styles.xml"/><Relationship Id="rId21" Type="http://schemas.openxmlformats.org/officeDocument/2006/relationships/hyperlink" Target="https://doi.org/10.1016/j.jbusres.2022.113125" TargetMode="External"/><Relationship Id="rId7" Type="http://schemas.openxmlformats.org/officeDocument/2006/relationships/endnotes" Target="endnotes.xml"/><Relationship Id="rId12" Type="http://schemas.openxmlformats.org/officeDocument/2006/relationships/hyperlink" Target="https://doi.org/10.1007/s12063-021-00199-1" TargetMode="External"/><Relationship Id="rId17" Type="http://schemas.openxmlformats.org/officeDocument/2006/relationships/hyperlink" Target="https://doi.org/10.1108/MD-03-2022-0321" TargetMode="External"/><Relationship Id="rId2" Type="http://schemas.openxmlformats.org/officeDocument/2006/relationships/numbering" Target="numbering.xml"/><Relationship Id="rId16" Type="http://schemas.openxmlformats.org/officeDocument/2006/relationships/hyperlink" Target="https://doi.org/10.1080/09537287.2021.1908960" TargetMode="External"/><Relationship Id="rId20" Type="http://schemas.openxmlformats.org/officeDocument/2006/relationships/hyperlink" Target="https://doi.org/10.1016/j.techfore.2021.1213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57/jep.36.2.49"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93/icc/dtac018" TargetMode="External"/><Relationship Id="rId23" Type="http://schemas.openxmlformats.org/officeDocument/2006/relationships/fontTable" Target="fontTable.xml"/><Relationship Id="rId10" Type="http://schemas.openxmlformats.org/officeDocument/2006/relationships/hyperlink" Target="https://doi.org/10.1080/08956308.2023.2151020" TargetMode="External"/><Relationship Id="rId19" Type="http://schemas.openxmlformats.org/officeDocument/2006/relationships/hyperlink" Target="https://doi.org/10.3905/jfds.2024.1.123" TargetMode="External"/><Relationship Id="rId4" Type="http://schemas.openxmlformats.org/officeDocument/2006/relationships/settings" Target="settings.xml"/><Relationship Id="rId9" Type="http://schemas.openxmlformats.org/officeDocument/2006/relationships/hyperlink" Target="https://doi.org/10.1016/j.ijpe.2021.108220" TargetMode="External"/><Relationship Id="rId14" Type="http://schemas.openxmlformats.org/officeDocument/2006/relationships/hyperlink" Target="https://doi.org/10.1016/j.bushor.2022.10.00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261FF-7CD1-437A-9230-2DFFA9748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13</Pages>
  <Words>3928</Words>
  <Characters>22394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Iulian Laurentiu Graur</cp:lastModifiedBy>
  <cp:revision>95</cp:revision>
  <dcterms:created xsi:type="dcterms:W3CDTF">2026-04-07T05:40:00Z</dcterms:created>
  <dcterms:modified xsi:type="dcterms:W3CDTF">2026-04-14T20:02:00Z</dcterms:modified>
</cp:coreProperties>
</file>