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166C0" w14:textId="77777777" w:rsidR="00F55290" w:rsidRPr="00F55290" w:rsidRDefault="00F55290" w:rsidP="00F55290">
      <w:pPr>
        <w:rPr>
          <w:b/>
          <w:bCs/>
          <w:sz w:val="24"/>
          <w:szCs w:val="24"/>
        </w:rPr>
      </w:pPr>
      <w:r w:rsidRPr="00F55290">
        <w:rPr>
          <w:b/>
          <w:bCs/>
          <w:sz w:val="24"/>
          <w:szCs w:val="24"/>
        </w:rPr>
        <w:t>The Key to Life: Helping Young People Find Happiness Beyond School</w:t>
      </w:r>
    </w:p>
    <w:p w14:paraId="15AFBDED" w14:textId="77B5C55F" w:rsidR="00F55290" w:rsidRPr="00F55290" w:rsidRDefault="00F55290" w:rsidP="002B7F87">
      <w:pPr>
        <w:jc w:val="both"/>
      </w:pPr>
      <w:r w:rsidRPr="00F55290">
        <w:t>Not too long ago, I attended a course on pupil wellbeing. Like many sessions of this kind, it kicked off with an icebreaker</w:t>
      </w:r>
      <w:r w:rsidR="00EB21F1">
        <w:t xml:space="preserve">- </w:t>
      </w:r>
      <w:r w:rsidRPr="00F55290">
        <w:t>brainstorming what we want for our children’s futures. As people shared their thoughts around the table, familiar answers emerged</w:t>
      </w:r>
      <w:r w:rsidR="00451A56">
        <w:t xml:space="preserve">: </w:t>
      </w:r>
      <w:r w:rsidRPr="00F55290">
        <w:t>resilience, good qualifications, independence, and a decent job. Then, one parent’s answer struck a chord with everyone in the room. She simply said, “</w:t>
      </w:r>
      <w:r w:rsidRPr="00451A56">
        <w:rPr>
          <w:i/>
          <w:iCs/>
        </w:rPr>
        <w:t>I just want my son to be happy</w:t>
      </w:r>
      <w:r w:rsidRPr="00F55290">
        <w:t>.”</w:t>
      </w:r>
    </w:p>
    <w:p w14:paraId="41484A3B" w14:textId="77777777" w:rsidR="00C25162" w:rsidRPr="00C25162" w:rsidRDefault="00C25162" w:rsidP="00C25162">
      <w:pPr>
        <w:jc w:val="both"/>
      </w:pPr>
      <w:r w:rsidRPr="00C25162">
        <w:t xml:space="preserve">Her words stayed with me. They reminded me of a story often attributed to John Lennon, though its origins are debated. As recounted by </w:t>
      </w:r>
      <w:r w:rsidRPr="00FE3779">
        <w:t>Gordon (2015):</w:t>
      </w:r>
    </w:p>
    <w:p w14:paraId="0D548EEE" w14:textId="77777777" w:rsidR="00C25162" w:rsidRPr="00C25162" w:rsidRDefault="00C25162" w:rsidP="00C25162">
      <w:pPr>
        <w:jc w:val="both"/>
        <w:rPr>
          <w:i/>
          <w:iCs/>
        </w:rPr>
      </w:pPr>
      <w:r w:rsidRPr="00C25162">
        <w:rPr>
          <w:i/>
          <w:iCs/>
        </w:rPr>
        <w:t>“When I was 5 years old, my mother always told me that happiness was the key to life. When I went to school, they asked me what I wanted to be when I grew up. I wrote down ‘happy.’ They told me I didn’t understand the assignment, and I told them they didn’t understand life.”</w:t>
      </w:r>
    </w:p>
    <w:p w14:paraId="78AAE3C0" w14:textId="37285C0E" w:rsidR="00F55290" w:rsidRPr="00F55290" w:rsidRDefault="00F55290" w:rsidP="002B7F87">
      <w:pPr>
        <w:jc w:val="both"/>
      </w:pPr>
      <w:r w:rsidRPr="00F55290">
        <w:t xml:space="preserve">And isn’t that what we all want? For </w:t>
      </w:r>
      <w:r w:rsidR="004D15BC">
        <w:t>our</w:t>
      </w:r>
      <w:r w:rsidRPr="00F55290">
        <w:t xml:space="preserve"> young people to grow into happy, fulfilled adults? But </w:t>
      </w:r>
      <w:r w:rsidR="0008487D">
        <w:t xml:space="preserve">how do we </w:t>
      </w:r>
      <w:r w:rsidR="00EB21F1">
        <w:t>support</w:t>
      </w:r>
      <w:r w:rsidR="0008487D">
        <w:t xml:space="preserve"> them </w:t>
      </w:r>
      <w:r w:rsidR="0029572C">
        <w:t>on this journey?</w:t>
      </w:r>
    </w:p>
    <w:p w14:paraId="4AA197FC" w14:textId="77777777" w:rsidR="00923FF0" w:rsidRDefault="00923FF0" w:rsidP="00F55290"/>
    <w:p w14:paraId="6F374737" w14:textId="26CABC2B" w:rsidR="00F55290" w:rsidRPr="00F55290" w:rsidRDefault="00F55290" w:rsidP="00F55290">
      <w:pPr>
        <w:rPr>
          <w:b/>
          <w:bCs/>
        </w:rPr>
      </w:pPr>
      <w:r w:rsidRPr="00F55290">
        <w:rPr>
          <w:b/>
          <w:bCs/>
        </w:rPr>
        <w:t>What Does Happiness Really Mean?</w:t>
      </w:r>
    </w:p>
    <w:p w14:paraId="3837BA13" w14:textId="52908D59" w:rsidR="00023419" w:rsidRDefault="00F55290" w:rsidP="00023419">
      <w:pPr>
        <w:jc w:val="both"/>
      </w:pPr>
      <w:r w:rsidRPr="00F55290">
        <w:t xml:space="preserve">Happiness isn’t about fleeting pleasures or quick fixes. It’s much deeper than that. True happiness comes from meeting our intrinsic needs. </w:t>
      </w:r>
      <w:r w:rsidR="00FF37C3">
        <w:t xml:space="preserve"> </w:t>
      </w:r>
      <w:r w:rsidR="00FE3779" w:rsidRPr="00FE3779">
        <w:t xml:space="preserve">Psychologists Edward Deci and Richard Ryan’s Self-Determination Theory, published in 2000, </w:t>
      </w:r>
      <w:r w:rsidR="00023419" w:rsidRPr="00023419">
        <w:t xml:space="preserve">identified three fundamental needs that </w:t>
      </w:r>
      <w:r w:rsidR="00160E0A">
        <w:t>underpin</w:t>
      </w:r>
      <w:r w:rsidR="00023419" w:rsidRPr="00023419">
        <w:t xml:space="preserve"> happiness</w:t>
      </w:r>
      <w:r w:rsidR="00B47730">
        <w:t>:</w:t>
      </w:r>
    </w:p>
    <w:p w14:paraId="3E2CC700" w14:textId="2C652D63" w:rsidR="00F55290" w:rsidRPr="00F55290" w:rsidRDefault="00F55290" w:rsidP="00023419">
      <w:pPr>
        <w:pStyle w:val="ListParagraph"/>
        <w:numPr>
          <w:ilvl w:val="0"/>
          <w:numId w:val="3"/>
        </w:numPr>
        <w:jc w:val="both"/>
      </w:pPr>
      <w:r w:rsidRPr="00023419">
        <w:rPr>
          <w:b/>
          <w:bCs/>
        </w:rPr>
        <w:t>Autonomy</w:t>
      </w:r>
      <w:r w:rsidRPr="00F55290">
        <w:t>: Feeling in control of your own decisions.</w:t>
      </w:r>
    </w:p>
    <w:p w14:paraId="56DB1002" w14:textId="77777777" w:rsidR="00F55290" w:rsidRPr="00F55290" w:rsidRDefault="00F55290" w:rsidP="002B7F87">
      <w:pPr>
        <w:numPr>
          <w:ilvl w:val="0"/>
          <w:numId w:val="1"/>
        </w:numPr>
        <w:jc w:val="both"/>
      </w:pPr>
      <w:r w:rsidRPr="00F55290">
        <w:rPr>
          <w:b/>
          <w:bCs/>
        </w:rPr>
        <w:t>Competence</w:t>
      </w:r>
      <w:r w:rsidRPr="00F55290">
        <w:t>: Developing skills and feeling a sense of mastery.</w:t>
      </w:r>
    </w:p>
    <w:p w14:paraId="2D0201BB" w14:textId="77777777" w:rsidR="00F55290" w:rsidRPr="00F55290" w:rsidRDefault="00F55290" w:rsidP="002B7F87">
      <w:pPr>
        <w:numPr>
          <w:ilvl w:val="0"/>
          <w:numId w:val="1"/>
        </w:numPr>
        <w:jc w:val="both"/>
      </w:pPr>
      <w:r w:rsidRPr="00F55290">
        <w:rPr>
          <w:b/>
          <w:bCs/>
        </w:rPr>
        <w:t>Relatedness</w:t>
      </w:r>
      <w:r w:rsidRPr="00F55290">
        <w:t>: Building meaningful connections with others.</w:t>
      </w:r>
    </w:p>
    <w:p w14:paraId="0C830418" w14:textId="77777777" w:rsidR="0007571B" w:rsidRDefault="001527B3" w:rsidP="002B7F87">
      <w:pPr>
        <w:jc w:val="both"/>
      </w:pPr>
      <w:r>
        <w:t xml:space="preserve">This suggests that people thrive when these needs are met. </w:t>
      </w:r>
    </w:p>
    <w:p w14:paraId="0D68D5F7" w14:textId="470C423B" w:rsidR="00E50088" w:rsidRPr="00F55290" w:rsidRDefault="00001933" w:rsidP="002B7F87">
      <w:pPr>
        <w:jc w:val="both"/>
      </w:pPr>
      <w:r>
        <w:t>It could be argued that employment</w:t>
      </w:r>
      <w:r w:rsidR="00E50088" w:rsidRPr="00E50088">
        <w:t xml:space="preserve"> and careers play a vital role in fulfilling these needs. Helping students prepare for meaningful careers</w:t>
      </w:r>
      <w:r w:rsidR="005E5E45">
        <w:t>, therefore,</w:t>
      </w:r>
      <w:r w:rsidR="00E50088" w:rsidRPr="00E50088">
        <w:t xml:space="preserve"> isn’t just about jobs</w:t>
      </w:r>
      <w:r w:rsidR="00E50088">
        <w:t xml:space="preserve">- </w:t>
      </w:r>
      <w:r w:rsidR="00E50088" w:rsidRPr="00E50088">
        <w:t>it’s about equipping them for happiness.</w:t>
      </w:r>
    </w:p>
    <w:p w14:paraId="1992D36F" w14:textId="449F04E3" w:rsidR="00F55290" w:rsidRPr="00F55290" w:rsidRDefault="00F55290" w:rsidP="00F55290"/>
    <w:p w14:paraId="30C602A5" w14:textId="587C7FF8" w:rsidR="00F55290" w:rsidRPr="00F55290" w:rsidRDefault="00F55290" w:rsidP="00F55290">
      <w:pPr>
        <w:rPr>
          <w:b/>
          <w:bCs/>
        </w:rPr>
      </w:pPr>
      <w:r w:rsidRPr="00F55290">
        <w:rPr>
          <w:b/>
          <w:bCs/>
        </w:rPr>
        <w:t xml:space="preserve">Why Work Matters for Long-Term </w:t>
      </w:r>
      <w:r w:rsidR="00244487" w:rsidRPr="00F55290">
        <w:rPr>
          <w:b/>
          <w:bCs/>
        </w:rPr>
        <w:t>Fulfilment</w:t>
      </w:r>
    </w:p>
    <w:p w14:paraId="37604C0F" w14:textId="25603765" w:rsidR="00F55290" w:rsidRPr="00F55290" w:rsidRDefault="00F55290" w:rsidP="002B7F87">
      <w:pPr>
        <w:jc w:val="both"/>
      </w:pPr>
      <w:r w:rsidRPr="00F55290">
        <w:t xml:space="preserve">For most of us, work is a significant part of life. It’s not just about earning money (though that’s certainly important); it’s about purpose, growth, and connection. When young people find careers that align with their interests and values, they’re more likely to </w:t>
      </w:r>
      <w:r w:rsidR="00EE35AA">
        <w:t>satisfy</w:t>
      </w:r>
      <w:r w:rsidRPr="00F55290">
        <w:t xml:space="preserve"> those intrinsic needs for autonomy, competence, and relatedness.</w:t>
      </w:r>
    </w:p>
    <w:p w14:paraId="11DD445A" w14:textId="3C9842B1" w:rsidR="00AD0A36" w:rsidRPr="00F55290" w:rsidRDefault="00F55290" w:rsidP="002B7F87">
      <w:pPr>
        <w:jc w:val="both"/>
      </w:pPr>
      <w:r w:rsidRPr="00F55290">
        <w:t>This is even more crucial today because the working world is changing. Young people entering the workforce now are likely to work for longer than previous generations. With the state pension age</w:t>
      </w:r>
      <w:r w:rsidR="00D26548">
        <w:t xml:space="preserve"> in the UK</w:t>
      </w:r>
      <w:r w:rsidRPr="00F55290">
        <w:t xml:space="preserve"> rising to 67 by the late 2020s and 68 by the 2040s, careers will </w:t>
      </w:r>
      <w:r w:rsidR="00515A73">
        <w:t xml:space="preserve">likely </w:t>
      </w:r>
      <w:r w:rsidRPr="00F55290">
        <w:t xml:space="preserve">span decades. That’s a long time to be in a job that doesn’t </w:t>
      </w:r>
      <w:r w:rsidR="00100DB7" w:rsidRPr="00F55290">
        <w:t>fulfil</w:t>
      </w:r>
      <w:r w:rsidRPr="00F55290">
        <w:t xml:space="preserve"> you.</w:t>
      </w:r>
    </w:p>
    <w:p w14:paraId="71C2C36B" w14:textId="77777777" w:rsidR="00F55290" w:rsidRDefault="00F55290" w:rsidP="002B7F87">
      <w:pPr>
        <w:jc w:val="both"/>
      </w:pPr>
      <w:r w:rsidRPr="00F55290">
        <w:lastRenderedPageBreak/>
        <w:t>If we want our children to lead happy lives, we need to equip them with the tools to find careers that bring them satisfaction and purpose. That means starting career education early and making it an integral part of their school experience.</w:t>
      </w:r>
    </w:p>
    <w:p w14:paraId="582E3FC3" w14:textId="77777777" w:rsidR="00DF0DF0" w:rsidRPr="00F55290" w:rsidRDefault="00DF0DF0" w:rsidP="002B7F87">
      <w:pPr>
        <w:jc w:val="both"/>
      </w:pPr>
    </w:p>
    <w:p w14:paraId="59CBED91" w14:textId="77777777" w:rsidR="00F55290" w:rsidRPr="00F55290" w:rsidRDefault="00F55290" w:rsidP="00F55290">
      <w:pPr>
        <w:rPr>
          <w:b/>
          <w:bCs/>
        </w:rPr>
      </w:pPr>
      <w:r w:rsidRPr="00F55290">
        <w:rPr>
          <w:b/>
          <w:bCs/>
        </w:rPr>
        <w:t>What Schools Can Do: Bridging the Gap</w:t>
      </w:r>
    </w:p>
    <w:p w14:paraId="0C1FD1CD" w14:textId="618B3493" w:rsidR="00166A46" w:rsidRPr="00166A46" w:rsidRDefault="00166A46" w:rsidP="00166A46">
      <w:pPr>
        <w:jc w:val="both"/>
      </w:pPr>
      <w:r w:rsidRPr="00166A46">
        <w:t>Schools play a huge role in pre</w:t>
      </w:r>
      <w:r w:rsidR="004D4CA1">
        <w:t>par</w:t>
      </w:r>
      <w:r w:rsidRPr="00166A46">
        <w:t>ing students for life beyond the classroom, but</w:t>
      </w:r>
      <w:r w:rsidR="005C38E8">
        <w:t>, according to Estyn</w:t>
      </w:r>
      <w:r w:rsidR="00FE3779">
        <w:t xml:space="preserve"> (202</w:t>
      </w:r>
      <w:r w:rsidR="0037708C">
        <w:t>0</w:t>
      </w:r>
      <w:r w:rsidR="00FE3779">
        <w:t>)</w:t>
      </w:r>
      <w:r w:rsidR="005C38E8">
        <w:t>,</w:t>
      </w:r>
      <w:r w:rsidRPr="00166A46">
        <w:t xml:space="preserve"> careers education </w:t>
      </w:r>
      <w:r w:rsidR="005C38E8">
        <w:t>can vary a lot</w:t>
      </w:r>
      <w:r w:rsidR="00FE3779">
        <w:t>.</w:t>
      </w:r>
      <w:r w:rsidRPr="00166A46">
        <w:t xml:space="preserve"> Some schools excel with strong business partnerships and hands-on opportunities, while others barely scratch the surface. For instance, traditional work experience, which research shows boosts long-term career success, isn’t offered everywhere.</w:t>
      </w:r>
    </w:p>
    <w:p w14:paraId="3BC06E9A" w14:textId="4D199EB6" w:rsidR="00166A46" w:rsidRPr="00166A46" w:rsidRDefault="00FE3779" w:rsidP="00166A46">
      <w:pPr>
        <w:jc w:val="both"/>
      </w:pPr>
      <w:r w:rsidRPr="00FE3779">
        <w:t>Research from the OECD (202</w:t>
      </w:r>
      <w:r w:rsidR="0037708C">
        <w:t>0</w:t>
      </w:r>
      <w:r w:rsidRPr="00FE3779">
        <w:t>) s</w:t>
      </w:r>
      <w:r w:rsidR="00895685">
        <w:t>uggests</w:t>
      </w:r>
      <w:r w:rsidRPr="00FE3779">
        <w:t xml:space="preserve"> that schools engaging with employers</w:t>
      </w:r>
      <w:r>
        <w:t xml:space="preserve"> </w:t>
      </w:r>
      <w:r w:rsidR="00954933">
        <w:t>and</w:t>
      </w:r>
      <w:r w:rsidR="00166A46" w:rsidRPr="00166A46">
        <w:t xml:space="preserve"> </w:t>
      </w:r>
      <w:r>
        <w:t>providing</w:t>
      </w:r>
      <w:r w:rsidR="00166A46" w:rsidRPr="00166A46">
        <w:t xml:space="preserve"> real-world </w:t>
      </w:r>
      <w:r w:rsidR="00954933">
        <w:t>opportunities</w:t>
      </w:r>
      <w:r w:rsidR="00166A46" w:rsidRPr="00166A46">
        <w:t xml:space="preserve"> give students a real leg up</w:t>
      </w:r>
      <w:r>
        <w:t xml:space="preserve">. </w:t>
      </w:r>
      <w:r w:rsidR="00166A46" w:rsidRPr="00166A46">
        <w:t>The challenge, though, is closing the “</w:t>
      </w:r>
      <w:r w:rsidR="00166A46" w:rsidRPr="004D4CA1">
        <w:rPr>
          <w:i/>
          <w:iCs/>
        </w:rPr>
        <w:t>implementation gap</w:t>
      </w:r>
      <w:r w:rsidR="00166A46" w:rsidRPr="00166A46">
        <w:t>”</w:t>
      </w:r>
      <w:r w:rsidR="00A737FD">
        <w:t xml:space="preserve">- </w:t>
      </w:r>
      <w:r w:rsidR="00166A46" w:rsidRPr="00166A46">
        <w:t>where good policies exist but aren’t consistently applied</w:t>
      </w:r>
      <w:r w:rsidR="004D4CA1">
        <w:t xml:space="preserve"> (</w:t>
      </w:r>
      <w:r w:rsidR="00DB4E40" w:rsidRPr="000B57D3">
        <w:t>Hudson, et al., 2019</w:t>
      </w:r>
      <w:r w:rsidR="004D4CA1">
        <w:t>)</w:t>
      </w:r>
      <w:r w:rsidR="00166A46" w:rsidRPr="00166A46">
        <w:t>. Take the Curriculum for Wales: it highlights career and work-related experiences (CWRE), but making this vision a reality across the board requires teamwork from schools, local authorities, and policymakers.</w:t>
      </w:r>
    </w:p>
    <w:p w14:paraId="1C0F812C" w14:textId="79D5571F" w:rsidR="00F55290" w:rsidRPr="00F55290" w:rsidRDefault="00F55290" w:rsidP="00F55290"/>
    <w:p w14:paraId="19DB3D11" w14:textId="77777777" w:rsidR="00F55290" w:rsidRPr="00F55290" w:rsidRDefault="00F55290" w:rsidP="00F55290">
      <w:pPr>
        <w:rPr>
          <w:b/>
          <w:bCs/>
        </w:rPr>
      </w:pPr>
      <w:r w:rsidRPr="00F55290">
        <w:rPr>
          <w:b/>
          <w:bCs/>
        </w:rPr>
        <w:t>How Schools Can Do Better: Strategies That Work</w:t>
      </w:r>
    </w:p>
    <w:p w14:paraId="0AC284FA" w14:textId="77777777" w:rsidR="00F55290" w:rsidRPr="00F55290" w:rsidRDefault="00F55290" w:rsidP="00F55290">
      <w:r w:rsidRPr="00F55290">
        <w:t>To truly prepare students for fulfilling careers and happy lives, we need to rethink how we approach career education. Here are some proven strategies that can make a real difference:</w:t>
      </w:r>
    </w:p>
    <w:p w14:paraId="63742F74" w14:textId="77777777" w:rsidR="00F55290" w:rsidRPr="00F55290" w:rsidRDefault="00F55290" w:rsidP="00F55290">
      <w:pPr>
        <w:numPr>
          <w:ilvl w:val="0"/>
          <w:numId w:val="2"/>
        </w:numPr>
      </w:pPr>
      <w:r w:rsidRPr="00F55290">
        <w:rPr>
          <w:b/>
          <w:bCs/>
        </w:rPr>
        <w:t>Start Early</w:t>
      </w:r>
      <w:r w:rsidRPr="00F55290">
        <w:t>: Career education shouldn’t wait until students are 15 or older. By engaging younger students in discussions about their interests and aspirations, we can help them see the possibilities early on.</w:t>
      </w:r>
    </w:p>
    <w:p w14:paraId="7B4D5DAA" w14:textId="518D62AD" w:rsidR="00F55290" w:rsidRPr="00F55290" w:rsidRDefault="00F55290" w:rsidP="00F55290">
      <w:pPr>
        <w:numPr>
          <w:ilvl w:val="0"/>
          <w:numId w:val="2"/>
        </w:numPr>
      </w:pPr>
      <w:r w:rsidRPr="00F55290">
        <w:rPr>
          <w:b/>
          <w:bCs/>
        </w:rPr>
        <w:t>Offer Real-World Experiences</w:t>
      </w:r>
      <w:r w:rsidRPr="00F55290">
        <w:t xml:space="preserve">: </w:t>
      </w:r>
      <w:r w:rsidR="00F43F32" w:rsidRPr="00F43F32">
        <w:t xml:space="preserve">Work experience, </w:t>
      </w:r>
      <w:r w:rsidRPr="00F55290">
        <w:t>job shadowing, and volunteering opportunities give students valuable insights into the workplace</w:t>
      </w:r>
      <w:r w:rsidR="00F43F32">
        <w:t xml:space="preserve"> and</w:t>
      </w:r>
      <w:r w:rsidRPr="00F55290">
        <w:t xml:space="preserve"> </w:t>
      </w:r>
      <w:r w:rsidR="00F43F32">
        <w:t xml:space="preserve">help </w:t>
      </w:r>
      <w:r w:rsidRPr="00F55290">
        <w:t>them build the skills they’ll need in the future.</w:t>
      </w:r>
    </w:p>
    <w:p w14:paraId="620F2B81" w14:textId="77777777" w:rsidR="00F55290" w:rsidRPr="00F55290" w:rsidRDefault="00F55290" w:rsidP="00F55290">
      <w:pPr>
        <w:numPr>
          <w:ilvl w:val="0"/>
          <w:numId w:val="2"/>
        </w:numPr>
      </w:pPr>
      <w:r w:rsidRPr="00F55290">
        <w:rPr>
          <w:b/>
          <w:bCs/>
        </w:rPr>
        <w:t>Build Strong Partnerships</w:t>
      </w:r>
      <w:r w:rsidRPr="00F55290">
        <w:t>: Schools can’t do this alone. Partnering with local businesses and employers brings authenticity to career education and opens doors for students.</w:t>
      </w:r>
    </w:p>
    <w:p w14:paraId="7B04F1AA" w14:textId="1F328477" w:rsidR="00F55290" w:rsidRDefault="00F55290" w:rsidP="00F55290">
      <w:pPr>
        <w:numPr>
          <w:ilvl w:val="0"/>
          <w:numId w:val="2"/>
        </w:numPr>
      </w:pPr>
      <w:r w:rsidRPr="00F55290">
        <w:rPr>
          <w:b/>
          <w:bCs/>
        </w:rPr>
        <w:t>Tailor Guidance to Individual Needs</w:t>
      </w:r>
      <w:r w:rsidRPr="00F55290">
        <w:t xml:space="preserve">: Every student is different. Career advice should </w:t>
      </w:r>
      <w:r w:rsidR="00166A46" w:rsidRPr="00F55290">
        <w:t>consider</w:t>
      </w:r>
      <w:r w:rsidRPr="00F55290">
        <w:t xml:space="preserve"> their unique strengths, interests, and circumstances. For students from disadvantaged backgrounds, this tailored approach is especially important.</w:t>
      </w:r>
    </w:p>
    <w:p w14:paraId="1D4E0435" w14:textId="41C95CED" w:rsidR="00DC5BFE" w:rsidRPr="00F43F32" w:rsidRDefault="00DC5BFE" w:rsidP="00F43F32">
      <w:pPr>
        <w:ind w:left="360"/>
        <w:jc w:val="right"/>
      </w:pPr>
      <w:r w:rsidRPr="00F43F32">
        <w:t>(</w:t>
      </w:r>
      <w:r w:rsidR="00F43F32" w:rsidRPr="00F43F32">
        <w:t>ESTYN, 202</w:t>
      </w:r>
      <w:r w:rsidR="0037708C">
        <w:t>0</w:t>
      </w:r>
      <w:r w:rsidR="00F43F32" w:rsidRPr="00F43F32">
        <w:t xml:space="preserve">; </w:t>
      </w:r>
      <w:r w:rsidRPr="00F43F32">
        <w:t>OECD</w:t>
      </w:r>
      <w:r w:rsidR="00F43F32" w:rsidRPr="00F43F32">
        <w:t>, 202</w:t>
      </w:r>
      <w:r w:rsidR="0037708C">
        <w:t>0</w:t>
      </w:r>
      <w:r w:rsidRPr="00F43F32">
        <w:t xml:space="preserve">; </w:t>
      </w:r>
      <w:r w:rsidR="00276110" w:rsidRPr="00F43F32">
        <w:t>Hughes</w:t>
      </w:r>
      <w:r w:rsidR="00F43F32" w:rsidRPr="00F43F32">
        <w:t>, et al., 2016</w:t>
      </w:r>
      <w:r w:rsidRPr="00F43F32">
        <w:t>)</w:t>
      </w:r>
    </w:p>
    <w:p w14:paraId="77849539" w14:textId="77777777" w:rsidR="00901B90" w:rsidRDefault="00901B90" w:rsidP="00F55290"/>
    <w:p w14:paraId="07B805FD" w14:textId="6C437553" w:rsidR="00F55290" w:rsidRPr="00F55290" w:rsidRDefault="00FE3779" w:rsidP="00F55290">
      <w:r>
        <w:t>T</w:t>
      </w:r>
      <w:r w:rsidR="00F55290" w:rsidRPr="00F55290">
        <w:t>he Welsh Government has laid a strong foundation for CWRE, but it’s up to schools and communities to bring these ideas to life. Consistency and commitment are key.</w:t>
      </w:r>
    </w:p>
    <w:p w14:paraId="39CA7EDF" w14:textId="26482384" w:rsidR="00F55290" w:rsidRPr="00F55290" w:rsidRDefault="00F55290" w:rsidP="00F55290"/>
    <w:p w14:paraId="28720130" w14:textId="77777777" w:rsidR="00F55290" w:rsidRPr="00F55290" w:rsidRDefault="00F55290" w:rsidP="00F55290">
      <w:pPr>
        <w:rPr>
          <w:b/>
          <w:bCs/>
        </w:rPr>
      </w:pPr>
      <w:r w:rsidRPr="00F55290">
        <w:rPr>
          <w:b/>
          <w:bCs/>
        </w:rPr>
        <w:t>Why This Matters: It’s About Life, Not Just Work</w:t>
      </w:r>
    </w:p>
    <w:p w14:paraId="1F6D82DE" w14:textId="3413471D" w:rsidR="00DF62EC" w:rsidRDefault="006E55A7" w:rsidP="00DF62EC">
      <w:pPr>
        <w:jc w:val="both"/>
      </w:pPr>
      <w:r w:rsidRPr="006E55A7">
        <w:lastRenderedPageBreak/>
        <w:t>Career education isn’t just about jobs</w:t>
      </w:r>
      <w:r w:rsidR="00705346">
        <w:t xml:space="preserve">- </w:t>
      </w:r>
      <w:r w:rsidRPr="006E55A7">
        <w:t>it’s about helping young people find their strengths, align their passions, and lead happier lives. The best education systems, as the OECD</w:t>
      </w:r>
      <w:r w:rsidR="0017310C">
        <w:t xml:space="preserve"> (202</w:t>
      </w:r>
      <w:r w:rsidR="0037708C">
        <w:t>0</w:t>
      </w:r>
      <w:r w:rsidR="0017310C">
        <w:t>)</w:t>
      </w:r>
      <w:r w:rsidRPr="006E55A7">
        <w:t xml:space="preserve"> points out, ensure every student has the chance to </w:t>
      </w:r>
      <w:r w:rsidR="00A2627A" w:rsidRPr="006E55A7">
        <w:t>succeed</w:t>
      </w:r>
      <w:r w:rsidRPr="006E55A7">
        <w:t xml:space="preserve">, regardless of their background. Ultimately, we want more than traditional success for our </w:t>
      </w:r>
      <w:r w:rsidR="00901B90">
        <w:t>children</w:t>
      </w:r>
      <w:r w:rsidR="00705346">
        <w:t xml:space="preserve">- </w:t>
      </w:r>
      <w:r w:rsidRPr="006E55A7">
        <w:t xml:space="preserve">we want them to feel fulfilled, enjoy their work, and build meaningful connections. </w:t>
      </w:r>
    </w:p>
    <w:p w14:paraId="6F761A5C" w14:textId="42C87641" w:rsidR="006E55A7" w:rsidRDefault="006E55A7" w:rsidP="00DF62EC">
      <w:pPr>
        <w:jc w:val="both"/>
      </w:pPr>
      <w:r w:rsidRPr="006E55A7">
        <w:t>By prioriti</w:t>
      </w:r>
      <w:r w:rsidR="00EF228F">
        <w:t>s</w:t>
      </w:r>
      <w:r w:rsidRPr="006E55A7">
        <w:t>ing happiness, we’re not just preparing them for careers but for a fulfilling</w:t>
      </w:r>
      <w:r w:rsidR="00705346">
        <w:t xml:space="preserve"> and happy</w:t>
      </w:r>
      <w:r w:rsidRPr="006E55A7">
        <w:t xml:space="preserve"> life</w:t>
      </w:r>
      <w:r w:rsidR="00705346">
        <w:t>!</w:t>
      </w:r>
    </w:p>
    <w:p w14:paraId="1C45855F" w14:textId="2BE54AE7" w:rsidR="00EF228F" w:rsidRDefault="00EF228F" w:rsidP="00EF228F"/>
    <w:p w14:paraId="7A235CD7" w14:textId="77777777" w:rsidR="00FF1B90" w:rsidRDefault="00FF1B90" w:rsidP="00EF228F"/>
    <w:p w14:paraId="54126D34" w14:textId="77777777" w:rsidR="00FF1B90" w:rsidRDefault="00FF1B90" w:rsidP="00EF228F"/>
    <w:p w14:paraId="72133984" w14:textId="77777777" w:rsidR="00FF1B90" w:rsidRDefault="00FF1B90" w:rsidP="001019DA"/>
    <w:p w14:paraId="07165308" w14:textId="36A85009" w:rsidR="001019DA" w:rsidRPr="001019DA" w:rsidRDefault="001019DA" w:rsidP="001019DA">
      <w:r w:rsidRPr="001019DA">
        <w:rPr>
          <w:b/>
          <w:bCs/>
        </w:rPr>
        <w:t>References</w:t>
      </w:r>
    </w:p>
    <w:p w14:paraId="465229D5" w14:textId="6B7C4CEB" w:rsidR="00FF1B90" w:rsidRPr="00FF1B90" w:rsidRDefault="00FF1B90" w:rsidP="00FF1B90">
      <w:r w:rsidRPr="00FF1B90">
        <w:t xml:space="preserve">Estyn, 2020. </w:t>
      </w:r>
      <w:r w:rsidRPr="00FF1B90">
        <w:rPr>
          <w:i/>
          <w:iCs/>
        </w:rPr>
        <w:t>Partnerships with employers in secondary and special schools</w:t>
      </w:r>
      <w:r w:rsidRPr="00FF1B90">
        <w:t xml:space="preserve">. </w:t>
      </w:r>
      <w:r>
        <w:t>(</w:t>
      </w:r>
      <w:r w:rsidRPr="00FF1B90">
        <w:t>online</w:t>
      </w:r>
      <w:r>
        <w:t>)</w:t>
      </w:r>
      <w:r w:rsidRPr="00FF1B90">
        <w:t xml:space="preserve"> Available at: </w:t>
      </w:r>
      <w:hyperlink r:id="rId5" w:tgtFrame="_new" w:history="1">
        <w:r w:rsidRPr="00FF1B90">
          <w:rPr>
            <w:rStyle w:val="Hyperlink"/>
          </w:rPr>
          <w:t>Estyn</w:t>
        </w:r>
      </w:hyperlink>
      <w:r w:rsidRPr="00FF1B90">
        <w:t xml:space="preserve"> </w:t>
      </w:r>
      <w:r>
        <w:t>(</w:t>
      </w:r>
      <w:r w:rsidRPr="00FF1B90">
        <w:t>Accessed 15 January 2025</w:t>
      </w:r>
      <w:r>
        <w:t>)</w:t>
      </w:r>
      <w:r w:rsidRPr="00FF1B90">
        <w:t>.</w:t>
      </w:r>
    </w:p>
    <w:p w14:paraId="591BA2CC" w14:textId="77777777" w:rsidR="00FF1B90" w:rsidRPr="00FF1B90" w:rsidRDefault="00FF1B90" w:rsidP="00FF1B90">
      <w:r w:rsidRPr="00FF1B90">
        <w:t xml:space="preserve">Gordon, H.J., 2015. </w:t>
      </w:r>
      <w:r w:rsidRPr="00FF1B90">
        <w:rPr>
          <w:i/>
          <w:iCs/>
        </w:rPr>
        <w:t>Craft your job!: improving well-being, decision making, and performance in healthcare</w:t>
      </w:r>
      <w:r w:rsidRPr="00FF1B90">
        <w:t>.</w:t>
      </w:r>
    </w:p>
    <w:p w14:paraId="144164D2" w14:textId="05159E4D" w:rsidR="00FF1B90" w:rsidRPr="00FF1B90" w:rsidRDefault="00FF1B90" w:rsidP="00FF1B90">
      <w:r w:rsidRPr="00FF1B90">
        <w:t xml:space="preserve">Hughes, D., Mann, A., Barnes, S.A., Baldauf, B. and McKeown, R., 2016. </w:t>
      </w:r>
      <w:r w:rsidRPr="00FF1B90">
        <w:rPr>
          <w:i/>
          <w:iCs/>
        </w:rPr>
        <w:t>Careers education: International literature review</w:t>
      </w:r>
      <w:r w:rsidRPr="00FF1B90">
        <w:t xml:space="preserve">. </w:t>
      </w:r>
      <w:r>
        <w:t>(</w:t>
      </w:r>
      <w:r w:rsidRPr="00FF1B90">
        <w:t>online</w:t>
      </w:r>
      <w:r>
        <w:t>)</w:t>
      </w:r>
      <w:r w:rsidRPr="00FF1B90">
        <w:t xml:space="preserve"> Published by Education Development Trust. Available at: http://wrap.warwick.ac.uk/80474 </w:t>
      </w:r>
      <w:r>
        <w:t>(</w:t>
      </w:r>
      <w:r w:rsidRPr="00FF1B90">
        <w:t xml:space="preserve">Accessed </w:t>
      </w:r>
      <w:r>
        <w:t>20 December</w:t>
      </w:r>
      <w:r w:rsidRPr="00FF1B90">
        <w:t xml:space="preserve"> 202</w:t>
      </w:r>
      <w:r>
        <w:t>4)</w:t>
      </w:r>
      <w:r w:rsidRPr="00FF1B90">
        <w:t>.</w:t>
      </w:r>
    </w:p>
    <w:p w14:paraId="2BC597AB" w14:textId="77777777" w:rsidR="00FF1B90" w:rsidRPr="00FF1B90" w:rsidRDefault="00FF1B90" w:rsidP="00FF1B90">
      <w:r w:rsidRPr="00FF1B90">
        <w:t xml:space="preserve">Hudson, B., Hunter, D. and Peckham, S., 2019. Policy failure and the policy-implementation gap: can policy support programs help?. </w:t>
      </w:r>
      <w:r w:rsidRPr="00FF1B90">
        <w:rPr>
          <w:i/>
          <w:iCs/>
        </w:rPr>
        <w:t>Policy Design and Practice</w:t>
      </w:r>
      <w:r w:rsidRPr="00FF1B90">
        <w:t>, 2(1), pp.1-14. DOI: 10.1080/25741292.2018.1540378.</w:t>
      </w:r>
    </w:p>
    <w:p w14:paraId="56584A9E" w14:textId="6BF1685B" w:rsidR="00FF1B90" w:rsidRPr="00FF1B90" w:rsidRDefault="00FF1B90" w:rsidP="00FF1B90">
      <w:r w:rsidRPr="00FF1B90">
        <w:t xml:space="preserve">OECD, 2020. </w:t>
      </w:r>
      <w:r w:rsidRPr="00FF1B90">
        <w:rPr>
          <w:i/>
          <w:iCs/>
        </w:rPr>
        <w:t>Indicators of teenage career readiness</w:t>
      </w:r>
      <w:r w:rsidRPr="00FF1B90">
        <w:t xml:space="preserve">. </w:t>
      </w:r>
      <w:r>
        <w:t>(</w:t>
      </w:r>
      <w:r w:rsidRPr="00FF1B90">
        <w:t>online</w:t>
      </w:r>
      <w:r>
        <w:t>)</w:t>
      </w:r>
      <w:r w:rsidRPr="00FF1B90">
        <w:t xml:space="preserve"> Available at: </w:t>
      </w:r>
      <w:hyperlink r:id="rId6" w:tgtFrame="_new" w:history="1">
        <w:r w:rsidRPr="00FF1B90">
          <w:rPr>
            <w:rStyle w:val="Hyperlink"/>
          </w:rPr>
          <w:t>OECD</w:t>
        </w:r>
      </w:hyperlink>
      <w:r w:rsidRPr="00FF1B90">
        <w:t xml:space="preserve"> </w:t>
      </w:r>
      <w:r>
        <w:t>(</w:t>
      </w:r>
      <w:r w:rsidRPr="00FF1B90">
        <w:t xml:space="preserve">Accessed </w:t>
      </w:r>
      <w:r>
        <w:t>4</w:t>
      </w:r>
      <w:r w:rsidRPr="00FF1B90">
        <w:t xml:space="preserve"> January 2025</w:t>
      </w:r>
      <w:r>
        <w:t>)</w:t>
      </w:r>
      <w:r w:rsidRPr="00FF1B90">
        <w:t>.</w:t>
      </w:r>
    </w:p>
    <w:p w14:paraId="143384E4" w14:textId="77777777" w:rsidR="00FF1B90" w:rsidRPr="00FF1B90" w:rsidRDefault="00FF1B90" w:rsidP="00FF1B90">
      <w:r w:rsidRPr="00FF1B90">
        <w:t xml:space="preserve">Ryan, R.M. and Deci, E.L., 2000. Self-determination theory and the facilitation of intrinsic motivation, social development, and well-being. </w:t>
      </w:r>
      <w:r w:rsidRPr="00FF1B90">
        <w:rPr>
          <w:i/>
          <w:iCs/>
        </w:rPr>
        <w:t>American Psychologist</w:t>
      </w:r>
      <w:r w:rsidRPr="00FF1B90">
        <w:t>, 55(1), p.68.</w:t>
      </w:r>
    </w:p>
    <w:p w14:paraId="6B980C9E" w14:textId="77777777" w:rsidR="001019DA" w:rsidRPr="00EF228F" w:rsidRDefault="001019DA" w:rsidP="00EF228F"/>
    <w:sectPr w:rsidR="001019DA" w:rsidRPr="00EF22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F14E4"/>
    <w:multiLevelType w:val="multilevel"/>
    <w:tmpl w:val="553EA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DE375E"/>
    <w:multiLevelType w:val="multilevel"/>
    <w:tmpl w:val="A9A0F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B663E5"/>
    <w:multiLevelType w:val="hybridMultilevel"/>
    <w:tmpl w:val="16A89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B3586B"/>
    <w:multiLevelType w:val="multilevel"/>
    <w:tmpl w:val="95B85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3535745">
    <w:abstractNumId w:val="3"/>
  </w:num>
  <w:num w:numId="2" w16cid:durableId="637225545">
    <w:abstractNumId w:val="0"/>
  </w:num>
  <w:num w:numId="3" w16cid:durableId="2069645098">
    <w:abstractNumId w:val="2"/>
  </w:num>
  <w:num w:numId="4" w16cid:durableId="2002847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290"/>
    <w:rsid w:val="00001933"/>
    <w:rsid w:val="00023419"/>
    <w:rsid w:val="00056170"/>
    <w:rsid w:val="0007571B"/>
    <w:rsid w:val="0008487D"/>
    <w:rsid w:val="000B57D3"/>
    <w:rsid w:val="000C69BA"/>
    <w:rsid w:val="000F2EB4"/>
    <w:rsid w:val="00100DB7"/>
    <w:rsid w:val="001019DA"/>
    <w:rsid w:val="001527B3"/>
    <w:rsid w:val="00154664"/>
    <w:rsid w:val="00160E0A"/>
    <w:rsid w:val="00166A46"/>
    <w:rsid w:val="0017310C"/>
    <w:rsid w:val="00244487"/>
    <w:rsid w:val="0026525D"/>
    <w:rsid w:val="00276110"/>
    <w:rsid w:val="0029572C"/>
    <w:rsid w:val="002B7F87"/>
    <w:rsid w:val="0037708C"/>
    <w:rsid w:val="003813C2"/>
    <w:rsid w:val="00451A56"/>
    <w:rsid w:val="004D15BC"/>
    <w:rsid w:val="004D4CA1"/>
    <w:rsid w:val="004E6AA7"/>
    <w:rsid w:val="00515A73"/>
    <w:rsid w:val="005379B1"/>
    <w:rsid w:val="00560CBD"/>
    <w:rsid w:val="00572487"/>
    <w:rsid w:val="005C38E8"/>
    <w:rsid w:val="005E5E45"/>
    <w:rsid w:val="00614D20"/>
    <w:rsid w:val="0065421A"/>
    <w:rsid w:val="006E55A7"/>
    <w:rsid w:val="00705346"/>
    <w:rsid w:val="0078447A"/>
    <w:rsid w:val="007E7B11"/>
    <w:rsid w:val="0085797B"/>
    <w:rsid w:val="00895685"/>
    <w:rsid w:val="00901B90"/>
    <w:rsid w:val="00923FF0"/>
    <w:rsid w:val="00954933"/>
    <w:rsid w:val="0096735D"/>
    <w:rsid w:val="009759E7"/>
    <w:rsid w:val="009B3252"/>
    <w:rsid w:val="00A12B91"/>
    <w:rsid w:val="00A2627A"/>
    <w:rsid w:val="00A50394"/>
    <w:rsid w:val="00A737FD"/>
    <w:rsid w:val="00A75089"/>
    <w:rsid w:val="00A84943"/>
    <w:rsid w:val="00AD0A36"/>
    <w:rsid w:val="00AE0004"/>
    <w:rsid w:val="00B128A6"/>
    <w:rsid w:val="00B32352"/>
    <w:rsid w:val="00B467E9"/>
    <w:rsid w:val="00B47730"/>
    <w:rsid w:val="00C048CD"/>
    <w:rsid w:val="00C25162"/>
    <w:rsid w:val="00D26548"/>
    <w:rsid w:val="00D26C8E"/>
    <w:rsid w:val="00D5522B"/>
    <w:rsid w:val="00DA40B6"/>
    <w:rsid w:val="00DB4E40"/>
    <w:rsid w:val="00DC5BFE"/>
    <w:rsid w:val="00DF0DF0"/>
    <w:rsid w:val="00DF62EC"/>
    <w:rsid w:val="00E50088"/>
    <w:rsid w:val="00EB21F1"/>
    <w:rsid w:val="00EE35AA"/>
    <w:rsid w:val="00EF228F"/>
    <w:rsid w:val="00F11F95"/>
    <w:rsid w:val="00F43F32"/>
    <w:rsid w:val="00F55290"/>
    <w:rsid w:val="00F81BB8"/>
    <w:rsid w:val="00FE3779"/>
    <w:rsid w:val="00FF1B90"/>
    <w:rsid w:val="00FF3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EB49F"/>
  <w15:chartTrackingRefBased/>
  <w15:docId w15:val="{06AC0DB6-54C2-4D75-B2DC-227B528A1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290"/>
    <w:rPr>
      <w:rFonts w:eastAsiaTheme="majorEastAsia" w:cstheme="majorBidi"/>
      <w:color w:val="272727" w:themeColor="text1" w:themeTint="D8"/>
    </w:rPr>
  </w:style>
  <w:style w:type="paragraph" w:styleId="Title">
    <w:name w:val="Title"/>
    <w:basedOn w:val="Normal"/>
    <w:next w:val="Normal"/>
    <w:link w:val="TitleChar"/>
    <w:uiPriority w:val="10"/>
    <w:qFormat/>
    <w:rsid w:val="00F55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290"/>
    <w:pPr>
      <w:spacing w:before="160"/>
      <w:jc w:val="center"/>
    </w:pPr>
    <w:rPr>
      <w:i/>
      <w:iCs/>
      <w:color w:val="404040" w:themeColor="text1" w:themeTint="BF"/>
    </w:rPr>
  </w:style>
  <w:style w:type="character" w:customStyle="1" w:styleId="QuoteChar">
    <w:name w:val="Quote Char"/>
    <w:basedOn w:val="DefaultParagraphFont"/>
    <w:link w:val="Quote"/>
    <w:uiPriority w:val="29"/>
    <w:rsid w:val="00F55290"/>
    <w:rPr>
      <w:i/>
      <w:iCs/>
      <w:color w:val="404040" w:themeColor="text1" w:themeTint="BF"/>
    </w:rPr>
  </w:style>
  <w:style w:type="paragraph" w:styleId="ListParagraph">
    <w:name w:val="List Paragraph"/>
    <w:basedOn w:val="Normal"/>
    <w:uiPriority w:val="34"/>
    <w:qFormat/>
    <w:rsid w:val="00F55290"/>
    <w:pPr>
      <w:ind w:left="720"/>
      <w:contextualSpacing/>
    </w:pPr>
  </w:style>
  <w:style w:type="character" w:styleId="IntenseEmphasis">
    <w:name w:val="Intense Emphasis"/>
    <w:basedOn w:val="DefaultParagraphFont"/>
    <w:uiPriority w:val="21"/>
    <w:qFormat/>
    <w:rsid w:val="00F55290"/>
    <w:rPr>
      <w:i/>
      <w:iCs/>
      <w:color w:val="0F4761" w:themeColor="accent1" w:themeShade="BF"/>
    </w:rPr>
  </w:style>
  <w:style w:type="paragraph" w:styleId="IntenseQuote">
    <w:name w:val="Intense Quote"/>
    <w:basedOn w:val="Normal"/>
    <w:next w:val="Normal"/>
    <w:link w:val="IntenseQuoteChar"/>
    <w:uiPriority w:val="30"/>
    <w:qFormat/>
    <w:rsid w:val="00F55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290"/>
    <w:rPr>
      <w:i/>
      <w:iCs/>
      <w:color w:val="0F4761" w:themeColor="accent1" w:themeShade="BF"/>
    </w:rPr>
  </w:style>
  <w:style w:type="character" w:styleId="IntenseReference">
    <w:name w:val="Intense Reference"/>
    <w:basedOn w:val="DefaultParagraphFont"/>
    <w:uiPriority w:val="32"/>
    <w:qFormat/>
    <w:rsid w:val="00F55290"/>
    <w:rPr>
      <w:b/>
      <w:bCs/>
      <w:smallCaps/>
      <w:color w:val="0F4761" w:themeColor="accent1" w:themeShade="BF"/>
      <w:spacing w:val="5"/>
    </w:rPr>
  </w:style>
  <w:style w:type="character" w:styleId="Hyperlink">
    <w:name w:val="Hyperlink"/>
    <w:basedOn w:val="DefaultParagraphFont"/>
    <w:uiPriority w:val="99"/>
    <w:unhideWhenUsed/>
    <w:rsid w:val="001019DA"/>
    <w:rPr>
      <w:color w:val="467886" w:themeColor="hyperlink"/>
      <w:u w:val="single"/>
    </w:rPr>
  </w:style>
  <w:style w:type="character" w:styleId="UnresolvedMention">
    <w:name w:val="Unresolved Mention"/>
    <w:basedOn w:val="DefaultParagraphFont"/>
    <w:uiPriority w:val="99"/>
    <w:semiHidden/>
    <w:unhideWhenUsed/>
    <w:rsid w:val="001019DA"/>
    <w:rPr>
      <w:color w:val="605E5C"/>
      <w:shd w:val="clear" w:color="auto" w:fill="E1DFDD"/>
    </w:rPr>
  </w:style>
  <w:style w:type="character" w:styleId="FollowedHyperlink">
    <w:name w:val="FollowedHyperlink"/>
    <w:basedOn w:val="DefaultParagraphFont"/>
    <w:uiPriority w:val="99"/>
    <w:semiHidden/>
    <w:unhideWhenUsed/>
    <w:rsid w:val="00FF1B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59875">
      <w:bodyDiv w:val="1"/>
      <w:marLeft w:val="0"/>
      <w:marRight w:val="0"/>
      <w:marTop w:val="0"/>
      <w:marBottom w:val="0"/>
      <w:divBdr>
        <w:top w:val="none" w:sz="0" w:space="0" w:color="auto"/>
        <w:left w:val="none" w:sz="0" w:space="0" w:color="auto"/>
        <w:bottom w:val="none" w:sz="0" w:space="0" w:color="auto"/>
        <w:right w:val="none" w:sz="0" w:space="0" w:color="auto"/>
      </w:divBdr>
      <w:divsChild>
        <w:div w:id="699891570">
          <w:marLeft w:val="0"/>
          <w:marRight w:val="0"/>
          <w:marTop w:val="0"/>
          <w:marBottom w:val="0"/>
          <w:divBdr>
            <w:top w:val="none" w:sz="0" w:space="0" w:color="auto"/>
            <w:left w:val="none" w:sz="0" w:space="0" w:color="auto"/>
            <w:bottom w:val="none" w:sz="0" w:space="0" w:color="auto"/>
            <w:right w:val="none" w:sz="0" w:space="0" w:color="auto"/>
          </w:divBdr>
        </w:div>
        <w:div w:id="1773815709">
          <w:marLeft w:val="0"/>
          <w:marRight w:val="0"/>
          <w:marTop w:val="0"/>
          <w:marBottom w:val="0"/>
          <w:divBdr>
            <w:top w:val="none" w:sz="0" w:space="0" w:color="auto"/>
            <w:left w:val="none" w:sz="0" w:space="0" w:color="auto"/>
            <w:bottom w:val="none" w:sz="0" w:space="0" w:color="auto"/>
            <w:right w:val="none" w:sz="0" w:space="0" w:color="auto"/>
          </w:divBdr>
        </w:div>
        <w:div w:id="2126845116">
          <w:marLeft w:val="0"/>
          <w:marRight w:val="0"/>
          <w:marTop w:val="0"/>
          <w:marBottom w:val="0"/>
          <w:divBdr>
            <w:top w:val="none" w:sz="0" w:space="0" w:color="auto"/>
            <w:left w:val="none" w:sz="0" w:space="0" w:color="auto"/>
            <w:bottom w:val="none" w:sz="0" w:space="0" w:color="auto"/>
            <w:right w:val="none" w:sz="0" w:space="0" w:color="auto"/>
          </w:divBdr>
        </w:div>
        <w:div w:id="1827629878">
          <w:marLeft w:val="0"/>
          <w:marRight w:val="0"/>
          <w:marTop w:val="0"/>
          <w:marBottom w:val="0"/>
          <w:divBdr>
            <w:top w:val="none" w:sz="0" w:space="0" w:color="auto"/>
            <w:left w:val="none" w:sz="0" w:space="0" w:color="auto"/>
            <w:bottom w:val="none" w:sz="0" w:space="0" w:color="auto"/>
            <w:right w:val="none" w:sz="0" w:space="0" w:color="auto"/>
          </w:divBdr>
        </w:div>
        <w:div w:id="133716695">
          <w:marLeft w:val="0"/>
          <w:marRight w:val="0"/>
          <w:marTop w:val="0"/>
          <w:marBottom w:val="0"/>
          <w:divBdr>
            <w:top w:val="none" w:sz="0" w:space="0" w:color="auto"/>
            <w:left w:val="none" w:sz="0" w:space="0" w:color="auto"/>
            <w:bottom w:val="none" w:sz="0" w:space="0" w:color="auto"/>
            <w:right w:val="none" w:sz="0" w:space="0" w:color="auto"/>
          </w:divBdr>
        </w:div>
      </w:divsChild>
    </w:div>
    <w:div w:id="202793761">
      <w:bodyDiv w:val="1"/>
      <w:marLeft w:val="0"/>
      <w:marRight w:val="0"/>
      <w:marTop w:val="0"/>
      <w:marBottom w:val="0"/>
      <w:divBdr>
        <w:top w:val="none" w:sz="0" w:space="0" w:color="auto"/>
        <w:left w:val="none" w:sz="0" w:space="0" w:color="auto"/>
        <w:bottom w:val="none" w:sz="0" w:space="0" w:color="auto"/>
        <w:right w:val="none" w:sz="0" w:space="0" w:color="auto"/>
      </w:divBdr>
      <w:divsChild>
        <w:div w:id="924266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45968294">
      <w:bodyDiv w:val="1"/>
      <w:marLeft w:val="0"/>
      <w:marRight w:val="0"/>
      <w:marTop w:val="0"/>
      <w:marBottom w:val="0"/>
      <w:divBdr>
        <w:top w:val="none" w:sz="0" w:space="0" w:color="auto"/>
        <w:left w:val="none" w:sz="0" w:space="0" w:color="auto"/>
        <w:bottom w:val="none" w:sz="0" w:space="0" w:color="auto"/>
        <w:right w:val="none" w:sz="0" w:space="0" w:color="auto"/>
      </w:divBdr>
    </w:div>
    <w:div w:id="486047324">
      <w:bodyDiv w:val="1"/>
      <w:marLeft w:val="0"/>
      <w:marRight w:val="0"/>
      <w:marTop w:val="0"/>
      <w:marBottom w:val="0"/>
      <w:divBdr>
        <w:top w:val="none" w:sz="0" w:space="0" w:color="auto"/>
        <w:left w:val="none" w:sz="0" w:space="0" w:color="auto"/>
        <w:bottom w:val="none" w:sz="0" w:space="0" w:color="auto"/>
        <w:right w:val="none" w:sz="0" w:space="0" w:color="auto"/>
      </w:divBdr>
    </w:div>
    <w:div w:id="555777744">
      <w:bodyDiv w:val="1"/>
      <w:marLeft w:val="0"/>
      <w:marRight w:val="0"/>
      <w:marTop w:val="0"/>
      <w:marBottom w:val="0"/>
      <w:divBdr>
        <w:top w:val="none" w:sz="0" w:space="0" w:color="auto"/>
        <w:left w:val="none" w:sz="0" w:space="0" w:color="auto"/>
        <w:bottom w:val="none" w:sz="0" w:space="0" w:color="auto"/>
        <w:right w:val="none" w:sz="0" w:space="0" w:color="auto"/>
      </w:divBdr>
    </w:div>
    <w:div w:id="982153203">
      <w:bodyDiv w:val="1"/>
      <w:marLeft w:val="0"/>
      <w:marRight w:val="0"/>
      <w:marTop w:val="0"/>
      <w:marBottom w:val="0"/>
      <w:divBdr>
        <w:top w:val="none" w:sz="0" w:space="0" w:color="auto"/>
        <w:left w:val="none" w:sz="0" w:space="0" w:color="auto"/>
        <w:bottom w:val="none" w:sz="0" w:space="0" w:color="auto"/>
        <w:right w:val="none" w:sz="0" w:space="0" w:color="auto"/>
      </w:divBdr>
    </w:div>
    <w:div w:id="1656956427">
      <w:bodyDiv w:val="1"/>
      <w:marLeft w:val="0"/>
      <w:marRight w:val="0"/>
      <w:marTop w:val="0"/>
      <w:marBottom w:val="0"/>
      <w:divBdr>
        <w:top w:val="none" w:sz="0" w:space="0" w:color="auto"/>
        <w:left w:val="none" w:sz="0" w:space="0" w:color="auto"/>
        <w:bottom w:val="none" w:sz="0" w:space="0" w:color="auto"/>
        <w:right w:val="none" w:sz="0" w:space="0" w:color="auto"/>
      </w:divBdr>
    </w:div>
    <w:div w:id="1723289852">
      <w:bodyDiv w:val="1"/>
      <w:marLeft w:val="0"/>
      <w:marRight w:val="0"/>
      <w:marTop w:val="0"/>
      <w:marBottom w:val="0"/>
      <w:divBdr>
        <w:top w:val="none" w:sz="0" w:space="0" w:color="auto"/>
        <w:left w:val="none" w:sz="0" w:space="0" w:color="auto"/>
        <w:bottom w:val="none" w:sz="0" w:space="0" w:color="auto"/>
        <w:right w:val="none" w:sz="0" w:space="0" w:color="auto"/>
      </w:divBdr>
    </w:div>
    <w:div w:id="1757285182">
      <w:bodyDiv w:val="1"/>
      <w:marLeft w:val="0"/>
      <w:marRight w:val="0"/>
      <w:marTop w:val="0"/>
      <w:marBottom w:val="0"/>
      <w:divBdr>
        <w:top w:val="none" w:sz="0" w:space="0" w:color="auto"/>
        <w:left w:val="none" w:sz="0" w:space="0" w:color="auto"/>
        <w:bottom w:val="none" w:sz="0" w:space="0" w:color="auto"/>
        <w:right w:val="none" w:sz="0" w:space="0" w:color="auto"/>
      </w:divBdr>
    </w:div>
    <w:div w:id="2106143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ecd.org/content/dam/oecd/en/publications/reports/2021/10/indicators-of-teenage-career-readiness_8d6a5e77/6a80e0cc-en.pdf" TargetMode="External"/><Relationship Id="rId5" Type="http://schemas.openxmlformats.org/officeDocument/2006/relationships/hyperlink" Target="https://www.estyn.gov.wales/system/files/2021-08/Partnerships%2520with%2520employers%2520in%2520secondary%2520and%2520special%2520schools%2520en_0.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3</Pages>
  <Words>1034</Words>
  <Characters>5899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bamsey</dc:creator>
  <cp:keywords/>
  <dc:description/>
  <cp:lastModifiedBy>jo bamsey</cp:lastModifiedBy>
  <cp:revision>53</cp:revision>
  <dcterms:created xsi:type="dcterms:W3CDTF">2025-01-14T17:28:00Z</dcterms:created>
  <dcterms:modified xsi:type="dcterms:W3CDTF">2025-01-15T18:44:00Z</dcterms:modified>
</cp:coreProperties>
</file>