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117E5970" w:rsidR="00646406" w:rsidRPr="00624D4D" w:rsidRDefault="00C57D61" w:rsidP="00534B45">
      <w:pPr>
        <w:spacing w:line="240" w:lineRule="auto"/>
        <w:jc w:val="center"/>
        <w:rPr>
          <w:rFonts w:cs="Arial"/>
        </w:rPr>
      </w:pPr>
      <w:r w:rsidRPr="00624D4D">
        <w:rPr>
          <w:rFonts w:cs="Arial"/>
          <w:noProof/>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rsidRPr="00624D4D">
        <w:rPr>
          <w:rFonts w:cs="Arial"/>
        </w:rPr>
        <w:fldChar w:fldCharType="begin"/>
      </w:r>
      <w:r w:rsidRPr="00624D4D">
        <w:rPr>
          <w:rFonts w:cs="Arial"/>
        </w:rPr>
        <w:instrText xml:space="preserve"> INCLUDEPICTURE "C:\\Users\\AzZedin01\\Library\\Group Containers\\UBF8T346G9.ms\\WebArchiveCopyPasteTempFiles\\com.microsoft.Word\\8P2xdp3q1g646AAAAAElFTkSuQmCC" \* MERGEFORMAT </w:instrText>
      </w:r>
      <w:r w:rsidR="00646406" w:rsidRPr="00624D4D">
        <w:rPr>
          <w:rFonts w:cs="Arial"/>
        </w:rPr>
        <w:fldChar w:fldCharType="separate"/>
      </w:r>
      <w:r w:rsidR="00646406" w:rsidRPr="00624D4D">
        <w:rPr>
          <w:rFonts w:cs="Arial"/>
        </w:rPr>
        <w:fldChar w:fldCharType="end"/>
      </w:r>
    </w:p>
    <w:p w14:paraId="6D0C4720" w14:textId="77777777" w:rsidR="00646406" w:rsidRPr="00624D4D" w:rsidRDefault="00646406" w:rsidP="00534B45">
      <w:pPr>
        <w:spacing w:line="240" w:lineRule="auto"/>
        <w:jc w:val="center"/>
        <w:rPr>
          <w:rFonts w:cs="Arial"/>
        </w:rPr>
      </w:pPr>
    </w:p>
    <w:p w14:paraId="384AD48D" w14:textId="77777777" w:rsidR="00646406" w:rsidRPr="00624D4D" w:rsidRDefault="00646406" w:rsidP="00534B45">
      <w:pPr>
        <w:spacing w:line="240" w:lineRule="auto"/>
        <w:jc w:val="center"/>
        <w:rPr>
          <w:rFonts w:cs="Arial"/>
        </w:rPr>
      </w:pPr>
    </w:p>
    <w:p w14:paraId="1C4A58E1" w14:textId="0386E96C" w:rsidR="00646406" w:rsidRPr="00BE56E4" w:rsidRDefault="00BE56E4" w:rsidP="00534B45">
      <w:pPr>
        <w:spacing w:line="240" w:lineRule="auto"/>
        <w:jc w:val="center"/>
        <w:rPr>
          <w:rFonts w:cs="Arial"/>
          <w:b/>
          <w:bCs/>
        </w:rPr>
      </w:pPr>
      <w:r w:rsidRPr="00BE56E4">
        <w:rPr>
          <w:rFonts w:cs="Arial"/>
          <w:b/>
          <w:bCs/>
        </w:rPr>
        <w:t>Assignment Title: Assessment component 1: Marketing Environment Analysis</w:t>
      </w:r>
    </w:p>
    <w:p w14:paraId="21811744" w14:textId="77777777" w:rsidR="00646406" w:rsidRPr="00624D4D" w:rsidRDefault="00646406" w:rsidP="00534B45">
      <w:pPr>
        <w:spacing w:line="240" w:lineRule="auto"/>
        <w:jc w:val="center"/>
        <w:rPr>
          <w:rFonts w:cs="Arial"/>
        </w:rPr>
      </w:pPr>
    </w:p>
    <w:p w14:paraId="1EC34BAD" w14:textId="77777777" w:rsidR="00646406" w:rsidRPr="00624D4D" w:rsidRDefault="00646406" w:rsidP="00534B45">
      <w:pPr>
        <w:spacing w:line="240" w:lineRule="auto"/>
        <w:jc w:val="center"/>
        <w:rPr>
          <w:rFonts w:cs="Arial"/>
        </w:rPr>
      </w:pPr>
    </w:p>
    <w:p w14:paraId="020B9CFF" w14:textId="4997EF25" w:rsidR="00646406" w:rsidRPr="00624D4D" w:rsidRDefault="00646406" w:rsidP="00534B45">
      <w:pPr>
        <w:spacing w:line="240" w:lineRule="auto"/>
        <w:jc w:val="center"/>
        <w:rPr>
          <w:rFonts w:cs="Arial"/>
          <w:b/>
          <w:bCs/>
        </w:rPr>
      </w:pPr>
      <w:r w:rsidRPr="00624D4D">
        <w:rPr>
          <w:rFonts w:cs="Arial"/>
          <w:b/>
          <w:bCs/>
        </w:rPr>
        <w:t>Student Name:</w:t>
      </w:r>
      <w:r w:rsidR="00BE56E4">
        <w:rPr>
          <w:rFonts w:cs="Arial"/>
          <w:b/>
          <w:bCs/>
        </w:rPr>
        <w:t xml:space="preserve"> </w:t>
      </w:r>
      <w:r w:rsidR="00BE56E4" w:rsidRPr="00BE56E4">
        <w:rPr>
          <w:rFonts w:cs="Arial"/>
          <w:b/>
          <w:bCs/>
        </w:rPr>
        <w:t>Md Ranu Miah</w:t>
      </w:r>
    </w:p>
    <w:p w14:paraId="2AAC98E7" w14:textId="77777777" w:rsidR="00646406" w:rsidRPr="00624D4D" w:rsidRDefault="00646406" w:rsidP="00534B45">
      <w:pPr>
        <w:spacing w:line="240" w:lineRule="auto"/>
        <w:jc w:val="center"/>
        <w:rPr>
          <w:rFonts w:cs="Arial"/>
          <w:b/>
          <w:bCs/>
        </w:rPr>
      </w:pPr>
    </w:p>
    <w:p w14:paraId="586C6996" w14:textId="5DBBBFA4" w:rsidR="00646406" w:rsidRPr="00624D4D" w:rsidRDefault="00646406" w:rsidP="00534B45">
      <w:pPr>
        <w:spacing w:line="240" w:lineRule="auto"/>
        <w:jc w:val="center"/>
        <w:rPr>
          <w:rFonts w:cs="Arial"/>
          <w:b/>
          <w:bCs/>
        </w:rPr>
      </w:pPr>
      <w:r w:rsidRPr="00624D4D">
        <w:rPr>
          <w:rFonts w:cs="Arial"/>
          <w:b/>
          <w:bCs/>
        </w:rPr>
        <w:t>Student ID:</w:t>
      </w:r>
    </w:p>
    <w:p w14:paraId="63080C9E" w14:textId="77777777" w:rsidR="00646406" w:rsidRPr="00624D4D" w:rsidRDefault="00646406" w:rsidP="00534B45">
      <w:pPr>
        <w:spacing w:line="240" w:lineRule="auto"/>
        <w:jc w:val="center"/>
        <w:rPr>
          <w:rFonts w:cs="Arial"/>
        </w:rPr>
      </w:pPr>
    </w:p>
    <w:p w14:paraId="3D7751B6" w14:textId="77777777" w:rsidR="00646406" w:rsidRPr="00624D4D" w:rsidRDefault="00646406" w:rsidP="00534B45">
      <w:pPr>
        <w:spacing w:line="240" w:lineRule="auto"/>
        <w:jc w:val="center"/>
        <w:rPr>
          <w:rFonts w:cs="Arial"/>
        </w:rPr>
      </w:pPr>
    </w:p>
    <w:p w14:paraId="37F10C9F" w14:textId="2FF0D0FD" w:rsidR="00646406" w:rsidRPr="00624D4D" w:rsidRDefault="00646406" w:rsidP="00534B45">
      <w:pPr>
        <w:spacing w:line="240" w:lineRule="auto"/>
        <w:jc w:val="center"/>
        <w:rPr>
          <w:rFonts w:cs="Arial"/>
          <w:b/>
          <w:bCs/>
        </w:rPr>
      </w:pPr>
      <w:r w:rsidRPr="00624D4D">
        <w:rPr>
          <w:rFonts w:cs="Arial"/>
          <w:b/>
          <w:bCs/>
        </w:rPr>
        <w:t>Module Name: Marketing Management</w:t>
      </w:r>
    </w:p>
    <w:p w14:paraId="1F614A44" w14:textId="77777777" w:rsidR="00646406" w:rsidRPr="00624D4D" w:rsidRDefault="00646406" w:rsidP="00534B45">
      <w:pPr>
        <w:spacing w:line="240" w:lineRule="auto"/>
        <w:jc w:val="center"/>
        <w:rPr>
          <w:rFonts w:cs="Arial"/>
          <w:b/>
          <w:bCs/>
        </w:rPr>
      </w:pPr>
    </w:p>
    <w:p w14:paraId="0794A99E" w14:textId="33486F0B" w:rsidR="00646406" w:rsidRPr="00624D4D" w:rsidRDefault="00646406" w:rsidP="00534B45">
      <w:pPr>
        <w:spacing w:line="240" w:lineRule="auto"/>
        <w:jc w:val="center"/>
        <w:rPr>
          <w:rFonts w:cs="Arial"/>
          <w:b/>
          <w:bCs/>
        </w:rPr>
      </w:pPr>
      <w:r w:rsidRPr="00624D4D">
        <w:rPr>
          <w:rFonts w:cs="Arial"/>
          <w:b/>
          <w:bCs/>
        </w:rPr>
        <w:t>Module Code: LCMB7024</w:t>
      </w:r>
    </w:p>
    <w:p w14:paraId="242318AB" w14:textId="77777777" w:rsidR="00646406" w:rsidRPr="00624D4D" w:rsidRDefault="00646406" w:rsidP="00534B45">
      <w:pPr>
        <w:spacing w:line="240" w:lineRule="auto"/>
        <w:jc w:val="center"/>
        <w:rPr>
          <w:rFonts w:cs="Arial"/>
          <w:b/>
          <w:bCs/>
        </w:rPr>
      </w:pPr>
    </w:p>
    <w:p w14:paraId="5A962802" w14:textId="77777777" w:rsidR="00646406" w:rsidRPr="00624D4D" w:rsidRDefault="00646406" w:rsidP="00534B45">
      <w:pPr>
        <w:spacing w:line="240" w:lineRule="auto"/>
        <w:jc w:val="center"/>
        <w:rPr>
          <w:rFonts w:cs="Arial"/>
          <w:b/>
          <w:bCs/>
        </w:rPr>
      </w:pPr>
    </w:p>
    <w:p w14:paraId="38F1A035" w14:textId="77777777" w:rsidR="00646406" w:rsidRPr="00624D4D" w:rsidRDefault="00646406" w:rsidP="00534B45">
      <w:pPr>
        <w:spacing w:line="240" w:lineRule="auto"/>
        <w:jc w:val="center"/>
        <w:rPr>
          <w:rFonts w:cs="Arial"/>
          <w:b/>
          <w:bCs/>
        </w:rPr>
      </w:pPr>
    </w:p>
    <w:p w14:paraId="7E74A1F6" w14:textId="77777777" w:rsidR="00646406" w:rsidRPr="00624D4D" w:rsidRDefault="00646406" w:rsidP="00534B45">
      <w:pPr>
        <w:spacing w:line="240" w:lineRule="auto"/>
        <w:jc w:val="center"/>
        <w:rPr>
          <w:rFonts w:cs="Arial"/>
          <w:b/>
          <w:bCs/>
        </w:rPr>
      </w:pPr>
    </w:p>
    <w:p w14:paraId="1C05EEAE" w14:textId="6F9A0A80" w:rsidR="00646406" w:rsidRPr="00624D4D" w:rsidRDefault="00646406" w:rsidP="00534B45">
      <w:pPr>
        <w:spacing w:line="240" w:lineRule="auto"/>
        <w:jc w:val="center"/>
        <w:rPr>
          <w:rFonts w:cs="Arial"/>
          <w:b/>
          <w:bCs/>
        </w:rPr>
      </w:pPr>
      <w:r w:rsidRPr="00624D4D">
        <w:rPr>
          <w:rFonts w:cs="Arial"/>
          <w:b/>
          <w:bCs/>
        </w:rPr>
        <w:t>Lecturer’s Name:</w:t>
      </w:r>
      <w:r w:rsidR="00BE56E4">
        <w:rPr>
          <w:rFonts w:cs="Arial"/>
          <w:b/>
          <w:bCs/>
        </w:rPr>
        <w:t xml:space="preserve"> </w:t>
      </w:r>
      <w:r w:rsidR="00BE56E4" w:rsidRPr="00BE56E4">
        <w:rPr>
          <w:rFonts w:cs="Arial"/>
          <w:b/>
          <w:bCs/>
        </w:rPr>
        <w:t>Dr Laila Maazouz (London)</w:t>
      </w:r>
    </w:p>
    <w:p w14:paraId="2534BC8F" w14:textId="77777777" w:rsidR="00646406" w:rsidRPr="00624D4D" w:rsidRDefault="00646406" w:rsidP="00534B45">
      <w:pPr>
        <w:spacing w:line="240" w:lineRule="auto"/>
        <w:jc w:val="center"/>
        <w:rPr>
          <w:rFonts w:cs="Arial"/>
          <w:b/>
          <w:bCs/>
        </w:rPr>
      </w:pPr>
    </w:p>
    <w:p w14:paraId="70E1BD2A" w14:textId="77777777" w:rsidR="00646406" w:rsidRPr="00624D4D" w:rsidRDefault="00646406" w:rsidP="00534B45">
      <w:pPr>
        <w:spacing w:line="240" w:lineRule="auto"/>
        <w:jc w:val="center"/>
        <w:rPr>
          <w:rFonts w:cs="Arial"/>
          <w:b/>
          <w:bCs/>
        </w:rPr>
      </w:pPr>
    </w:p>
    <w:p w14:paraId="55B10977" w14:textId="77777777" w:rsidR="00646406" w:rsidRPr="00624D4D" w:rsidRDefault="00646406" w:rsidP="00534B45">
      <w:pPr>
        <w:spacing w:line="240" w:lineRule="auto"/>
        <w:jc w:val="center"/>
        <w:rPr>
          <w:rFonts w:cs="Arial"/>
          <w:b/>
          <w:bCs/>
        </w:rPr>
      </w:pPr>
    </w:p>
    <w:p w14:paraId="39FE983B" w14:textId="5E76A02F" w:rsidR="00646406" w:rsidRPr="00624D4D" w:rsidRDefault="00646406" w:rsidP="00534B45">
      <w:pPr>
        <w:spacing w:line="240" w:lineRule="auto"/>
        <w:jc w:val="center"/>
        <w:rPr>
          <w:rFonts w:cs="Arial"/>
          <w:b/>
          <w:bCs/>
        </w:rPr>
      </w:pPr>
      <w:r w:rsidRPr="00624D4D">
        <w:rPr>
          <w:rFonts w:cs="Arial"/>
          <w:b/>
          <w:bCs/>
        </w:rPr>
        <w:t>Wor</w:t>
      </w:r>
      <w:r w:rsidR="001F0D3B">
        <w:rPr>
          <w:rFonts w:cs="Arial"/>
          <w:b/>
          <w:bCs/>
        </w:rPr>
        <w:t>d</w:t>
      </w:r>
      <w:r w:rsidRPr="00624D4D">
        <w:rPr>
          <w:rFonts w:cs="Arial"/>
          <w:b/>
          <w:bCs/>
        </w:rPr>
        <w:t xml:space="preserve"> Count:</w:t>
      </w:r>
      <w:r w:rsidR="00BE56E4">
        <w:rPr>
          <w:rFonts w:cs="Arial"/>
          <w:b/>
          <w:bCs/>
        </w:rPr>
        <w:t xml:space="preserve"> 2689</w:t>
      </w:r>
    </w:p>
    <w:p w14:paraId="2CC2A054" w14:textId="77777777" w:rsidR="00646406" w:rsidRPr="00624D4D" w:rsidRDefault="00646406" w:rsidP="00534B45">
      <w:pPr>
        <w:spacing w:line="240" w:lineRule="auto"/>
        <w:jc w:val="center"/>
        <w:rPr>
          <w:rFonts w:cs="Arial"/>
          <w:b/>
          <w:bCs/>
        </w:rPr>
      </w:pPr>
    </w:p>
    <w:p w14:paraId="6A8F56C7" w14:textId="77777777" w:rsidR="00646406" w:rsidRPr="00624D4D" w:rsidRDefault="00646406" w:rsidP="00534B45">
      <w:pPr>
        <w:spacing w:line="240" w:lineRule="auto"/>
        <w:jc w:val="center"/>
        <w:rPr>
          <w:rFonts w:cs="Arial"/>
          <w:b/>
          <w:bCs/>
        </w:rPr>
      </w:pPr>
    </w:p>
    <w:p w14:paraId="74532E5F" w14:textId="77777777" w:rsidR="00646406" w:rsidRPr="00624D4D" w:rsidRDefault="00646406" w:rsidP="00534B45">
      <w:pPr>
        <w:spacing w:line="240" w:lineRule="auto"/>
        <w:jc w:val="center"/>
        <w:rPr>
          <w:rFonts w:cs="Arial"/>
          <w:b/>
          <w:bCs/>
        </w:rPr>
      </w:pPr>
    </w:p>
    <w:p w14:paraId="102B9D5E" w14:textId="77777777" w:rsidR="00646406" w:rsidRPr="00624D4D" w:rsidRDefault="00646406" w:rsidP="00534B45">
      <w:pPr>
        <w:spacing w:line="240" w:lineRule="auto"/>
        <w:jc w:val="center"/>
        <w:rPr>
          <w:rFonts w:cs="Arial"/>
          <w:b/>
          <w:bCs/>
        </w:rPr>
      </w:pPr>
    </w:p>
    <w:p w14:paraId="76B4AC18" w14:textId="77777777" w:rsidR="00646406" w:rsidRPr="00624D4D" w:rsidRDefault="00646406" w:rsidP="00534B45">
      <w:pPr>
        <w:spacing w:line="240" w:lineRule="auto"/>
        <w:jc w:val="center"/>
        <w:rPr>
          <w:rFonts w:cs="Arial"/>
          <w:b/>
          <w:bCs/>
        </w:rPr>
      </w:pPr>
    </w:p>
    <w:p w14:paraId="3D7042D2" w14:textId="7440D83E" w:rsidR="00646406" w:rsidRPr="00624D4D" w:rsidRDefault="00646406" w:rsidP="00534B45">
      <w:pPr>
        <w:spacing w:line="240" w:lineRule="auto"/>
        <w:jc w:val="center"/>
        <w:rPr>
          <w:rFonts w:cs="Arial"/>
          <w:b/>
          <w:bCs/>
        </w:rPr>
      </w:pPr>
      <w:r w:rsidRPr="00624D4D">
        <w:rPr>
          <w:rFonts w:cs="Arial"/>
          <w:b/>
          <w:bCs/>
        </w:rPr>
        <w:t>Term 1</w:t>
      </w:r>
    </w:p>
    <w:p w14:paraId="61821025" w14:textId="77777777" w:rsidR="0064432E" w:rsidRDefault="00646406" w:rsidP="00624D4D">
      <w:pPr>
        <w:rPr>
          <w:rFonts w:cs="Arial"/>
          <w:b/>
          <w:bCs/>
        </w:rPr>
        <w:sectPr w:rsidR="0064432E">
          <w:pgSz w:w="11906" w:h="16838"/>
          <w:pgMar w:top="1440" w:right="1440" w:bottom="1440" w:left="1440" w:header="708" w:footer="708" w:gutter="0"/>
          <w:cols w:space="708"/>
          <w:docGrid w:linePitch="360"/>
        </w:sectPr>
      </w:pPr>
      <w:r w:rsidRPr="00624D4D">
        <w:rPr>
          <w:rFonts w:cs="Arial"/>
          <w:b/>
          <w:bCs/>
        </w:rPr>
        <w:br w:type="page"/>
      </w:r>
    </w:p>
    <w:sdt>
      <w:sdtPr>
        <w:rPr>
          <w:rFonts w:eastAsiaTheme="minorHAnsi" w:cstheme="minorBidi"/>
          <w:bCs w:val="0"/>
          <w:color w:val="auto"/>
          <w:kern w:val="2"/>
          <w:sz w:val="24"/>
          <w:szCs w:val="24"/>
          <w:lang w:val="en-GB"/>
          <w14:ligatures w14:val="standardContextual"/>
        </w:rPr>
        <w:id w:val="1742665525"/>
        <w:docPartObj>
          <w:docPartGallery w:val="Table of Contents"/>
          <w:docPartUnique/>
        </w:docPartObj>
      </w:sdtPr>
      <w:sdtEndPr>
        <w:rPr>
          <w:b/>
          <w:noProof/>
        </w:rPr>
      </w:sdtEndPr>
      <w:sdtContent>
        <w:p w14:paraId="01926EED" w14:textId="49D60E4B" w:rsidR="008F77A4" w:rsidRDefault="008F77A4" w:rsidP="008F77A4">
          <w:pPr>
            <w:pStyle w:val="TOCHeading"/>
            <w:spacing w:before="100" w:beforeAutospacing="1" w:line="120" w:lineRule="auto"/>
          </w:pPr>
          <w:r>
            <w:t>Table of Contents</w:t>
          </w:r>
        </w:p>
        <w:p w14:paraId="6896A623" w14:textId="0670ED35" w:rsidR="008F77A4" w:rsidRDefault="008F77A4">
          <w:pPr>
            <w:pStyle w:val="TOC1"/>
            <w:tabs>
              <w:tab w:val="right" w:leader="dot" w:pos="9016"/>
            </w:tabs>
            <w:rPr>
              <w:rFonts w:asciiTheme="minorHAnsi" w:eastAsiaTheme="minorEastAsia" w:hAnsiTheme="minorHAnsi"/>
              <w:b w:val="0"/>
              <w:bCs w:val="0"/>
              <w:caps w:val="0"/>
              <w:noProof/>
              <w:kern w:val="0"/>
              <w:sz w:val="22"/>
              <w:szCs w:val="22"/>
              <w:lang w:val="en-US"/>
              <w14:ligatures w14:val="none"/>
            </w:rPr>
          </w:pPr>
          <w:r>
            <w:fldChar w:fldCharType="begin"/>
          </w:r>
          <w:r>
            <w:instrText xml:space="preserve"> TOC \o "1-3" \h \z \u </w:instrText>
          </w:r>
          <w:r>
            <w:fldChar w:fldCharType="separate"/>
          </w:r>
          <w:hyperlink w:anchor="_Toc214549037" w:history="1">
            <w:r w:rsidRPr="00DD4A13">
              <w:rPr>
                <w:rStyle w:val="Hyperlink"/>
                <w:noProof/>
              </w:rPr>
              <w:t>1. Introduction</w:t>
            </w:r>
            <w:r>
              <w:rPr>
                <w:noProof/>
                <w:webHidden/>
              </w:rPr>
              <w:tab/>
            </w:r>
            <w:r>
              <w:rPr>
                <w:noProof/>
                <w:webHidden/>
              </w:rPr>
              <w:fldChar w:fldCharType="begin"/>
            </w:r>
            <w:r>
              <w:rPr>
                <w:noProof/>
                <w:webHidden/>
              </w:rPr>
              <w:instrText xml:space="preserve"> PAGEREF _Toc214549037 \h </w:instrText>
            </w:r>
            <w:r>
              <w:rPr>
                <w:noProof/>
                <w:webHidden/>
              </w:rPr>
            </w:r>
            <w:r>
              <w:rPr>
                <w:noProof/>
                <w:webHidden/>
              </w:rPr>
              <w:fldChar w:fldCharType="separate"/>
            </w:r>
            <w:r>
              <w:rPr>
                <w:noProof/>
                <w:webHidden/>
              </w:rPr>
              <w:t>3</w:t>
            </w:r>
            <w:r>
              <w:rPr>
                <w:noProof/>
                <w:webHidden/>
              </w:rPr>
              <w:fldChar w:fldCharType="end"/>
            </w:r>
          </w:hyperlink>
        </w:p>
        <w:p w14:paraId="76707337" w14:textId="79AD6168" w:rsidR="008F77A4" w:rsidRDefault="008F77A4">
          <w:pPr>
            <w:pStyle w:val="TOC1"/>
            <w:tabs>
              <w:tab w:val="right" w:leader="dot" w:pos="9016"/>
            </w:tabs>
            <w:rPr>
              <w:rFonts w:asciiTheme="minorHAnsi" w:eastAsiaTheme="minorEastAsia" w:hAnsiTheme="minorHAnsi"/>
              <w:b w:val="0"/>
              <w:bCs w:val="0"/>
              <w:caps w:val="0"/>
              <w:noProof/>
              <w:kern w:val="0"/>
              <w:sz w:val="22"/>
              <w:szCs w:val="22"/>
              <w:lang w:val="en-US"/>
              <w14:ligatures w14:val="none"/>
            </w:rPr>
          </w:pPr>
          <w:hyperlink w:anchor="_Toc214549038" w:history="1">
            <w:r w:rsidRPr="00DD4A13">
              <w:rPr>
                <w:rStyle w:val="Hyperlink"/>
                <w:noProof/>
              </w:rPr>
              <w:t>2. Task 1: Critical Analysis of the Macro Marketing Environment</w:t>
            </w:r>
            <w:r>
              <w:rPr>
                <w:noProof/>
                <w:webHidden/>
              </w:rPr>
              <w:tab/>
            </w:r>
            <w:r>
              <w:rPr>
                <w:noProof/>
                <w:webHidden/>
              </w:rPr>
              <w:fldChar w:fldCharType="begin"/>
            </w:r>
            <w:r>
              <w:rPr>
                <w:noProof/>
                <w:webHidden/>
              </w:rPr>
              <w:instrText xml:space="preserve"> PAGEREF _Toc214549038 \h </w:instrText>
            </w:r>
            <w:r>
              <w:rPr>
                <w:noProof/>
                <w:webHidden/>
              </w:rPr>
            </w:r>
            <w:r>
              <w:rPr>
                <w:noProof/>
                <w:webHidden/>
              </w:rPr>
              <w:fldChar w:fldCharType="separate"/>
            </w:r>
            <w:r>
              <w:rPr>
                <w:noProof/>
                <w:webHidden/>
              </w:rPr>
              <w:t>4</w:t>
            </w:r>
            <w:r>
              <w:rPr>
                <w:noProof/>
                <w:webHidden/>
              </w:rPr>
              <w:fldChar w:fldCharType="end"/>
            </w:r>
          </w:hyperlink>
        </w:p>
        <w:p w14:paraId="5300F167" w14:textId="256C5586" w:rsidR="008F77A4" w:rsidRDefault="008F77A4">
          <w:pPr>
            <w:pStyle w:val="TOC2"/>
            <w:tabs>
              <w:tab w:val="right" w:leader="dot" w:pos="9016"/>
            </w:tabs>
            <w:rPr>
              <w:rFonts w:asciiTheme="minorHAnsi" w:eastAsiaTheme="minorEastAsia" w:hAnsiTheme="minorHAnsi"/>
              <w:smallCaps w:val="0"/>
              <w:noProof/>
              <w:kern w:val="0"/>
              <w:sz w:val="22"/>
              <w:szCs w:val="22"/>
              <w:lang w:val="en-US"/>
              <w14:ligatures w14:val="none"/>
            </w:rPr>
          </w:pPr>
          <w:hyperlink w:anchor="_Toc214549039" w:history="1">
            <w:r w:rsidRPr="00DD4A13">
              <w:rPr>
                <w:rStyle w:val="Hyperlink"/>
                <w:noProof/>
              </w:rPr>
              <w:t>2.1 Overview of the Macro Marketing Environment</w:t>
            </w:r>
            <w:r>
              <w:rPr>
                <w:noProof/>
                <w:webHidden/>
              </w:rPr>
              <w:tab/>
            </w:r>
            <w:r>
              <w:rPr>
                <w:noProof/>
                <w:webHidden/>
              </w:rPr>
              <w:fldChar w:fldCharType="begin"/>
            </w:r>
            <w:r>
              <w:rPr>
                <w:noProof/>
                <w:webHidden/>
              </w:rPr>
              <w:instrText xml:space="preserve"> PAGEREF _Toc214549039 \h </w:instrText>
            </w:r>
            <w:r>
              <w:rPr>
                <w:noProof/>
                <w:webHidden/>
              </w:rPr>
            </w:r>
            <w:r>
              <w:rPr>
                <w:noProof/>
                <w:webHidden/>
              </w:rPr>
              <w:fldChar w:fldCharType="separate"/>
            </w:r>
            <w:r>
              <w:rPr>
                <w:noProof/>
                <w:webHidden/>
              </w:rPr>
              <w:t>4</w:t>
            </w:r>
            <w:r>
              <w:rPr>
                <w:noProof/>
                <w:webHidden/>
              </w:rPr>
              <w:fldChar w:fldCharType="end"/>
            </w:r>
          </w:hyperlink>
        </w:p>
        <w:p w14:paraId="6639CFF6" w14:textId="2C057D1B" w:rsidR="008F77A4" w:rsidRDefault="008F77A4">
          <w:pPr>
            <w:pStyle w:val="TOC2"/>
            <w:tabs>
              <w:tab w:val="right" w:leader="dot" w:pos="9016"/>
            </w:tabs>
            <w:rPr>
              <w:rFonts w:asciiTheme="minorHAnsi" w:eastAsiaTheme="minorEastAsia" w:hAnsiTheme="minorHAnsi"/>
              <w:smallCaps w:val="0"/>
              <w:noProof/>
              <w:kern w:val="0"/>
              <w:sz w:val="22"/>
              <w:szCs w:val="22"/>
              <w:lang w:val="en-US"/>
              <w14:ligatures w14:val="none"/>
            </w:rPr>
          </w:pPr>
          <w:hyperlink w:anchor="_Toc214549040" w:history="1">
            <w:r w:rsidRPr="00DD4A13">
              <w:rPr>
                <w:rStyle w:val="Hyperlink"/>
                <w:noProof/>
              </w:rPr>
              <w:t>2.2 Selection of Two External Macro Marketing Actors</w:t>
            </w:r>
            <w:r>
              <w:rPr>
                <w:noProof/>
                <w:webHidden/>
              </w:rPr>
              <w:tab/>
            </w:r>
            <w:r>
              <w:rPr>
                <w:noProof/>
                <w:webHidden/>
              </w:rPr>
              <w:fldChar w:fldCharType="begin"/>
            </w:r>
            <w:r>
              <w:rPr>
                <w:noProof/>
                <w:webHidden/>
              </w:rPr>
              <w:instrText xml:space="preserve"> PAGEREF _Toc214549040 \h </w:instrText>
            </w:r>
            <w:r>
              <w:rPr>
                <w:noProof/>
                <w:webHidden/>
              </w:rPr>
            </w:r>
            <w:r>
              <w:rPr>
                <w:noProof/>
                <w:webHidden/>
              </w:rPr>
              <w:fldChar w:fldCharType="separate"/>
            </w:r>
            <w:r>
              <w:rPr>
                <w:noProof/>
                <w:webHidden/>
              </w:rPr>
              <w:t>4</w:t>
            </w:r>
            <w:r>
              <w:rPr>
                <w:noProof/>
                <w:webHidden/>
              </w:rPr>
              <w:fldChar w:fldCharType="end"/>
            </w:r>
          </w:hyperlink>
        </w:p>
        <w:p w14:paraId="52EBFE83" w14:textId="4C63D018" w:rsidR="008F77A4" w:rsidRDefault="008F77A4">
          <w:pPr>
            <w:pStyle w:val="TOC2"/>
            <w:tabs>
              <w:tab w:val="right" w:leader="dot" w:pos="9016"/>
            </w:tabs>
            <w:rPr>
              <w:rFonts w:asciiTheme="minorHAnsi" w:eastAsiaTheme="minorEastAsia" w:hAnsiTheme="minorHAnsi"/>
              <w:smallCaps w:val="0"/>
              <w:noProof/>
              <w:kern w:val="0"/>
              <w:sz w:val="22"/>
              <w:szCs w:val="22"/>
              <w:lang w:val="en-US"/>
              <w14:ligatures w14:val="none"/>
            </w:rPr>
          </w:pPr>
          <w:hyperlink w:anchor="_Toc214549041" w:history="1">
            <w:r w:rsidRPr="00DD4A13">
              <w:rPr>
                <w:rStyle w:val="Hyperlink"/>
                <w:noProof/>
              </w:rPr>
              <w:t>2.3 Critical Analysis of Each Actor</w:t>
            </w:r>
            <w:r>
              <w:rPr>
                <w:noProof/>
                <w:webHidden/>
              </w:rPr>
              <w:tab/>
            </w:r>
            <w:r>
              <w:rPr>
                <w:noProof/>
                <w:webHidden/>
              </w:rPr>
              <w:fldChar w:fldCharType="begin"/>
            </w:r>
            <w:r>
              <w:rPr>
                <w:noProof/>
                <w:webHidden/>
              </w:rPr>
              <w:instrText xml:space="preserve"> PAGEREF _Toc214549041 \h </w:instrText>
            </w:r>
            <w:r>
              <w:rPr>
                <w:noProof/>
                <w:webHidden/>
              </w:rPr>
            </w:r>
            <w:r>
              <w:rPr>
                <w:noProof/>
                <w:webHidden/>
              </w:rPr>
              <w:fldChar w:fldCharType="separate"/>
            </w:r>
            <w:r>
              <w:rPr>
                <w:noProof/>
                <w:webHidden/>
              </w:rPr>
              <w:t>6</w:t>
            </w:r>
            <w:r>
              <w:rPr>
                <w:noProof/>
                <w:webHidden/>
              </w:rPr>
              <w:fldChar w:fldCharType="end"/>
            </w:r>
          </w:hyperlink>
        </w:p>
        <w:p w14:paraId="428FC1E1" w14:textId="3C0E8C64" w:rsidR="008F77A4" w:rsidRDefault="008F77A4">
          <w:pPr>
            <w:pStyle w:val="TOC1"/>
            <w:tabs>
              <w:tab w:val="right" w:leader="dot" w:pos="9016"/>
            </w:tabs>
            <w:rPr>
              <w:rFonts w:asciiTheme="minorHAnsi" w:eastAsiaTheme="minorEastAsia" w:hAnsiTheme="minorHAnsi"/>
              <w:b w:val="0"/>
              <w:bCs w:val="0"/>
              <w:caps w:val="0"/>
              <w:noProof/>
              <w:kern w:val="0"/>
              <w:sz w:val="22"/>
              <w:szCs w:val="22"/>
              <w:lang w:val="en-US"/>
              <w14:ligatures w14:val="none"/>
            </w:rPr>
          </w:pPr>
          <w:hyperlink w:anchor="_Toc214549042" w:history="1">
            <w:r w:rsidRPr="00DD4A13">
              <w:rPr>
                <w:rStyle w:val="Hyperlink"/>
                <w:rFonts w:cs="Arial"/>
                <w:noProof/>
              </w:rPr>
              <w:t>3. Task 2: Strategic Responses of Pioneering and Follower Organisations</w:t>
            </w:r>
            <w:r>
              <w:rPr>
                <w:noProof/>
                <w:webHidden/>
              </w:rPr>
              <w:tab/>
            </w:r>
            <w:r>
              <w:rPr>
                <w:noProof/>
                <w:webHidden/>
              </w:rPr>
              <w:fldChar w:fldCharType="begin"/>
            </w:r>
            <w:r>
              <w:rPr>
                <w:noProof/>
                <w:webHidden/>
              </w:rPr>
              <w:instrText xml:space="preserve"> PAGEREF _Toc214549042 \h </w:instrText>
            </w:r>
            <w:r>
              <w:rPr>
                <w:noProof/>
                <w:webHidden/>
              </w:rPr>
            </w:r>
            <w:r>
              <w:rPr>
                <w:noProof/>
                <w:webHidden/>
              </w:rPr>
              <w:fldChar w:fldCharType="separate"/>
            </w:r>
            <w:r>
              <w:rPr>
                <w:noProof/>
                <w:webHidden/>
              </w:rPr>
              <w:t>9</w:t>
            </w:r>
            <w:r>
              <w:rPr>
                <w:noProof/>
                <w:webHidden/>
              </w:rPr>
              <w:fldChar w:fldCharType="end"/>
            </w:r>
          </w:hyperlink>
        </w:p>
        <w:p w14:paraId="200DA9DC" w14:textId="1C580798" w:rsidR="008F77A4" w:rsidRDefault="008F77A4">
          <w:pPr>
            <w:pStyle w:val="TOC2"/>
            <w:tabs>
              <w:tab w:val="right" w:leader="dot" w:pos="9016"/>
            </w:tabs>
            <w:rPr>
              <w:rFonts w:asciiTheme="minorHAnsi" w:eastAsiaTheme="minorEastAsia" w:hAnsiTheme="minorHAnsi"/>
              <w:smallCaps w:val="0"/>
              <w:noProof/>
              <w:kern w:val="0"/>
              <w:sz w:val="22"/>
              <w:szCs w:val="22"/>
              <w:lang w:val="en-US"/>
              <w14:ligatures w14:val="none"/>
            </w:rPr>
          </w:pPr>
          <w:hyperlink w:anchor="_Toc214549043" w:history="1">
            <w:r w:rsidRPr="00DD4A13">
              <w:rPr>
                <w:rStyle w:val="Hyperlink"/>
                <w:rFonts w:cs="Arial"/>
                <w:bCs/>
                <w:noProof/>
              </w:rPr>
              <w:t>3.1 Pioneering Organisations’ Strategic Responses</w:t>
            </w:r>
            <w:r>
              <w:rPr>
                <w:noProof/>
                <w:webHidden/>
              </w:rPr>
              <w:tab/>
            </w:r>
            <w:r>
              <w:rPr>
                <w:noProof/>
                <w:webHidden/>
              </w:rPr>
              <w:fldChar w:fldCharType="begin"/>
            </w:r>
            <w:r>
              <w:rPr>
                <w:noProof/>
                <w:webHidden/>
              </w:rPr>
              <w:instrText xml:space="preserve"> PAGEREF _Toc214549043 \h </w:instrText>
            </w:r>
            <w:r>
              <w:rPr>
                <w:noProof/>
                <w:webHidden/>
              </w:rPr>
            </w:r>
            <w:r>
              <w:rPr>
                <w:noProof/>
                <w:webHidden/>
              </w:rPr>
              <w:fldChar w:fldCharType="separate"/>
            </w:r>
            <w:r>
              <w:rPr>
                <w:noProof/>
                <w:webHidden/>
              </w:rPr>
              <w:t>9</w:t>
            </w:r>
            <w:r>
              <w:rPr>
                <w:noProof/>
                <w:webHidden/>
              </w:rPr>
              <w:fldChar w:fldCharType="end"/>
            </w:r>
          </w:hyperlink>
        </w:p>
        <w:p w14:paraId="473A1D96" w14:textId="06CE1EA8" w:rsidR="008F77A4" w:rsidRDefault="008F77A4">
          <w:pPr>
            <w:pStyle w:val="TOC2"/>
            <w:tabs>
              <w:tab w:val="right" w:leader="dot" w:pos="9016"/>
            </w:tabs>
            <w:rPr>
              <w:rFonts w:asciiTheme="minorHAnsi" w:eastAsiaTheme="minorEastAsia" w:hAnsiTheme="minorHAnsi"/>
              <w:smallCaps w:val="0"/>
              <w:noProof/>
              <w:kern w:val="0"/>
              <w:sz w:val="22"/>
              <w:szCs w:val="22"/>
              <w:lang w:val="en-US"/>
              <w14:ligatures w14:val="none"/>
            </w:rPr>
          </w:pPr>
          <w:hyperlink w:anchor="_Toc214549044" w:history="1">
            <w:r w:rsidRPr="00DD4A13">
              <w:rPr>
                <w:rStyle w:val="Hyperlink"/>
                <w:rFonts w:cs="Arial"/>
                <w:bCs/>
                <w:noProof/>
              </w:rPr>
              <w:t>3.3 Follower Organisations’ Strategic Responses</w:t>
            </w:r>
            <w:r>
              <w:rPr>
                <w:noProof/>
                <w:webHidden/>
              </w:rPr>
              <w:tab/>
            </w:r>
            <w:r>
              <w:rPr>
                <w:noProof/>
                <w:webHidden/>
              </w:rPr>
              <w:fldChar w:fldCharType="begin"/>
            </w:r>
            <w:r>
              <w:rPr>
                <w:noProof/>
                <w:webHidden/>
              </w:rPr>
              <w:instrText xml:space="preserve"> PAGEREF _Toc214549044 \h </w:instrText>
            </w:r>
            <w:r>
              <w:rPr>
                <w:noProof/>
                <w:webHidden/>
              </w:rPr>
            </w:r>
            <w:r>
              <w:rPr>
                <w:noProof/>
                <w:webHidden/>
              </w:rPr>
              <w:fldChar w:fldCharType="separate"/>
            </w:r>
            <w:r>
              <w:rPr>
                <w:noProof/>
                <w:webHidden/>
              </w:rPr>
              <w:t>11</w:t>
            </w:r>
            <w:r>
              <w:rPr>
                <w:noProof/>
                <w:webHidden/>
              </w:rPr>
              <w:fldChar w:fldCharType="end"/>
            </w:r>
          </w:hyperlink>
        </w:p>
        <w:p w14:paraId="1B8DD3F8" w14:textId="2B9132F0" w:rsidR="008F77A4" w:rsidRDefault="008F77A4">
          <w:pPr>
            <w:pStyle w:val="TOC1"/>
            <w:tabs>
              <w:tab w:val="right" w:leader="dot" w:pos="9016"/>
            </w:tabs>
            <w:rPr>
              <w:rFonts w:asciiTheme="minorHAnsi" w:eastAsiaTheme="minorEastAsia" w:hAnsiTheme="minorHAnsi"/>
              <w:b w:val="0"/>
              <w:bCs w:val="0"/>
              <w:caps w:val="0"/>
              <w:noProof/>
              <w:kern w:val="0"/>
              <w:sz w:val="22"/>
              <w:szCs w:val="22"/>
              <w:lang w:val="en-US"/>
              <w14:ligatures w14:val="none"/>
            </w:rPr>
          </w:pPr>
          <w:hyperlink w:anchor="_Toc214549045" w:history="1">
            <w:r w:rsidRPr="00DD4A13">
              <w:rPr>
                <w:rStyle w:val="Hyperlink"/>
                <w:rFonts w:cs="Arial"/>
                <w:noProof/>
              </w:rPr>
              <w:t>4. Conclusion</w:t>
            </w:r>
            <w:r>
              <w:rPr>
                <w:noProof/>
                <w:webHidden/>
              </w:rPr>
              <w:tab/>
            </w:r>
            <w:r>
              <w:rPr>
                <w:noProof/>
                <w:webHidden/>
              </w:rPr>
              <w:fldChar w:fldCharType="begin"/>
            </w:r>
            <w:r>
              <w:rPr>
                <w:noProof/>
                <w:webHidden/>
              </w:rPr>
              <w:instrText xml:space="preserve"> PAGEREF _Toc214549045 \h </w:instrText>
            </w:r>
            <w:r>
              <w:rPr>
                <w:noProof/>
                <w:webHidden/>
              </w:rPr>
            </w:r>
            <w:r>
              <w:rPr>
                <w:noProof/>
                <w:webHidden/>
              </w:rPr>
              <w:fldChar w:fldCharType="separate"/>
            </w:r>
            <w:r>
              <w:rPr>
                <w:noProof/>
                <w:webHidden/>
              </w:rPr>
              <w:t>14</w:t>
            </w:r>
            <w:r>
              <w:rPr>
                <w:noProof/>
                <w:webHidden/>
              </w:rPr>
              <w:fldChar w:fldCharType="end"/>
            </w:r>
          </w:hyperlink>
        </w:p>
        <w:p w14:paraId="2B0987B8" w14:textId="129AB774" w:rsidR="008F77A4" w:rsidRDefault="008F77A4">
          <w:pPr>
            <w:pStyle w:val="TOC1"/>
            <w:tabs>
              <w:tab w:val="right" w:leader="dot" w:pos="9016"/>
            </w:tabs>
            <w:rPr>
              <w:rFonts w:asciiTheme="minorHAnsi" w:eastAsiaTheme="minorEastAsia" w:hAnsiTheme="minorHAnsi"/>
              <w:b w:val="0"/>
              <w:bCs w:val="0"/>
              <w:caps w:val="0"/>
              <w:noProof/>
              <w:kern w:val="0"/>
              <w:sz w:val="22"/>
              <w:szCs w:val="22"/>
              <w:lang w:val="en-US"/>
              <w14:ligatures w14:val="none"/>
            </w:rPr>
          </w:pPr>
          <w:hyperlink w:anchor="_Toc214549046" w:history="1">
            <w:r w:rsidRPr="00DD4A13">
              <w:rPr>
                <w:rStyle w:val="Hyperlink"/>
                <w:rFonts w:cs="Arial"/>
                <w:noProof/>
              </w:rPr>
              <w:t>5. References</w:t>
            </w:r>
            <w:r>
              <w:rPr>
                <w:noProof/>
                <w:webHidden/>
              </w:rPr>
              <w:tab/>
            </w:r>
            <w:r>
              <w:rPr>
                <w:noProof/>
                <w:webHidden/>
              </w:rPr>
              <w:fldChar w:fldCharType="begin"/>
            </w:r>
            <w:r>
              <w:rPr>
                <w:noProof/>
                <w:webHidden/>
              </w:rPr>
              <w:instrText xml:space="preserve"> PAGEREF _Toc214549046 \h </w:instrText>
            </w:r>
            <w:r>
              <w:rPr>
                <w:noProof/>
                <w:webHidden/>
              </w:rPr>
            </w:r>
            <w:r>
              <w:rPr>
                <w:noProof/>
                <w:webHidden/>
              </w:rPr>
              <w:fldChar w:fldCharType="separate"/>
            </w:r>
            <w:r>
              <w:rPr>
                <w:noProof/>
                <w:webHidden/>
              </w:rPr>
              <w:t>15</w:t>
            </w:r>
            <w:r>
              <w:rPr>
                <w:noProof/>
                <w:webHidden/>
              </w:rPr>
              <w:fldChar w:fldCharType="end"/>
            </w:r>
          </w:hyperlink>
        </w:p>
        <w:p w14:paraId="69B61BE3" w14:textId="547C9111" w:rsidR="008F77A4" w:rsidRDefault="008F77A4">
          <w:r>
            <w:rPr>
              <w:b/>
              <w:bCs/>
              <w:noProof/>
            </w:rPr>
            <w:fldChar w:fldCharType="end"/>
          </w:r>
        </w:p>
      </w:sdtContent>
    </w:sdt>
    <w:p w14:paraId="5431478A" w14:textId="77777777" w:rsidR="008F77A4" w:rsidRDefault="008F77A4">
      <w:pPr>
        <w:spacing w:line="240" w:lineRule="auto"/>
        <w:jc w:val="left"/>
        <w:rPr>
          <w:rStyle w:val="Heading1Char"/>
        </w:rPr>
      </w:pPr>
      <w:r>
        <w:rPr>
          <w:rStyle w:val="Heading1Char"/>
          <w:b w:val="0"/>
        </w:rPr>
        <w:br w:type="page"/>
      </w:r>
    </w:p>
    <w:p w14:paraId="14B123F0" w14:textId="4ADB2543" w:rsidR="00DE5D5B" w:rsidRPr="00866483" w:rsidRDefault="00DE5D5B" w:rsidP="00866483">
      <w:pPr>
        <w:pStyle w:val="Heading1"/>
      </w:pPr>
      <w:bookmarkStart w:id="0" w:name="_Toc214549037"/>
      <w:r w:rsidRPr="00866483">
        <w:rPr>
          <w:rStyle w:val="Heading1Char"/>
          <w:b/>
        </w:rPr>
        <w:lastRenderedPageBreak/>
        <w:t>1. Introduction</w:t>
      </w:r>
      <w:bookmarkEnd w:id="0"/>
      <w:r w:rsidRPr="00866483">
        <w:rPr>
          <w:rStyle w:val="Heading1Char"/>
          <w:b/>
        </w:rPr>
        <w:t xml:space="preserve"> </w:t>
      </w:r>
    </w:p>
    <w:p w14:paraId="74B751C3" w14:textId="4F3A9DFD" w:rsidR="00866483" w:rsidRDefault="00866483" w:rsidP="00624D4D">
      <w:pPr>
        <w:rPr>
          <w:rFonts w:eastAsiaTheme="majorEastAsia" w:cs="Arial"/>
        </w:rPr>
      </w:pPr>
      <w:r w:rsidRPr="00866483">
        <w:rPr>
          <w:rFonts w:eastAsiaTheme="majorEastAsia" w:cs="Arial"/>
        </w:rPr>
        <w:t>The report looks at the strategic response of pioneering and follower organisations towards the fast changes in the macro marketing environment with reference to the contemporary consumer electronics industry. Knowledge of the external forces, especially technological development and environmental forces, is critical to the strategic marketing management as they determine the innovation direction, competitiveness, and value creation in the long run</w:t>
      </w:r>
      <w:r w:rsidR="00534B45">
        <w:rPr>
          <w:rFonts w:eastAsiaTheme="majorEastAsia" w:cs="Arial"/>
        </w:rPr>
        <w:t xml:space="preserve"> (</w:t>
      </w:r>
      <w:r w:rsidR="00534B45" w:rsidRPr="00534B45">
        <w:rPr>
          <w:rFonts w:cs="Arial"/>
        </w:rPr>
        <w:t>Tikhonov, and Zelentsova,</w:t>
      </w:r>
      <w:r w:rsidR="00534B45">
        <w:rPr>
          <w:rFonts w:cs="Arial"/>
        </w:rPr>
        <w:t xml:space="preserve"> 2021)</w:t>
      </w:r>
      <w:r w:rsidRPr="00866483">
        <w:rPr>
          <w:rFonts w:eastAsiaTheme="majorEastAsia" w:cs="Arial"/>
        </w:rPr>
        <w:t xml:space="preserve">. Referring to the example of Apple (the pioneer) and OnePlus (the follower), the report initially examines two significant PESTEL forces which are the health technologies driven by AI and the upcoming circular economy which presents a disproportionate opportunity and threats to both companies. </w:t>
      </w:r>
    </w:p>
    <w:p w14:paraId="31CEF6B4" w14:textId="77777777" w:rsidR="0000603E" w:rsidRDefault="0000603E" w:rsidP="0000603E">
      <w:pPr>
        <w:spacing w:line="276" w:lineRule="auto"/>
        <w:jc w:val="center"/>
      </w:pPr>
      <w:r>
        <w:rPr>
          <w:noProof/>
        </w:rPr>
        <w:drawing>
          <wp:inline distT="0" distB="0" distL="0" distR="0" wp14:anchorId="4E64CB00" wp14:editId="0BCC95FF">
            <wp:extent cx="5731510" cy="2819400"/>
            <wp:effectExtent l="0" t="0" r="2540" b="0"/>
            <wp:docPr id="250698521" name="Picture 7" descr="Building Brand Architecture Report: Apple VS One Pl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Building Brand Architecture Report: Apple VS One Plus"/>
                    <pic:cNvPicPr>
                      <a:picLocks noChangeAspect="1" noChangeArrowheads="1"/>
                    </pic:cNvPicPr>
                  </pic:nvPicPr>
                  <pic:blipFill rotWithShape="1">
                    <a:blip r:embed="rId9">
                      <a:extLst>
                        <a:ext uri="{28A0092B-C50C-407E-A947-70E740481C1C}">
                          <a14:useLocalDpi xmlns:a14="http://schemas.microsoft.com/office/drawing/2010/main" val="0"/>
                        </a:ext>
                      </a:extLst>
                    </a:blip>
                    <a:srcRect b="13820"/>
                    <a:stretch>
                      <a:fillRect/>
                    </a:stretch>
                  </pic:blipFill>
                  <pic:spPr bwMode="auto">
                    <a:xfrm>
                      <a:off x="0" y="0"/>
                      <a:ext cx="5731510" cy="2819400"/>
                    </a:xfrm>
                    <a:prstGeom prst="rect">
                      <a:avLst/>
                    </a:prstGeom>
                    <a:noFill/>
                    <a:ln>
                      <a:noFill/>
                    </a:ln>
                    <a:extLst>
                      <a:ext uri="{53640926-AAD7-44D8-BBD7-CCE9431645EC}">
                        <a14:shadowObscured xmlns:a14="http://schemas.microsoft.com/office/drawing/2010/main"/>
                      </a:ext>
                    </a:extLst>
                  </pic:spPr>
                </pic:pic>
              </a:graphicData>
            </a:graphic>
          </wp:inline>
        </w:drawing>
      </w:r>
    </w:p>
    <w:p w14:paraId="6BDB1295" w14:textId="496EFEB4" w:rsidR="0000603E" w:rsidRPr="00A0394A" w:rsidRDefault="00A0394A" w:rsidP="00A0394A">
      <w:pPr>
        <w:pStyle w:val="Caption"/>
        <w:jc w:val="center"/>
        <w:rPr>
          <w:color w:val="000000" w:themeColor="text1"/>
          <w:sz w:val="20"/>
          <w:szCs w:val="20"/>
        </w:rPr>
      </w:pPr>
      <w:r w:rsidRPr="00A0394A">
        <w:rPr>
          <w:color w:val="000000" w:themeColor="text1"/>
          <w:sz w:val="20"/>
          <w:szCs w:val="20"/>
        </w:rPr>
        <w:t xml:space="preserve">Figure </w:t>
      </w:r>
      <w:r w:rsidRPr="00A0394A">
        <w:rPr>
          <w:color w:val="000000" w:themeColor="text1"/>
          <w:sz w:val="20"/>
          <w:szCs w:val="20"/>
        </w:rPr>
        <w:fldChar w:fldCharType="begin"/>
      </w:r>
      <w:r w:rsidRPr="00A0394A">
        <w:rPr>
          <w:color w:val="000000" w:themeColor="text1"/>
          <w:sz w:val="20"/>
          <w:szCs w:val="20"/>
        </w:rPr>
        <w:instrText xml:space="preserve"> SEQ Figure \* ARABIC </w:instrText>
      </w:r>
      <w:r w:rsidRPr="00A0394A">
        <w:rPr>
          <w:color w:val="000000" w:themeColor="text1"/>
          <w:sz w:val="20"/>
          <w:szCs w:val="20"/>
        </w:rPr>
        <w:fldChar w:fldCharType="separate"/>
      </w:r>
      <w:r w:rsidRPr="00A0394A">
        <w:rPr>
          <w:noProof/>
          <w:color w:val="000000" w:themeColor="text1"/>
          <w:sz w:val="20"/>
          <w:szCs w:val="20"/>
        </w:rPr>
        <w:t>1</w:t>
      </w:r>
      <w:r w:rsidRPr="00A0394A">
        <w:rPr>
          <w:color w:val="000000" w:themeColor="text1"/>
          <w:sz w:val="20"/>
          <w:szCs w:val="20"/>
        </w:rPr>
        <w:fldChar w:fldCharType="end"/>
      </w:r>
      <w:r w:rsidRPr="00A0394A">
        <w:rPr>
          <w:color w:val="000000" w:themeColor="text1"/>
          <w:sz w:val="20"/>
          <w:szCs w:val="20"/>
        </w:rPr>
        <w:t xml:space="preserve"> </w:t>
      </w:r>
      <w:r w:rsidR="0000603E" w:rsidRPr="00A0394A">
        <w:rPr>
          <w:color w:val="000000" w:themeColor="text1"/>
          <w:sz w:val="20"/>
          <w:szCs w:val="20"/>
        </w:rPr>
        <w:t>Apple and Oneplus; Source: (Kannamwa</w:t>
      </w:r>
      <w:r w:rsidR="0000603E" w:rsidRPr="00A0394A">
        <w:rPr>
          <w:rFonts w:cs="Arial"/>
          <w:color w:val="000000" w:themeColor="text1"/>
          <w:sz w:val="20"/>
          <w:szCs w:val="20"/>
        </w:rPr>
        <w:t>ᵲ</w:t>
      </w:r>
      <w:r w:rsidR="0000603E" w:rsidRPr="00A0394A">
        <w:rPr>
          <w:color w:val="000000" w:themeColor="text1"/>
          <w:sz w:val="20"/>
          <w:szCs w:val="20"/>
        </w:rPr>
        <w:t>, 2023)</w:t>
      </w:r>
    </w:p>
    <w:p w14:paraId="5CD301C1" w14:textId="77777777" w:rsidR="0000603E" w:rsidRDefault="0000603E" w:rsidP="0000603E"/>
    <w:p w14:paraId="25ED58E3" w14:textId="1E13132A" w:rsidR="00866483" w:rsidRDefault="0000603E" w:rsidP="0000603E">
      <w:r w:rsidRPr="0000603E">
        <w:t>It follows with an assessment of the strategic responses that early movers and late entrants have to offer by the Growth Matrix suggested by Ansoff and actual industry cases. The report wraps up with consequent findings on how to remain competitive in the rapidly changing markets.</w:t>
      </w:r>
    </w:p>
    <w:p w14:paraId="2F6078B7" w14:textId="724C1666" w:rsidR="00DE5D5B" w:rsidRPr="00866483" w:rsidRDefault="00DE5D5B" w:rsidP="00866483">
      <w:pPr>
        <w:pStyle w:val="Heading1"/>
        <w:rPr>
          <w:rStyle w:val="Heading1Char"/>
          <w:b/>
        </w:rPr>
      </w:pPr>
      <w:bookmarkStart w:id="1" w:name="_Toc214549038"/>
      <w:r w:rsidRPr="00866483">
        <w:rPr>
          <w:rStyle w:val="Heading1Char"/>
          <w:b/>
        </w:rPr>
        <w:lastRenderedPageBreak/>
        <w:t>2. Task 1: Critical Analysis of the Macro Marketing Environment</w:t>
      </w:r>
      <w:bookmarkEnd w:id="1"/>
      <w:r w:rsidRPr="00866483">
        <w:rPr>
          <w:rStyle w:val="Heading1Char"/>
          <w:b/>
        </w:rPr>
        <w:t xml:space="preserve"> </w:t>
      </w:r>
    </w:p>
    <w:p w14:paraId="2303C00D" w14:textId="77777777" w:rsidR="00DE5D5B" w:rsidRPr="00866483" w:rsidRDefault="00DE5D5B" w:rsidP="00866483">
      <w:pPr>
        <w:pStyle w:val="Heading2"/>
      </w:pPr>
      <w:bookmarkStart w:id="2" w:name="_Toc214549039"/>
      <w:r w:rsidRPr="00866483">
        <w:t>2.1 Overview of the Macro Marketing Environment</w:t>
      </w:r>
      <w:bookmarkEnd w:id="2"/>
    </w:p>
    <w:p w14:paraId="45BA8743" w14:textId="1E5C555B" w:rsidR="00054341" w:rsidRPr="00624D4D" w:rsidRDefault="00054341" w:rsidP="00624D4D">
      <w:pPr>
        <w:rPr>
          <w:rFonts w:cs="Arial"/>
        </w:rPr>
      </w:pPr>
      <w:r w:rsidRPr="00624D4D">
        <w:rPr>
          <w:rFonts w:cs="Arial"/>
        </w:rPr>
        <w:t>Macro marketing environment includes large scale external forces that influence the possibility of a company to work, benefit its customers and reach its goals</w:t>
      </w:r>
      <w:r w:rsidR="00534B45">
        <w:rPr>
          <w:rFonts w:cs="Arial"/>
        </w:rPr>
        <w:t xml:space="preserve"> (</w:t>
      </w:r>
      <w:r w:rsidR="00534B45" w:rsidRPr="00534B45">
        <w:rPr>
          <w:rFonts w:cs="Arial"/>
        </w:rPr>
        <w:t>Akpoviroro,</w:t>
      </w:r>
      <w:r w:rsidR="00534B45">
        <w:rPr>
          <w:rFonts w:cs="Arial"/>
        </w:rPr>
        <w:t xml:space="preserve"> </w:t>
      </w:r>
      <w:r w:rsidR="00534B45" w:rsidRPr="00534B45">
        <w:rPr>
          <w:rFonts w:cs="Arial"/>
        </w:rPr>
        <w:t>and Owotutu,</w:t>
      </w:r>
      <w:r w:rsidR="00534B45">
        <w:rPr>
          <w:rFonts w:cs="Arial"/>
        </w:rPr>
        <w:t xml:space="preserve"> </w:t>
      </w:r>
      <w:r w:rsidR="00534B45" w:rsidRPr="00534B45">
        <w:rPr>
          <w:rFonts w:cs="Arial"/>
        </w:rPr>
        <w:t>2018</w:t>
      </w:r>
      <w:r w:rsidR="00534B45">
        <w:rPr>
          <w:rFonts w:cs="Arial"/>
        </w:rPr>
        <w:t>)</w:t>
      </w:r>
      <w:r w:rsidRPr="00624D4D">
        <w:rPr>
          <w:rFonts w:cs="Arial"/>
        </w:rPr>
        <w:t>. Such factors largely cannot be controlled by the firm but very important to the long-term strategic plan. They are relevant to the marketing strategy because of the fact that they either generate new opportunities or are a great threat.</w:t>
      </w:r>
    </w:p>
    <w:p w14:paraId="1FE3F793" w14:textId="77777777" w:rsidR="00054341" w:rsidRPr="00A0394A" w:rsidRDefault="00054341" w:rsidP="00A0394A">
      <w:pPr>
        <w:jc w:val="center"/>
        <w:rPr>
          <w:rFonts w:cs="Arial"/>
          <w:color w:val="000000" w:themeColor="text1"/>
          <w:sz w:val="20"/>
          <w:szCs w:val="20"/>
        </w:rPr>
      </w:pPr>
      <w:r w:rsidRPr="00A0394A">
        <w:rPr>
          <w:rFonts w:cs="Arial"/>
          <w:noProof/>
          <w:color w:val="000000" w:themeColor="text1"/>
          <w:sz w:val="20"/>
          <w:szCs w:val="20"/>
        </w:rPr>
        <w:drawing>
          <wp:inline distT="0" distB="0" distL="0" distR="0" wp14:anchorId="44C9EE35" wp14:editId="11C44E95">
            <wp:extent cx="3867150" cy="2174361"/>
            <wp:effectExtent l="0" t="0" r="0" b="0"/>
            <wp:docPr id="488841354" name="Picture 6"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ESTEL Analysis (PEST Analysis) EXPLAINED with EXAMPLES | B2U"/>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74602" cy="2178551"/>
                    </a:xfrm>
                    <a:prstGeom prst="rect">
                      <a:avLst/>
                    </a:prstGeom>
                    <a:noFill/>
                    <a:ln>
                      <a:noFill/>
                    </a:ln>
                  </pic:spPr>
                </pic:pic>
              </a:graphicData>
            </a:graphic>
          </wp:inline>
        </w:drawing>
      </w:r>
    </w:p>
    <w:p w14:paraId="079D7AE7" w14:textId="1F6080CC" w:rsidR="00054341" w:rsidRPr="00A0394A" w:rsidRDefault="00A0394A" w:rsidP="00A0394A">
      <w:pPr>
        <w:pStyle w:val="Caption"/>
        <w:jc w:val="center"/>
        <w:rPr>
          <w:rFonts w:cs="Arial"/>
          <w:color w:val="000000" w:themeColor="text1"/>
          <w:sz w:val="20"/>
          <w:szCs w:val="20"/>
        </w:rPr>
      </w:pPr>
      <w:r w:rsidRPr="00A0394A">
        <w:rPr>
          <w:color w:val="000000" w:themeColor="text1"/>
          <w:sz w:val="20"/>
          <w:szCs w:val="20"/>
        </w:rPr>
        <w:t xml:space="preserve">Figure </w:t>
      </w:r>
      <w:r w:rsidRPr="00A0394A">
        <w:rPr>
          <w:color w:val="000000" w:themeColor="text1"/>
          <w:sz w:val="20"/>
          <w:szCs w:val="20"/>
        </w:rPr>
        <w:fldChar w:fldCharType="begin"/>
      </w:r>
      <w:r w:rsidRPr="00A0394A">
        <w:rPr>
          <w:color w:val="000000" w:themeColor="text1"/>
          <w:sz w:val="20"/>
          <w:szCs w:val="20"/>
        </w:rPr>
        <w:instrText xml:space="preserve"> SEQ Figure \* ARABIC </w:instrText>
      </w:r>
      <w:r w:rsidRPr="00A0394A">
        <w:rPr>
          <w:color w:val="000000" w:themeColor="text1"/>
          <w:sz w:val="20"/>
          <w:szCs w:val="20"/>
        </w:rPr>
        <w:fldChar w:fldCharType="separate"/>
      </w:r>
      <w:r w:rsidRPr="00A0394A">
        <w:rPr>
          <w:noProof/>
          <w:color w:val="000000" w:themeColor="text1"/>
          <w:sz w:val="20"/>
          <w:szCs w:val="20"/>
        </w:rPr>
        <w:t>2</w:t>
      </w:r>
      <w:r w:rsidRPr="00A0394A">
        <w:rPr>
          <w:color w:val="000000" w:themeColor="text1"/>
          <w:sz w:val="20"/>
          <w:szCs w:val="20"/>
        </w:rPr>
        <w:fldChar w:fldCharType="end"/>
      </w:r>
      <w:r w:rsidRPr="00A0394A">
        <w:rPr>
          <w:color w:val="000000" w:themeColor="text1"/>
          <w:sz w:val="20"/>
          <w:szCs w:val="20"/>
        </w:rPr>
        <w:t xml:space="preserve"> </w:t>
      </w:r>
      <w:r w:rsidR="00054341" w:rsidRPr="00A0394A">
        <w:rPr>
          <w:rFonts w:cs="Arial"/>
          <w:color w:val="000000" w:themeColor="text1"/>
          <w:sz w:val="20"/>
          <w:szCs w:val="20"/>
        </w:rPr>
        <w:t>PESTEL Analysis; Source: (de Bruin, 2016)</w:t>
      </w:r>
    </w:p>
    <w:p w14:paraId="3F80A1BF" w14:textId="3752C045" w:rsidR="00054341" w:rsidRPr="00624D4D" w:rsidRDefault="00054341" w:rsidP="00624D4D">
      <w:pPr>
        <w:rPr>
          <w:rFonts w:cs="Arial"/>
        </w:rPr>
      </w:pPr>
      <w:r w:rsidRPr="00624D4D">
        <w:rPr>
          <w:rFonts w:cs="Arial"/>
        </w:rPr>
        <w:t>The PESTEL framework is the most important tool in contextualising this analysis classification of six major forces, classified as external forces, namely: Political, Economic, Social, Technological, Environmental, and Legal</w:t>
      </w:r>
      <w:r w:rsidR="00534B45">
        <w:rPr>
          <w:rFonts w:cs="Arial"/>
        </w:rPr>
        <w:t xml:space="preserve"> </w:t>
      </w:r>
      <w:r w:rsidR="00534B45" w:rsidRPr="00534B45">
        <w:rPr>
          <w:rFonts w:cs="Arial"/>
        </w:rPr>
        <w:t>(de Bruin, 2016)</w:t>
      </w:r>
      <w:r w:rsidRPr="00624D4D">
        <w:rPr>
          <w:rFonts w:cs="Arial"/>
        </w:rPr>
        <w:t>. Business organisations such as Apple and Oneplus which sell and operate consumer electronics products globally need to watch the PESTEL factors. An example would be that Technological change would influence product development, whereas Environmental laws would have an impact on the price and creation of the products</w:t>
      </w:r>
      <w:r w:rsidR="00113250">
        <w:rPr>
          <w:rFonts w:cs="Arial"/>
        </w:rPr>
        <w:t xml:space="preserve"> </w:t>
      </w:r>
      <w:r w:rsidR="00113250" w:rsidRPr="009F292B">
        <w:rPr>
          <w:rFonts w:cs="Arial"/>
        </w:rPr>
        <w:t xml:space="preserve">(Kotler </w:t>
      </w:r>
      <w:r w:rsidR="00113250" w:rsidRPr="009F292B">
        <w:rPr>
          <w:rFonts w:cs="Arial"/>
          <w:i/>
          <w:iCs/>
        </w:rPr>
        <w:t>et al.</w:t>
      </w:r>
      <w:r w:rsidR="00113250" w:rsidRPr="009F292B">
        <w:rPr>
          <w:rFonts w:cs="Arial"/>
        </w:rPr>
        <w:t>, 2020)</w:t>
      </w:r>
      <w:r w:rsidRPr="00624D4D">
        <w:rPr>
          <w:rFonts w:cs="Arial"/>
        </w:rPr>
        <w:t>. Any successful marketing strategy has to be based on the ability to predict and react to such macro-environment changes.</w:t>
      </w:r>
    </w:p>
    <w:p w14:paraId="6C181148" w14:textId="77777777" w:rsidR="00DE5D5B" w:rsidRPr="00866483" w:rsidRDefault="00DE5D5B" w:rsidP="00866483">
      <w:pPr>
        <w:pStyle w:val="Heading2"/>
      </w:pPr>
      <w:bookmarkStart w:id="3" w:name="_Toc214549040"/>
      <w:r w:rsidRPr="00624D4D">
        <w:t>2.2 Selection of Two External Macro Marketing Actors</w:t>
      </w:r>
      <w:bookmarkEnd w:id="3"/>
    </w:p>
    <w:p w14:paraId="6D174CBF" w14:textId="77777777" w:rsidR="00054341" w:rsidRPr="00624D4D" w:rsidRDefault="00054341" w:rsidP="00624D4D">
      <w:pPr>
        <w:rPr>
          <w:rFonts w:cs="Arial"/>
        </w:rPr>
      </w:pPr>
      <w:r w:rsidRPr="00624D4D">
        <w:rPr>
          <w:rFonts w:cs="Arial"/>
        </w:rPr>
        <w:t xml:space="preserve">There are two key external macro marketing forces that have both currently had a monumental impact on this industry, namely: technological factor and environmental factor. </w:t>
      </w:r>
    </w:p>
    <w:p w14:paraId="31E81FA4" w14:textId="77777777" w:rsidR="00054341" w:rsidRPr="006D73A8" w:rsidRDefault="00054341" w:rsidP="00624D4D">
      <w:pPr>
        <w:spacing w:after="200"/>
        <w:rPr>
          <w:rFonts w:cs="Arial"/>
          <w:b/>
          <w:bCs/>
        </w:rPr>
      </w:pPr>
      <w:r w:rsidRPr="006D73A8">
        <w:rPr>
          <w:rFonts w:cs="Arial"/>
          <w:b/>
          <w:bCs/>
        </w:rPr>
        <w:t>1. Technological Factor: Convergence of AI and Health Monitoring</w:t>
      </w:r>
    </w:p>
    <w:p w14:paraId="3112B1EB" w14:textId="77777777" w:rsidR="00054341" w:rsidRPr="00624D4D" w:rsidRDefault="00054341" w:rsidP="00624D4D">
      <w:pPr>
        <w:rPr>
          <w:rFonts w:cs="Arial"/>
        </w:rPr>
      </w:pPr>
      <w:r w:rsidRPr="00624D4D">
        <w:rPr>
          <w:rFonts w:cs="Arial"/>
        </w:rPr>
        <w:lastRenderedPageBreak/>
        <w:t xml:space="preserve">The market size of wearable technology reached about USD 84.2 billion globally in 2024 and it is expected to increase to more than USD 186.14 billion by 2030 with the CAGR standing at 13.6% (Grand View Research, 2024). This is fuelled by the fact that the introduction of Artificial Intelligence (AI), Machine Learning (ML), and Internet of Things (IoT) possibilities into smaller more advanced devices will make this growth possible. </w:t>
      </w:r>
    </w:p>
    <w:p w14:paraId="354047F5" w14:textId="77777777" w:rsidR="00054341" w:rsidRPr="00624D4D" w:rsidRDefault="00054341" w:rsidP="00866483">
      <w:pPr>
        <w:jc w:val="center"/>
        <w:rPr>
          <w:rFonts w:cs="Arial"/>
        </w:rPr>
      </w:pPr>
      <w:r w:rsidRPr="00624D4D">
        <w:rPr>
          <w:rFonts w:cs="Arial"/>
          <w:noProof/>
        </w:rPr>
        <w:drawing>
          <wp:inline distT="0" distB="0" distL="0" distR="0" wp14:anchorId="4202FA6E" wp14:editId="074E2BDA">
            <wp:extent cx="4832350" cy="2718197"/>
            <wp:effectExtent l="0" t="0" r="6350" b="6350"/>
            <wp:docPr id="12644086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44581" cy="2725077"/>
                    </a:xfrm>
                    <a:prstGeom prst="rect">
                      <a:avLst/>
                    </a:prstGeom>
                    <a:noFill/>
                  </pic:spPr>
                </pic:pic>
              </a:graphicData>
            </a:graphic>
          </wp:inline>
        </w:drawing>
      </w:r>
    </w:p>
    <w:p w14:paraId="7E1555B2" w14:textId="777D8E12" w:rsidR="00054341" w:rsidRPr="00A0394A" w:rsidRDefault="00A0394A" w:rsidP="00A0394A">
      <w:pPr>
        <w:pStyle w:val="Caption"/>
        <w:jc w:val="center"/>
        <w:rPr>
          <w:rFonts w:cs="Arial"/>
          <w:sz w:val="20"/>
          <w:szCs w:val="20"/>
        </w:rPr>
      </w:pPr>
      <w:r w:rsidRPr="00A0394A">
        <w:rPr>
          <w:color w:val="000000" w:themeColor="text1"/>
          <w:sz w:val="20"/>
          <w:szCs w:val="20"/>
        </w:rPr>
        <w:t xml:space="preserve">Figure </w:t>
      </w:r>
      <w:r w:rsidRPr="00A0394A">
        <w:rPr>
          <w:color w:val="000000" w:themeColor="text1"/>
          <w:sz w:val="20"/>
          <w:szCs w:val="20"/>
        </w:rPr>
        <w:fldChar w:fldCharType="begin"/>
      </w:r>
      <w:r w:rsidRPr="00A0394A">
        <w:rPr>
          <w:color w:val="000000" w:themeColor="text1"/>
          <w:sz w:val="20"/>
          <w:szCs w:val="20"/>
        </w:rPr>
        <w:instrText xml:space="preserve"> SEQ Figure \* ARABIC </w:instrText>
      </w:r>
      <w:r w:rsidRPr="00A0394A">
        <w:rPr>
          <w:color w:val="000000" w:themeColor="text1"/>
          <w:sz w:val="20"/>
          <w:szCs w:val="20"/>
        </w:rPr>
        <w:fldChar w:fldCharType="separate"/>
      </w:r>
      <w:r w:rsidRPr="00A0394A">
        <w:rPr>
          <w:noProof/>
          <w:color w:val="000000" w:themeColor="text1"/>
          <w:sz w:val="20"/>
          <w:szCs w:val="20"/>
        </w:rPr>
        <w:t>3</w:t>
      </w:r>
      <w:r w:rsidRPr="00A0394A">
        <w:rPr>
          <w:color w:val="000000" w:themeColor="text1"/>
          <w:sz w:val="20"/>
          <w:szCs w:val="20"/>
        </w:rPr>
        <w:fldChar w:fldCharType="end"/>
      </w:r>
      <w:r w:rsidRPr="00A0394A">
        <w:rPr>
          <w:color w:val="000000" w:themeColor="text1"/>
          <w:sz w:val="20"/>
          <w:szCs w:val="20"/>
        </w:rPr>
        <w:t xml:space="preserve"> </w:t>
      </w:r>
      <w:r w:rsidR="00054341" w:rsidRPr="00A150BE">
        <w:rPr>
          <w:rFonts w:cs="Arial"/>
          <w:color w:val="000000" w:themeColor="text1"/>
          <w:sz w:val="20"/>
          <w:szCs w:val="20"/>
        </w:rPr>
        <w:t>Wearable Technology Market</w:t>
      </w:r>
      <w:r w:rsidR="00054341" w:rsidRPr="00A0394A">
        <w:rPr>
          <w:rFonts w:cs="Arial"/>
          <w:color w:val="000000" w:themeColor="text1"/>
          <w:sz w:val="20"/>
          <w:szCs w:val="20"/>
        </w:rPr>
        <w:t>; Source: (Grand View Research, 2024)</w:t>
      </w:r>
    </w:p>
    <w:p w14:paraId="138589C0" w14:textId="77777777" w:rsidR="00054341" w:rsidRPr="00624D4D" w:rsidRDefault="00054341" w:rsidP="00624D4D">
      <w:pPr>
        <w:rPr>
          <w:rFonts w:cs="Arial"/>
        </w:rPr>
      </w:pPr>
      <w:r w:rsidRPr="00624D4D">
        <w:rPr>
          <w:rFonts w:cs="Arial"/>
        </w:rPr>
        <w:t>The recent trend is no longer just fitness tracking but an all rounded, proactive management and personalised wellness training. The new offering of services such as blood sugar level monitoring in real-time, stress, and sleep apnea notifications can now be offered on the basis of the advanced algorithms, and they become the new norm. This technology player is directly associated since this is the central value proposition of the Apple Airband (a smart wristband that could notify about health and other things), and the success will depend on how effectively it will use these sophisticated monitoring features instead of the simplistic count of steps.</w:t>
      </w:r>
    </w:p>
    <w:p w14:paraId="05023670" w14:textId="77777777" w:rsidR="00054341" w:rsidRPr="00624D4D" w:rsidRDefault="00054341" w:rsidP="00624D4D">
      <w:pPr>
        <w:rPr>
          <w:rFonts w:cs="Arial"/>
        </w:rPr>
      </w:pPr>
      <w:r w:rsidRPr="006D73A8">
        <w:rPr>
          <w:rFonts w:cs="Arial"/>
          <w:b/>
          <w:bCs/>
        </w:rPr>
        <w:t>2. Environmental Factor: E-Waste Regulation and the Circular Economy</w:t>
      </w:r>
      <w:r w:rsidRPr="00624D4D">
        <w:rPr>
          <w:rFonts w:cs="Arial"/>
        </w:rPr>
        <w:t xml:space="preserve"> </w:t>
      </w:r>
    </w:p>
    <w:p w14:paraId="40EF1631" w14:textId="77777777" w:rsidR="00054341" w:rsidRPr="00624D4D" w:rsidRDefault="00054341" w:rsidP="00624D4D">
      <w:pPr>
        <w:rPr>
          <w:rFonts w:cs="Arial"/>
        </w:rPr>
      </w:pPr>
      <w:r w:rsidRPr="00624D4D">
        <w:rPr>
          <w:rFonts w:cs="Arial"/>
        </w:rPr>
        <w:t xml:space="preserve">The problem of Electronic Waste (e-waste) is the gigantic environmental and legal problem, which directly affects consumer electronics companies. In 2022, according to Global E-waste Monitor 2024, the world generated 62 million tonnes of e-waste, averaging 7.8 kg per person (UNITAR, 2024), and this increase compared to recorded proceedings in recycling was fivefold, with 22.3% being collected and reused. </w:t>
      </w:r>
    </w:p>
    <w:p w14:paraId="2F3335C9" w14:textId="77777777" w:rsidR="00054341" w:rsidRPr="00A0394A" w:rsidRDefault="00054341" w:rsidP="00A0394A">
      <w:pPr>
        <w:jc w:val="center"/>
        <w:rPr>
          <w:rFonts w:cs="Arial"/>
          <w:color w:val="000000" w:themeColor="text1"/>
          <w:sz w:val="20"/>
          <w:szCs w:val="20"/>
        </w:rPr>
      </w:pPr>
      <w:r w:rsidRPr="00A0394A">
        <w:rPr>
          <w:rFonts w:cs="Arial"/>
          <w:noProof/>
          <w:color w:val="000000" w:themeColor="text1"/>
          <w:sz w:val="20"/>
          <w:szCs w:val="20"/>
        </w:rPr>
        <w:lastRenderedPageBreak/>
        <w:drawing>
          <wp:inline distT="0" distB="0" distL="0" distR="0" wp14:anchorId="5CF4EE29" wp14:editId="3B617BED">
            <wp:extent cx="4895850" cy="3125403"/>
            <wp:effectExtent l="0" t="0" r="0" b="0"/>
            <wp:docPr id="519136452" name="Picture 3" descr="Source: Global E-waste Monitor 2024 (Liu et al., 2023; Roy, Islam, Haque, &amp; Riyad,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ource: Global E-waste Monitor 2024 (Liu et al., 2023; Roy, Islam, Haque, &amp; Riyad, 202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99756" cy="3127896"/>
                    </a:xfrm>
                    <a:prstGeom prst="rect">
                      <a:avLst/>
                    </a:prstGeom>
                    <a:noFill/>
                    <a:ln>
                      <a:noFill/>
                    </a:ln>
                  </pic:spPr>
                </pic:pic>
              </a:graphicData>
            </a:graphic>
          </wp:inline>
        </w:drawing>
      </w:r>
    </w:p>
    <w:p w14:paraId="5AA32DA5" w14:textId="471F6106" w:rsidR="00054341" w:rsidRPr="00A150BE" w:rsidRDefault="00A0394A" w:rsidP="00A0394A">
      <w:pPr>
        <w:pStyle w:val="Caption"/>
        <w:jc w:val="center"/>
        <w:rPr>
          <w:rFonts w:cs="Arial"/>
          <w:color w:val="000000" w:themeColor="text1"/>
          <w:sz w:val="20"/>
          <w:szCs w:val="20"/>
        </w:rPr>
      </w:pPr>
      <w:r w:rsidRPr="00A0394A">
        <w:rPr>
          <w:color w:val="000000" w:themeColor="text1"/>
          <w:sz w:val="20"/>
          <w:szCs w:val="20"/>
        </w:rPr>
        <w:t xml:space="preserve">Figure </w:t>
      </w:r>
      <w:r w:rsidRPr="00A0394A">
        <w:rPr>
          <w:color w:val="000000" w:themeColor="text1"/>
          <w:sz w:val="20"/>
          <w:szCs w:val="20"/>
        </w:rPr>
        <w:fldChar w:fldCharType="begin"/>
      </w:r>
      <w:r w:rsidRPr="00A0394A">
        <w:rPr>
          <w:color w:val="000000" w:themeColor="text1"/>
          <w:sz w:val="20"/>
          <w:szCs w:val="20"/>
        </w:rPr>
        <w:instrText xml:space="preserve"> SEQ Figure \* ARABIC </w:instrText>
      </w:r>
      <w:r w:rsidRPr="00A0394A">
        <w:rPr>
          <w:color w:val="000000" w:themeColor="text1"/>
          <w:sz w:val="20"/>
          <w:szCs w:val="20"/>
        </w:rPr>
        <w:fldChar w:fldCharType="separate"/>
      </w:r>
      <w:r w:rsidRPr="00A0394A">
        <w:rPr>
          <w:noProof/>
          <w:color w:val="000000" w:themeColor="text1"/>
          <w:sz w:val="20"/>
          <w:szCs w:val="20"/>
        </w:rPr>
        <w:t>4</w:t>
      </w:r>
      <w:r w:rsidRPr="00A0394A">
        <w:rPr>
          <w:color w:val="000000" w:themeColor="text1"/>
          <w:sz w:val="20"/>
          <w:szCs w:val="20"/>
        </w:rPr>
        <w:fldChar w:fldCharType="end"/>
      </w:r>
      <w:r w:rsidRPr="00A0394A">
        <w:rPr>
          <w:color w:val="000000" w:themeColor="text1"/>
          <w:sz w:val="20"/>
          <w:szCs w:val="20"/>
        </w:rPr>
        <w:t xml:space="preserve"> </w:t>
      </w:r>
      <w:r w:rsidR="00054341" w:rsidRPr="00A0394A">
        <w:rPr>
          <w:rFonts w:cs="Arial"/>
          <w:color w:val="000000" w:themeColor="text1"/>
          <w:sz w:val="20"/>
          <w:szCs w:val="20"/>
        </w:rPr>
        <w:t xml:space="preserve">Global E-waste Statistics; </w:t>
      </w:r>
      <w:r w:rsidR="00054341" w:rsidRPr="00A150BE">
        <w:rPr>
          <w:rFonts w:cs="Arial"/>
          <w:color w:val="000000" w:themeColor="text1"/>
          <w:sz w:val="20"/>
          <w:szCs w:val="20"/>
        </w:rPr>
        <w:t>Source: Global E-waste Monitor 2024</w:t>
      </w:r>
    </w:p>
    <w:p w14:paraId="411AF3AD" w14:textId="3A3752FD" w:rsidR="00054341" w:rsidRPr="00624D4D" w:rsidRDefault="00054341" w:rsidP="00624D4D">
      <w:pPr>
        <w:rPr>
          <w:rFonts w:cs="Arial"/>
        </w:rPr>
      </w:pPr>
      <w:r w:rsidRPr="00624D4D">
        <w:rPr>
          <w:rFonts w:cs="Arial"/>
        </w:rPr>
        <w:t>This crisis has only heightened regulatory approaches to the point, in Europe, the WEEE Directive, and the world-wide activity to enforce Extended Producer Responsibility (EPR) and the Right to Repair. This environmental actor is very topical since the two products listed Apple Airband and Oneplus Power Case are battery-powered and will lead to this wastage product. The circular economy implies that products should be redesigned to last longer, be fixable, and use materials responsibly, which will fundamentally ensure the manufacture, cost matrix, and perception of both the inventor and the leader</w:t>
      </w:r>
      <w:r w:rsidR="00113250">
        <w:rPr>
          <w:rFonts w:cs="Arial"/>
        </w:rPr>
        <w:t xml:space="preserve"> </w:t>
      </w:r>
      <w:r w:rsidR="00113250" w:rsidRPr="00113250">
        <w:rPr>
          <w:rFonts w:cs="Arial"/>
        </w:rPr>
        <w:t>(Corvellec, Stowell and Johansson, 2021)</w:t>
      </w:r>
      <w:r w:rsidRPr="00624D4D">
        <w:rPr>
          <w:rFonts w:cs="Arial"/>
        </w:rPr>
        <w:t>.</w:t>
      </w:r>
    </w:p>
    <w:p w14:paraId="57B3FFCC" w14:textId="77777777" w:rsidR="00DE5D5B" w:rsidRPr="00624D4D" w:rsidRDefault="00DE5D5B" w:rsidP="00866483">
      <w:pPr>
        <w:pStyle w:val="Heading2"/>
      </w:pPr>
      <w:bookmarkStart w:id="4" w:name="_Toc214549041"/>
      <w:r w:rsidRPr="00624D4D">
        <w:t>2.3 Critical Analysis of Each Actor</w:t>
      </w:r>
      <w:bookmarkEnd w:id="4"/>
    </w:p>
    <w:p w14:paraId="3A793687" w14:textId="77777777" w:rsidR="00054341" w:rsidRPr="00624D4D" w:rsidRDefault="00054341" w:rsidP="00624D4D">
      <w:pPr>
        <w:rPr>
          <w:rFonts w:cs="Arial"/>
        </w:rPr>
      </w:pPr>
      <w:r w:rsidRPr="00624D4D">
        <w:rPr>
          <w:rFonts w:cs="Arial"/>
        </w:rPr>
        <w:t>Two enormous extrinsic forces are rapidly transforming the whole modern-day consumer electronics market, which is the quest to be highly personalised and predictive in health thanks to AI, and the overwhelming need to remake e-waste with the help of a circular economy. This creates unequal chances and risks of the pioneer (Apple) and the follower (OnePlus).</w:t>
      </w:r>
    </w:p>
    <w:p w14:paraId="572DB9C6" w14:textId="77777777" w:rsidR="00054341" w:rsidRPr="00624D4D" w:rsidRDefault="00054341" w:rsidP="00624D4D">
      <w:pPr>
        <w:pStyle w:val="ListParagraph"/>
        <w:widowControl w:val="0"/>
        <w:numPr>
          <w:ilvl w:val="0"/>
          <w:numId w:val="29"/>
        </w:numPr>
        <w:autoSpaceDE w:val="0"/>
        <w:autoSpaceDN w:val="0"/>
        <w:rPr>
          <w:rFonts w:cs="Arial"/>
          <w:b/>
          <w:bCs/>
        </w:rPr>
      </w:pPr>
      <w:r w:rsidRPr="00624D4D">
        <w:rPr>
          <w:rFonts w:cs="Arial"/>
          <w:b/>
          <w:bCs/>
        </w:rPr>
        <w:t xml:space="preserve">Analysis of Technological Actor: AI and Health Monitoring Convergence </w:t>
      </w:r>
    </w:p>
    <w:p w14:paraId="103CCDE1" w14:textId="59E0F0A7" w:rsidR="00054341" w:rsidRPr="00624D4D" w:rsidRDefault="00054341" w:rsidP="00624D4D">
      <w:pPr>
        <w:rPr>
          <w:rFonts w:cs="Arial"/>
        </w:rPr>
      </w:pPr>
      <w:r w:rsidRPr="00624D4D">
        <w:rPr>
          <w:rFonts w:cs="Arial"/>
        </w:rPr>
        <w:t xml:space="preserve">The combination of AI and Machine Learning (ML) is turning the wearables into not mere trackers of activities, but act as active health protectors. </w:t>
      </w:r>
    </w:p>
    <w:p w14:paraId="07B2E844" w14:textId="77777777" w:rsidR="00054341" w:rsidRPr="006D73A8" w:rsidRDefault="00054341" w:rsidP="00624D4D">
      <w:pPr>
        <w:spacing w:after="200"/>
        <w:rPr>
          <w:rFonts w:cs="Arial"/>
          <w:b/>
          <w:bCs/>
        </w:rPr>
      </w:pPr>
      <w:r w:rsidRPr="006D73A8">
        <w:rPr>
          <w:rFonts w:cs="Arial"/>
          <w:b/>
          <w:bCs/>
        </w:rPr>
        <w:t>Pioneer (Apple Airband - Premium/Ecosystem Focus):</w:t>
      </w:r>
    </w:p>
    <w:p w14:paraId="75851CAA" w14:textId="15F8140A" w:rsidR="00054341" w:rsidRPr="00624D4D" w:rsidRDefault="00054341" w:rsidP="00624D4D">
      <w:pPr>
        <w:pStyle w:val="ListParagraph"/>
        <w:widowControl w:val="0"/>
        <w:numPr>
          <w:ilvl w:val="0"/>
          <w:numId w:val="30"/>
        </w:numPr>
        <w:autoSpaceDE w:val="0"/>
        <w:autoSpaceDN w:val="0"/>
        <w:rPr>
          <w:rFonts w:cs="Arial"/>
        </w:rPr>
      </w:pPr>
      <w:r w:rsidRPr="00624D4D">
        <w:rPr>
          <w:rFonts w:cs="Arial"/>
          <w:b/>
          <w:bCs/>
        </w:rPr>
        <w:lastRenderedPageBreak/>
        <w:t>Opportunity:</w:t>
      </w:r>
      <w:r w:rsidRPr="00624D4D">
        <w:rPr>
          <w:rFonts w:cs="Arial"/>
        </w:rPr>
        <w:t xml:space="preserve"> </w:t>
      </w:r>
      <w:r w:rsidR="0064432E">
        <w:rPr>
          <w:rFonts w:cs="Arial"/>
        </w:rPr>
        <w:t xml:space="preserve">According to </w:t>
      </w:r>
      <w:r w:rsidR="0064432E" w:rsidRPr="0064432E">
        <w:rPr>
          <w:rFonts w:cs="Arial"/>
        </w:rPr>
        <w:t>Porter's Five Forces Model</w:t>
      </w:r>
      <w:r w:rsidR="0064432E">
        <w:rPr>
          <w:rFonts w:cs="Arial"/>
        </w:rPr>
        <w:t xml:space="preserve"> (1980), </w:t>
      </w:r>
      <w:r w:rsidRPr="00624D4D">
        <w:rPr>
          <w:rFonts w:cs="Arial"/>
        </w:rPr>
        <w:t>Apple has the opportunity to utilise its position in the market and the well-established Apple Health ecosystem to attain the validation of the Airband has reached medical-grade data. This business move will put it in a position to exploit the giant AI in Healthcare market and capture high-margin revenue streams in terms of health alliances, insurance integrations, and subscriptions</w:t>
      </w:r>
      <w:r w:rsidR="0064432E">
        <w:rPr>
          <w:rFonts w:cs="Arial"/>
        </w:rPr>
        <w:t xml:space="preserve"> </w:t>
      </w:r>
      <w:r w:rsidR="0064432E" w:rsidRPr="0064432E">
        <w:rPr>
          <w:rFonts w:cs="Arial"/>
        </w:rPr>
        <w:t>(Olumide Emmanuel Ibikunle et al., 2024)</w:t>
      </w:r>
      <w:r w:rsidRPr="00624D4D">
        <w:rPr>
          <w:rFonts w:cs="Arial"/>
        </w:rPr>
        <w:t>. The possibility to conduct predictive analytics on biometric data is a serious point of difference, supporting the value of the premium brand that Apple has.</w:t>
      </w:r>
    </w:p>
    <w:p w14:paraId="0EA9AD28" w14:textId="77777777" w:rsidR="00054341" w:rsidRPr="00624D4D" w:rsidRDefault="00054341" w:rsidP="00866483">
      <w:pPr>
        <w:pStyle w:val="ListParagraph"/>
        <w:jc w:val="center"/>
        <w:rPr>
          <w:rFonts w:cs="Arial"/>
        </w:rPr>
      </w:pPr>
      <w:r w:rsidRPr="00624D4D">
        <w:rPr>
          <w:rFonts w:cs="Arial"/>
          <w:noProof/>
        </w:rPr>
        <w:drawing>
          <wp:inline distT="0" distB="0" distL="0" distR="0" wp14:anchorId="748FB683" wp14:editId="07EC1CAB">
            <wp:extent cx="4597400" cy="2585974"/>
            <wp:effectExtent l="0" t="0" r="0" b="5080"/>
            <wp:docPr id="545855625" name="Picture 5" descr="Apple Watch Series Health Wearable Technology For Transforming Ppt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pple Watch Series Health Wearable Technology For Transforming Ppt Powerpoin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602377" cy="2588773"/>
                    </a:xfrm>
                    <a:prstGeom prst="rect">
                      <a:avLst/>
                    </a:prstGeom>
                    <a:noFill/>
                    <a:ln>
                      <a:noFill/>
                    </a:ln>
                  </pic:spPr>
                </pic:pic>
              </a:graphicData>
            </a:graphic>
          </wp:inline>
        </w:drawing>
      </w:r>
    </w:p>
    <w:p w14:paraId="1E6493B3" w14:textId="63270042" w:rsidR="00054341" w:rsidRPr="00A0394A" w:rsidRDefault="00A0394A" w:rsidP="00A0394A">
      <w:pPr>
        <w:pStyle w:val="Caption"/>
        <w:jc w:val="center"/>
        <w:rPr>
          <w:rFonts w:cs="Arial"/>
          <w:color w:val="000000" w:themeColor="text1"/>
          <w:sz w:val="20"/>
          <w:szCs w:val="20"/>
        </w:rPr>
      </w:pPr>
      <w:r w:rsidRPr="00A0394A">
        <w:rPr>
          <w:color w:val="000000" w:themeColor="text1"/>
          <w:sz w:val="20"/>
          <w:szCs w:val="20"/>
        </w:rPr>
        <w:t xml:space="preserve">Figure </w:t>
      </w:r>
      <w:r w:rsidRPr="00A0394A">
        <w:rPr>
          <w:color w:val="000000" w:themeColor="text1"/>
          <w:sz w:val="20"/>
          <w:szCs w:val="20"/>
        </w:rPr>
        <w:fldChar w:fldCharType="begin"/>
      </w:r>
      <w:r w:rsidRPr="00A0394A">
        <w:rPr>
          <w:color w:val="000000" w:themeColor="text1"/>
          <w:sz w:val="20"/>
          <w:szCs w:val="20"/>
        </w:rPr>
        <w:instrText xml:space="preserve"> SEQ Figure \* ARABIC </w:instrText>
      </w:r>
      <w:r w:rsidRPr="00A0394A">
        <w:rPr>
          <w:color w:val="000000" w:themeColor="text1"/>
          <w:sz w:val="20"/>
          <w:szCs w:val="20"/>
        </w:rPr>
        <w:fldChar w:fldCharType="separate"/>
      </w:r>
      <w:r w:rsidRPr="00A0394A">
        <w:rPr>
          <w:noProof/>
          <w:color w:val="000000" w:themeColor="text1"/>
          <w:sz w:val="20"/>
          <w:szCs w:val="20"/>
        </w:rPr>
        <w:t>5</w:t>
      </w:r>
      <w:r w:rsidRPr="00A0394A">
        <w:rPr>
          <w:color w:val="000000" w:themeColor="text1"/>
          <w:sz w:val="20"/>
          <w:szCs w:val="20"/>
        </w:rPr>
        <w:fldChar w:fldCharType="end"/>
      </w:r>
      <w:r w:rsidRPr="00A0394A">
        <w:rPr>
          <w:color w:val="000000" w:themeColor="text1"/>
          <w:sz w:val="20"/>
          <w:szCs w:val="20"/>
        </w:rPr>
        <w:t xml:space="preserve"> </w:t>
      </w:r>
      <w:r w:rsidR="00054341" w:rsidRPr="00A0394A">
        <w:rPr>
          <w:rFonts w:cs="Arial"/>
          <w:color w:val="000000" w:themeColor="text1"/>
          <w:sz w:val="20"/>
          <w:szCs w:val="20"/>
        </w:rPr>
        <w:t>Apple Watch Series Health Wearable Technology; Source: (Apple, 2024)</w:t>
      </w:r>
    </w:p>
    <w:p w14:paraId="13830E66" w14:textId="0F9B92A4" w:rsidR="00054341" w:rsidRPr="00624D4D" w:rsidRDefault="00054341" w:rsidP="00624D4D">
      <w:pPr>
        <w:pStyle w:val="ListParagraph"/>
        <w:widowControl w:val="0"/>
        <w:numPr>
          <w:ilvl w:val="0"/>
          <w:numId w:val="30"/>
        </w:numPr>
        <w:autoSpaceDE w:val="0"/>
        <w:autoSpaceDN w:val="0"/>
        <w:rPr>
          <w:rFonts w:cs="Arial"/>
        </w:rPr>
      </w:pPr>
      <w:r w:rsidRPr="00624D4D">
        <w:rPr>
          <w:rFonts w:cs="Arial"/>
          <w:b/>
          <w:bCs/>
        </w:rPr>
        <w:t>Threat:</w:t>
      </w:r>
      <w:r w:rsidRPr="00624D4D">
        <w:rPr>
          <w:rFonts w:cs="Arial"/>
        </w:rPr>
        <w:t xml:space="preserve"> The major threat is the Regulatory Scrutiny and Liability. The expensive and lengthy process of medical validation of the Airband is extremely expensive and time-consuming. Moreover, the pioneer has a huge legal and reputational risk in the case when its AI-based diagnostics fails since the information it gathers is life or death.</w:t>
      </w:r>
    </w:p>
    <w:p w14:paraId="25CC26C3" w14:textId="77777777" w:rsidR="00054341" w:rsidRPr="00624D4D" w:rsidRDefault="00054341" w:rsidP="00624D4D">
      <w:pPr>
        <w:rPr>
          <w:rFonts w:cs="Arial"/>
          <w:b/>
          <w:bCs/>
        </w:rPr>
      </w:pPr>
      <w:r w:rsidRPr="00624D4D">
        <w:rPr>
          <w:rFonts w:cs="Arial"/>
          <w:b/>
          <w:bCs/>
        </w:rPr>
        <w:t>Follower (OnePlus Power Case - Utility/Value Focus):</w:t>
      </w:r>
    </w:p>
    <w:p w14:paraId="23F7DA2A" w14:textId="22132B83" w:rsidR="00054341" w:rsidRPr="00624D4D" w:rsidRDefault="00054341" w:rsidP="00624D4D">
      <w:pPr>
        <w:pStyle w:val="ListParagraph"/>
        <w:widowControl w:val="0"/>
        <w:numPr>
          <w:ilvl w:val="0"/>
          <w:numId w:val="31"/>
        </w:numPr>
        <w:autoSpaceDE w:val="0"/>
        <w:autoSpaceDN w:val="0"/>
        <w:rPr>
          <w:rFonts w:cs="Arial"/>
        </w:rPr>
      </w:pPr>
      <w:r w:rsidRPr="00624D4D">
        <w:rPr>
          <w:rFonts w:cs="Arial"/>
          <w:b/>
          <w:bCs/>
        </w:rPr>
        <w:t>Opportunity:</w:t>
      </w:r>
      <w:r w:rsidRPr="00624D4D">
        <w:rPr>
          <w:rFonts w:cs="Arial"/>
        </w:rPr>
        <w:t xml:space="preserve"> OnePlus can exploit lower costs in R&amp;D by looking at the success of the pioneer and using developed sensor technologies and open-source AI frameworks. It is a trend in AI, but not a health product. Thus, the Power Case can leverage the demand in this domain by providing a differentiated product: "Smart Charging</w:t>
      </w:r>
      <w:r w:rsidR="0064432E">
        <w:rPr>
          <w:rFonts w:cs="Arial"/>
        </w:rPr>
        <w:t xml:space="preserve">” </w:t>
      </w:r>
      <w:r w:rsidR="0064432E" w:rsidRPr="0064432E">
        <w:rPr>
          <w:rFonts w:cs="Arial"/>
        </w:rPr>
        <w:t>(OnePlus, 2024)</w:t>
      </w:r>
      <w:r w:rsidRPr="00624D4D">
        <w:rPr>
          <w:rFonts w:cs="Arial"/>
        </w:rPr>
        <w:t xml:space="preserve">. This would mean leveraging AI to gauge user habits and maximise the charging cycles lowering battery degradation and increasing the lifespan of the phone, which would give a better value proposition </w:t>
      </w:r>
      <w:r w:rsidRPr="00624D4D">
        <w:rPr>
          <w:rFonts w:cs="Arial"/>
        </w:rPr>
        <w:lastRenderedPageBreak/>
        <w:t>than the medical feature.</w:t>
      </w:r>
    </w:p>
    <w:p w14:paraId="76793022" w14:textId="3DB4BDC5" w:rsidR="00054341" w:rsidRPr="00624D4D" w:rsidRDefault="00054341" w:rsidP="00624D4D">
      <w:pPr>
        <w:pStyle w:val="ListParagraph"/>
        <w:widowControl w:val="0"/>
        <w:numPr>
          <w:ilvl w:val="0"/>
          <w:numId w:val="31"/>
        </w:numPr>
        <w:autoSpaceDE w:val="0"/>
        <w:autoSpaceDN w:val="0"/>
        <w:rPr>
          <w:rFonts w:cs="Arial"/>
        </w:rPr>
      </w:pPr>
      <w:r w:rsidRPr="00624D4D">
        <w:rPr>
          <w:rFonts w:cs="Arial"/>
          <w:b/>
          <w:bCs/>
        </w:rPr>
        <w:t>Threat:</w:t>
      </w:r>
      <w:r w:rsidRPr="00624D4D">
        <w:rPr>
          <w:rFonts w:cs="Arial"/>
        </w:rPr>
        <w:t xml:space="preserve"> Feature Parity and Commoditization is the primary threat. The market of the mobile accessories is very saturated. In the absence of a proprietary ecosystem lock-in, Power Case will be easily duplicated by low-cost rivals.</w:t>
      </w:r>
    </w:p>
    <w:p w14:paraId="22386F01" w14:textId="77777777" w:rsidR="00054341" w:rsidRPr="00624D4D" w:rsidRDefault="00054341" w:rsidP="00624D4D">
      <w:pPr>
        <w:pStyle w:val="ListParagraph"/>
        <w:widowControl w:val="0"/>
        <w:numPr>
          <w:ilvl w:val="0"/>
          <w:numId w:val="29"/>
        </w:numPr>
        <w:autoSpaceDE w:val="0"/>
        <w:autoSpaceDN w:val="0"/>
        <w:rPr>
          <w:rFonts w:cs="Arial"/>
          <w:b/>
          <w:bCs/>
        </w:rPr>
      </w:pPr>
      <w:r w:rsidRPr="00624D4D">
        <w:rPr>
          <w:rFonts w:cs="Arial"/>
          <w:b/>
          <w:bCs/>
        </w:rPr>
        <w:t xml:space="preserve">Analysis of Environmental Actor: E-Waste and the Circular Economy </w:t>
      </w:r>
    </w:p>
    <w:p w14:paraId="6A074D81" w14:textId="7220A1C3" w:rsidR="00054341" w:rsidRPr="00624D4D" w:rsidRDefault="00054341" w:rsidP="00624D4D">
      <w:pPr>
        <w:rPr>
          <w:rFonts w:cs="Arial"/>
        </w:rPr>
      </w:pPr>
      <w:r w:rsidRPr="00624D4D">
        <w:rPr>
          <w:rFonts w:cs="Arial"/>
        </w:rPr>
        <w:t xml:space="preserve">The world e-crisis of waste, less than 22.3 percent of which is currently recycled despite a new 62 million tonnes per year produced in 2022 (Figure </w:t>
      </w:r>
      <w:r w:rsidR="00A0394A">
        <w:rPr>
          <w:rFonts w:cs="Arial"/>
        </w:rPr>
        <w:t>4</w:t>
      </w:r>
      <w:r w:rsidRPr="00624D4D">
        <w:rPr>
          <w:rFonts w:cs="Arial"/>
        </w:rPr>
        <w:t>), is causing tougher international standards such as the EU WEEE Directive. The influence on material sourcing and product design affects the industry due to this push towards a circular economy</w:t>
      </w:r>
      <w:r w:rsidR="0064432E">
        <w:rPr>
          <w:rFonts w:cs="Arial"/>
        </w:rPr>
        <w:t xml:space="preserve"> </w:t>
      </w:r>
      <w:r w:rsidR="0064432E" w:rsidRPr="0064432E">
        <w:rPr>
          <w:rFonts w:cs="Arial"/>
        </w:rPr>
        <w:t>(Shahabuddin et al., 2022)</w:t>
      </w:r>
      <w:r w:rsidRPr="00624D4D">
        <w:rPr>
          <w:rFonts w:cs="Arial"/>
        </w:rPr>
        <w:t>.</w:t>
      </w:r>
    </w:p>
    <w:p w14:paraId="35354D64" w14:textId="77777777" w:rsidR="00054341" w:rsidRPr="006D73A8" w:rsidRDefault="00054341" w:rsidP="00624D4D">
      <w:pPr>
        <w:spacing w:after="200"/>
        <w:rPr>
          <w:rFonts w:cs="Arial"/>
          <w:b/>
          <w:bCs/>
        </w:rPr>
      </w:pPr>
      <w:r w:rsidRPr="006D73A8">
        <w:rPr>
          <w:rFonts w:cs="Arial"/>
          <w:b/>
          <w:bCs/>
        </w:rPr>
        <w:t>Pioneer (Apple Airband - Premium/Ecosystem Focus):</w:t>
      </w:r>
    </w:p>
    <w:p w14:paraId="58E6D503" w14:textId="77777777" w:rsidR="00054341" w:rsidRPr="00624D4D" w:rsidRDefault="00054341" w:rsidP="00624D4D">
      <w:pPr>
        <w:pStyle w:val="ListParagraph"/>
        <w:widowControl w:val="0"/>
        <w:numPr>
          <w:ilvl w:val="0"/>
          <w:numId w:val="32"/>
        </w:numPr>
        <w:autoSpaceDE w:val="0"/>
        <w:autoSpaceDN w:val="0"/>
        <w:rPr>
          <w:rFonts w:cs="Arial"/>
        </w:rPr>
      </w:pPr>
      <w:r w:rsidRPr="00624D4D">
        <w:rPr>
          <w:rFonts w:cs="Arial"/>
          <w:b/>
          <w:bCs/>
        </w:rPr>
        <w:t>Opportunity:</w:t>
      </w:r>
      <w:r w:rsidRPr="00624D4D">
        <w:rPr>
          <w:rFonts w:cs="Arial"/>
        </w:rPr>
        <w:t xml:space="preserve"> Apple could utilise the environmental leadership into a competitive strength. They have the option of investing in the new closed-loop recycling initiatives and making more visible increased use of recycled materials. With Design for Disassembly and strong trade-in programmes of the Airband, they target the high-end, sustainability-sensitive customer, and at the same time they ensure such a customer access to the crucial and rare minerals in the form of rare earth in the future.</w:t>
      </w:r>
    </w:p>
    <w:p w14:paraId="2A86AC35" w14:textId="73CBF317" w:rsidR="00054341" w:rsidRPr="00624D4D" w:rsidRDefault="00054341" w:rsidP="00624D4D">
      <w:pPr>
        <w:pStyle w:val="ListParagraph"/>
        <w:widowControl w:val="0"/>
        <w:numPr>
          <w:ilvl w:val="0"/>
          <w:numId w:val="32"/>
        </w:numPr>
        <w:autoSpaceDE w:val="0"/>
        <w:autoSpaceDN w:val="0"/>
        <w:rPr>
          <w:rFonts w:cs="Arial"/>
        </w:rPr>
      </w:pPr>
      <w:r w:rsidRPr="00624D4D">
        <w:rPr>
          <w:rFonts w:cs="Arial"/>
          <w:b/>
          <w:bCs/>
        </w:rPr>
        <w:t>Threat:</w:t>
      </w:r>
      <w:r w:rsidRPr="00624D4D">
        <w:rPr>
          <w:rFonts w:cs="Arial"/>
        </w:rPr>
        <w:t xml:space="preserve"> The Airband design of the miniature is technologically costly to design in such a way that it can be easily serviced by replacing damaged components without compromising such features like water resistance</w:t>
      </w:r>
      <w:r w:rsidR="00534B45">
        <w:rPr>
          <w:rFonts w:cs="Arial"/>
        </w:rPr>
        <w:t xml:space="preserve"> </w:t>
      </w:r>
      <w:r w:rsidR="00534B45" w:rsidRPr="00534B45">
        <w:rPr>
          <w:rFonts w:cs="Arial"/>
        </w:rPr>
        <w:t>(Apple, 2024)</w:t>
      </w:r>
      <w:r w:rsidRPr="00624D4D">
        <w:rPr>
          <w:rFonts w:cs="Arial"/>
        </w:rPr>
        <w:t>. Failure of supply chain is the riskiest. The breach of ethical sourcing and environmental regulations by a third-party supplier might result in a serious crisis and an extensive reaction of the brand since people expect the pioneer to follow the highest standards of sustainability.</w:t>
      </w:r>
    </w:p>
    <w:p w14:paraId="0B89381C" w14:textId="77777777" w:rsidR="00054341" w:rsidRPr="006D73A8" w:rsidRDefault="00054341" w:rsidP="00624D4D">
      <w:pPr>
        <w:spacing w:after="200"/>
        <w:rPr>
          <w:rFonts w:cs="Arial"/>
          <w:b/>
          <w:bCs/>
        </w:rPr>
      </w:pPr>
      <w:r w:rsidRPr="006D73A8">
        <w:rPr>
          <w:rFonts w:cs="Arial"/>
          <w:b/>
          <w:bCs/>
        </w:rPr>
        <w:t>Follower (OnePlus Power Case - Utility/Value Focus):</w:t>
      </w:r>
    </w:p>
    <w:p w14:paraId="2A3A4F42" w14:textId="77777777" w:rsidR="00054341" w:rsidRPr="00624D4D" w:rsidRDefault="00054341" w:rsidP="00624D4D">
      <w:pPr>
        <w:pStyle w:val="ListParagraph"/>
        <w:widowControl w:val="0"/>
        <w:numPr>
          <w:ilvl w:val="0"/>
          <w:numId w:val="33"/>
        </w:numPr>
        <w:autoSpaceDE w:val="0"/>
        <w:autoSpaceDN w:val="0"/>
        <w:rPr>
          <w:rFonts w:cs="Arial"/>
        </w:rPr>
      </w:pPr>
      <w:r w:rsidRPr="00624D4D">
        <w:rPr>
          <w:rFonts w:cs="Arial"/>
          <w:b/>
          <w:bCs/>
        </w:rPr>
        <w:t>Opportunity:</w:t>
      </w:r>
      <w:r w:rsidRPr="00624D4D">
        <w:rPr>
          <w:rFonts w:cs="Arial"/>
        </w:rPr>
        <w:t xml:space="preserve"> OnePlus can market the Power Case as an anti-obsolescence device and exploit the relatively trending Right to Repair sentiment. The emphasis on long-life battery parts, and certified mass-market-recycled polymers on the shell position the product as a durable accessory that is actively increasing the functional life of the phone, providing a value-driven sustainability storey.</w:t>
      </w:r>
    </w:p>
    <w:p w14:paraId="19FF5C96" w14:textId="4B1392D3" w:rsidR="00054341" w:rsidRPr="00624D4D" w:rsidRDefault="00054341" w:rsidP="00624D4D">
      <w:pPr>
        <w:pStyle w:val="ListParagraph"/>
        <w:widowControl w:val="0"/>
        <w:numPr>
          <w:ilvl w:val="0"/>
          <w:numId w:val="33"/>
        </w:numPr>
        <w:autoSpaceDE w:val="0"/>
        <w:autoSpaceDN w:val="0"/>
        <w:rPr>
          <w:rFonts w:cs="Arial"/>
        </w:rPr>
      </w:pPr>
      <w:r w:rsidRPr="00624D4D">
        <w:rPr>
          <w:rFonts w:cs="Arial"/>
          <w:b/>
          <w:bCs/>
        </w:rPr>
        <w:lastRenderedPageBreak/>
        <w:t>Threat:</w:t>
      </w:r>
      <w:r w:rsidRPr="00624D4D">
        <w:rPr>
          <w:rFonts w:cs="Arial"/>
        </w:rPr>
        <w:t xml:space="preserve"> Supply Chain Scrutiny and Safety Regulation is the main threat. Power Case becomes a target of the strict international safety and disposal standards on lithium-ion batteries</w:t>
      </w:r>
      <w:r w:rsidR="0064432E">
        <w:rPr>
          <w:rFonts w:cs="Arial"/>
        </w:rPr>
        <w:t xml:space="preserve"> </w:t>
      </w:r>
      <w:r w:rsidR="0064432E" w:rsidRPr="0064432E">
        <w:rPr>
          <w:rFonts w:cs="Arial"/>
        </w:rPr>
        <w:t>(OnePlus, 2024)</w:t>
      </w:r>
      <w:r w:rsidRPr="00624D4D">
        <w:rPr>
          <w:rFonts w:cs="Arial"/>
        </w:rPr>
        <w:t>. With lean supply chains being run by followers and in most of the cases to preserve low-cost, the risk of non-compliance, as a result of regulation, is increased.</w:t>
      </w:r>
    </w:p>
    <w:p w14:paraId="79A80A99" w14:textId="1FF0DF1F" w:rsidR="00DE5D5B" w:rsidRDefault="00DE5D5B" w:rsidP="00624D4D">
      <w:pPr>
        <w:rPr>
          <w:rStyle w:val="Heading1Char"/>
          <w:rFonts w:cs="Arial"/>
          <w:bCs/>
          <w:color w:val="000000" w:themeColor="text1"/>
          <w:sz w:val="24"/>
          <w:szCs w:val="24"/>
        </w:rPr>
      </w:pPr>
      <w:bookmarkStart w:id="5" w:name="_Toc214549042"/>
      <w:r w:rsidRPr="00624D4D">
        <w:rPr>
          <w:rStyle w:val="Heading1Char"/>
          <w:rFonts w:cs="Arial"/>
          <w:bCs/>
          <w:color w:val="000000" w:themeColor="text1"/>
          <w:sz w:val="24"/>
          <w:szCs w:val="24"/>
        </w:rPr>
        <w:t>3. Task 2: Strategic Responses of Pioneering and Follower Organisations</w:t>
      </w:r>
      <w:bookmarkEnd w:id="5"/>
      <w:r w:rsidRPr="00624D4D">
        <w:rPr>
          <w:rStyle w:val="Heading1Char"/>
          <w:rFonts w:cs="Arial"/>
          <w:bCs/>
          <w:color w:val="000000" w:themeColor="text1"/>
          <w:sz w:val="24"/>
          <w:szCs w:val="24"/>
        </w:rPr>
        <w:t xml:space="preserve"> </w:t>
      </w:r>
    </w:p>
    <w:p w14:paraId="46DF75B9" w14:textId="06A06208" w:rsidR="00B4572A" w:rsidRDefault="00B4572A" w:rsidP="00B4572A">
      <w:r>
        <w:t>The choice of strategies of groundbreaking and adherent companies is simply determined by their market position, access to resources, and risk-taking</w:t>
      </w:r>
      <w:r w:rsidR="0064432E">
        <w:t xml:space="preserve"> </w:t>
      </w:r>
      <w:r w:rsidR="0064432E" w:rsidRPr="0064432E">
        <w:t>(Ayeni, 2025)</w:t>
      </w:r>
      <w:r>
        <w:t>. Pioneers would want to enjoy market ownership and to control the ecosystem, whereas the followers desire to gain the market share efficiently through a provision of competitive utility and value</w:t>
      </w:r>
      <w:r w:rsidR="00113250">
        <w:t xml:space="preserve"> </w:t>
      </w:r>
      <w:r w:rsidR="00113250" w:rsidRPr="0095312A">
        <w:rPr>
          <w:rFonts w:cs="Arial"/>
        </w:rPr>
        <w:t xml:space="preserve">(Johnson </w:t>
      </w:r>
      <w:r w:rsidR="00113250" w:rsidRPr="0095312A">
        <w:rPr>
          <w:rFonts w:cs="Arial"/>
          <w:i/>
          <w:iCs/>
        </w:rPr>
        <w:t>et al.</w:t>
      </w:r>
      <w:r w:rsidR="00113250" w:rsidRPr="0095312A">
        <w:rPr>
          <w:rFonts w:cs="Arial"/>
        </w:rPr>
        <w:t>, 2017)</w:t>
      </w:r>
      <w:r>
        <w:t>. The Growth Matrix of the Ansoff offers a sound model on which these strategic growth moves can be assessed in respect to product and market risk.</w:t>
      </w:r>
    </w:p>
    <w:p w14:paraId="3EC8095B" w14:textId="614ACF16" w:rsidR="00DE5D5B" w:rsidRPr="00624D4D" w:rsidRDefault="00DE5D5B" w:rsidP="00624D4D">
      <w:pPr>
        <w:pStyle w:val="Heading2"/>
        <w:rPr>
          <w:rFonts w:cs="Arial"/>
          <w:b w:val="0"/>
          <w:bCs/>
          <w:color w:val="000000" w:themeColor="text1"/>
          <w:sz w:val="24"/>
          <w:szCs w:val="24"/>
        </w:rPr>
      </w:pPr>
      <w:bookmarkStart w:id="6" w:name="_Toc214549043"/>
      <w:r w:rsidRPr="00624D4D">
        <w:rPr>
          <w:rFonts w:cs="Arial"/>
          <w:bCs/>
          <w:color w:val="000000" w:themeColor="text1"/>
          <w:sz w:val="24"/>
          <w:szCs w:val="24"/>
        </w:rPr>
        <w:t>3.1 Pioneering Organisations’ Strategic Responses</w:t>
      </w:r>
      <w:bookmarkEnd w:id="6"/>
    </w:p>
    <w:p w14:paraId="676986DF" w14:textId="134C6185" w:rsidR="00B4572A" w:rsidRDefault="00B4572A" w:rsidP="00B4572A">
      <w:r>
        <w:t>The market and high-water mark of quality and pricing are set by more innovative companies such as Apple. They plan to expand their high-value ecosystem by diversifying their products and developing them to keep their competitive advantage due to their superior combination and brand recognition.</w:t>
      </w:r>
    </w:p>
    <w:p w14:paraId="5667F89F" w14:textId="77777777" w:rsidR="00B4572A" w:rsidRPr="007333EF" w:rsidRDefault="00B4572A" w:rsidP="00B4572A">
      <w:pPr>
        <w:spacing w:after="200"/>
        <w:rPr>
          <w:b/>
          <w:bCs/>
        </w:rPr>
      </w:pPr>
      <w:r w:rsidRPr="007333EF">
        <w:rPr>
          <w:b/>
          <w:bCs/>
        </w:rPr>
        <w:t>Critical Evaluation of Pioneering Strategy</w:t>
      </w:r>
    </w:p>
    <w:p w14:paraId="6DB9BCE8" w14:textId="0C82BA5D" w:rsidR="00B4572A" w:rsidRDefault="00B4572A" w:rsidP="00B4572A">
      <w:r>
        <w:t>The differentiation and lock-in represent the strategy of Apple</w:t>
      </w:r>
      <w:r w:rsidR="0064432E">
        <w:t xml:space="preserve"> </w:t>
      </w:r>
      <w:r w:rsidR="0064432E" w:rsidRPr="0064432E">
        <w:t>(Apple, 2024)</w:t>
      </w:r>
      <w:r>
        <w:t>. When launching a New Product such as the Apple Airband, the strategic response will mean to ensure that it owns the market it is generating long-term</w:t>
      </w:r>
      <w:r w:rsidR="0064432E">
        <w:t xml:space="preserve"> </w:t>
      </w:r>
      <w:r w:rsidR="0064432E" w:rsidRPr="0064432E">
        <w:t>(Apple, 2024)</w:t>
      </w:r>
      <w:r>
        <w:t>. This presupposes huge, long-term investment in research and development in order to be the first with the regulated standards, which supports the high costs of the product as the sign of the innovative position. This strategy has a very high risk, yet the greatest possible returns in the long term, including the control of the fundamental technologies of the platform. Netflix is a strong success storey of a game-changer in the Diversification</w:t>
      </w:r>
      <w:r w:rsidR="0064432E">
        <w:t xml:space="preserve"> </w:t>
      </w:r>
      <w:r w:rsidR="0064432E" w:rsidRPr="0064432E">
        <w:t>(Higson, 2021)</w:t>
      </w:r>
      <w:r>
        <w:t>. One of the most typical scenarios of this strategy is the introduction of the Apple Watch itself</w:t>
      </w:r>
      <w:r w:rsidR="0064432E">
        <w:t xml:space="preserve"> </w:t>
      </w:r>
      <w:r w:rsidR="0064432E" w:rsidRPr="0064432E">
        <w:t>(Apple, 2024)</w:t>
      </w:r>
      <w:r>
        <w:t xml:space="preserve">. It was an introduction as a Product Development play. In the course of time, with Apple receiving regulatory clearance, the product shifted to a Diversification strategy, which focused on the regulated </w:t>
      </w:r>
      <w:r>
        <w:lastRenderedPageBreak/>
        <w:t>healthcare market, which essentially altered the scope of competition of the product and increased the competitive entry barricade of all followers</w:t>
      </w:r>
      <w:r w:rsidR="0064432E">
        <w:t xml:space="preserve"> </w:t>
      </w:r>
      <w:r w:rsidR="0064432E" w:rsidRPr="0064432E">
        <w:t>(Apple, 2024)</w:t>
      </w:r>
      <w:r>
        <w:t>.</w:t>
      </w:r>
    </w:p>
    <w:p w14:paraId="0991059F" w14:textId="77777777" w:rsidR="00B4572A" w:rsidRPr="007333EF" w:rsidRDefault="00B4572A" w:rsidP="00B4572A">
      <w:pPr>
        <w:spacing w:after="200"/>
        <w:rPr>
          <w:b/>
          <w:bCs/>
        </w:rPr>
      </w:pPr>
      <w:r w:rsidRPr="007333EF">
        <w:rPr>
          <w:b/>
          <w:bCs/>
        </w:rPr>
        <w:t>Application of Ansoff’s Growth Matrix (Apple Airband)</w:t>
      </w:r>
    </w:p>
    <w:p w14:paraId="1B9169A0" w14:textId="77777777" w:rsidR="00B4572A" w:rsidRDefault="00B4572A" w:rsidP="00B4572A">
      <w:r>
        <w:t>The introduction of new products and entry to new markets make up a large proportion of the multi-quadrant play by Apple with the introduction of the Airband.</w:t>
      </w:r>
    </w:p>
    <w:tbl>
      <w:tblPr>
        <w:tblStyle w:val="PlainTable1"/>
        <w:tblW w:w="0" w:type="auto"/>
        <w:tblLook w:val="04A0" w:firstRow="1" w:lastRow="0" w:firstColumn="1" w:lastColumn="0" w:noHBand="0" w:noVBand="1"/>
      </w:tblPr>
      <w:tblGrid>
        <w:gridCol w:w="1917"/>
        <w:gridCol w:w="1333"/>
        <w:gridCol w:w="3092"/>
        <w:gridCol w:w="2674"/>
      </w:tblGrid>
      <w:tr w:rsidR="00B4572A" w:rsidRPr="007333EF" w14:paraId="32DA13C6" w14:textId="77777777" w:rsidTr="00B4572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48DCFD4" w14:textId="77777777" w:rsidR="00B4572A" w:rsidRPr="007333EF" w:rsidRDefault="00B4572A" w:rsidP="00B4572A">
            <w:pPr>
              <w:spacing w:after="200"/>
              <w:jc w:val="center"/>
            </w:pPr>
            <w:r w:rsidRPr="007333EF">
              <w:t>Quadrant</w:t>
            </w:r>
          </w:p>
        </w:tc>
        <w:tc>
          <w:tcPr>
            <w:tcW w:w="0" w:type="auto"/>
            <w:vAlign w:val="center"/>
            <w:hideMark/>
          </w:tcPr>
          <w:p w14:paraId="3F6AD467" w14:textId="77777777" w:rsidR="00B4572A" w:rsidRPr="007333EF" w:rsidRDefault="00B4572A" w:rsidP="00B4572A">
            <w:pPr>
              <w:spacing w:after="200"/>
              <w:jc w:val="center"/>
              <w:cnfStyle w:val="100000000000" w:firstRow="1" w:lastRow="0" w:firstColumn="0" w:lastColumn="0" w:oddVBand="0" w:evenVBand="0" w:oddHBand="0" w:evenHBand="0" w:firstRowFirstColumn="0" w:firstRowLastColumn="0" w:lastRowFirstColumn="0" w:lastRowLastColumn="0"/>
            </w:pPr>
            <w:r w:rsidRPr="007333EF">
              <w:t>Strategy</w:t>
            </w:r>
          </w:p>
        </w:tc>
        <w:tc>
          <w:tcPr>
            <w:tcW w:w="0" w:type="auto"/>
            <w:vAlign w:val="center"/>
            <w:hideMark/>
          </w:tcPr>
          <w:p w14:paraId="00634BD6" w14:textId="77777777" w:rsidR="00B4572A" w:rsidRPr="007333EF" w:rsidRDefault="00B4572A" w:rsidP="00B4572A">
            <w:pPr>
              <w:spacing w:after="200"/>
              <w:jc w:val="center"/>
              <w:cnfStyle w:val="100000000000" w:firstRow="1" w:lastRow="0" w:firstColumn="0" w:lastColumn="0" w:oddVBand="0" w:evenVBand="0" w:oddHBand="0" w:evenHBand="0" w:firstRowFirstColumn="0" w:firstRowLastColumn="0" w:lastRowFirstColumn="0" w:lastRowLastColumn="0"/>
            </w:pPr>
            <w:r w:rsidRPr="007333EF">
              <w:t>Airband Application (Existing Market / New Market)</w:t>
            </w:r>
          </w:p>
        </w:tc>
        <w:tc>
          <w:tcPr>
            <w:tcW w:w="0" w:type="auto"/>
            <w:vAlign w:val="center"/>
            <w:hideMark/>
          </w:tcPr>
          <w:p w14:paraId="7C61111A" w14:textId="77777777" w:rsidR="00B4572A" w:rsidRPr="007333EF" w:rsidRDefault="00B4572A" w:rsidP="00B4572A">
            <w:pPr>
              <w:spacing w:after="200"/>
              <w:jc w:val="center"/>
              <w:cnfStyle w:val="100000000000" w:firstRow="1" w:lastRow="0" w:firstColumn="0" w:lastColumn="0" w:oddVBand="0" w:evenVBand="0" w:oddHBand="0" w:evenHBand="0" w:firstRowFirstColumn="0" w:firstRowLastColumn="0" w:lastRowFirstColumn="0" w:lastRowLastColumn="0"/>
            </w:pPr>
            <w:r w:rsidRPr="007333EF">
              <w:t>Strategic Imperative</w:t>
            </w:r>
          </w:p>
        </w:tc>
      </w:tr>
      <w:tr w:rsidR="00B4572A" w:rsidRPr="007333EF" w14:paraId="20649321" w14:textId="77777777" w:rsidTr="00B457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335686C" w14:textId="77777777" w:rsidR="00B4572A" w:rsidRPr="007333EF" w:rsidRDefault="00B4572A" w:rsidP="00B4572A">
            <w:pPr>
              <w:spacing w:after="200"/>
              <w:jc w:val="center"/>
            </w:pPr>
            <w:r w:rsidRPr="007333EF">
              <w:t>Market Penetration</w:t>
            </w:r>
          </w:p>
        </w:tc>
        <w:tc>
          <w:tcPr>
            <w:tcW w:w="0" w:type="auto"/>
            <w:hideMark/>
          </w:tcPr>
          <w:p w14:paraId="62F3DABD" w14:textId="77777777" w:rsidR="00B4572A" w:rsidRPr="007333EF" w:rsidRDefault="00B4572A" w:rsidP="00FA1E89">
            <w:pPr>
              <w:spacing w:after="200"/>
              <w:cnfStyle w:val="000000100000" w:firstRow="0" w:lastRow="0" w:firstColumn="0" w:lastColumn="0" w:oddVBand="0" w:evenVBand="0" w:oddHBand="1" w:evenHBand="0" w:firstRowFirstColumn="0" w:firstRowLastColumn="0" w:lastRowFirstColumn="0" w:lastRowLastColumn="0"/>
            </w:pPr>
            <w:r w:rsidRPr="007333EF">
              <w:t>Existing Product, Existing Market</w:t>
            </w:r>
          </w:p>
        </w:tc>
        <w:tc>
          <w:tcPr>
            <w:tcW w:w="0" w:type="auto"/>
            <w:hideMark/>
          </w:tcPr>
          <w:p w14:paraId="401B66E4" w14:textId="77777777" w:rsidR="00B4572A" w:rsidRPr="007333EF" w:rsidRDefault="00B4572A" w:rsidP="00FA1E89">
            <w:pPr>
              <w:spacing w:after="200"/>
              <w:cnfStyle w:val="000000100000" w:firstRow="0" w:lastRow="0" w:firstColumn="0" w:lastColumn="0" w:oddVBand="0" w:evenVBand="0" w:oddHBand="1" w:evenHBand="0" w:firstRowFirstColumn="0" w:firstRowLastColumn="0" w:lastRowFirstColumn="0" w:lastRowLastColumn="0"/>
            </w:pPr>
            <w:r w:rsidRPr="007333EF">
              <w:t xml:space="preserve">Encourage existing iPhone/Apple Watch users to use and rely on the existing </w:t>
            </w:r>
            <w:r w:rsidRPr="007333EF">
              <w:rPr>
                <w:b/>
                <w:bCs/>
              </w:rPr>
              <w:t>Apple Health App</w:t>
            </w:r>
            <w:r w:rsidRPr="007333EF">
              <w:t xml:space="preserve"> and iOS features more frequently due to the Airband's advanced data input.</w:t>
            </w:r>
          </w:p>
        </w:tc>
        <w:tc>
          <w:tcPr>
            <w:tcW w:w="0" w:type="auto"/>
            <w:hideMark/>
          </w:tcPr>
          <w:p w14:paraId="764717AF" w14:textId="77777777" w:rsidR="00B4572A" w:rsidRPr="007333EF" w:rsidRDefault="00B4572A" w:rsidP="00FA1E89">
            <w:pPr>
              <w:spacing w:after="200"/>
              <w:cnfStyle w:val="000000100000" w:firstRow="0" w:lastRow="0" w:firstColumn="0" w:lastColumn="0" w:oddVBand="0" w:evenVBand="0" w:oddHBand="1" w:evenHBand="0" w:firstRowFirstColumn="0" w:firstRowLastColumn="0" w:lastRowFirstColumn="0" w:lastRowLastColumn="0"/>
            </w:pPr>
            <w:r w:rsidRPr="007333EF">
              <w:rPr>
                <w:b/>
                <w:bCs/>
              </w:rPr>
              <w:t>Low Risk.</w:t>
            </w:r>
            <w:r w:rsidRPr="007333EF">
              <w:t xml:space="preserve"> Increases usage intensity of current services, increasing customer stickiness.</w:t>
            </w:r>
          </w:p>
        </w:tc>
      </w:tr>
      <w:tr w:rsidR="00B4572A" w:rsidRPr="007333EF" w14:paraId="2BD7CC89" w14:textId="77777777" w:rsidTr="00B4572A">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D6D2AE2" w14:textId="77777777" w:rsidR="00B4572A" w:rsidRPr="007333EF" w:rsidRDefault="00B4572A" w:rsidP="00B4572A">
            <w:pPr>
              <w:spacing w:after="200"/>
              <w:jc w:val="center"/>
            </w:pPr>
            <w:r w:rsidRPr="007333EF">
              <w:t>Product Development</w:t>
            </w:r>
          </w:p>
        </w:tc>
        <w:tc>
          <w:tcPr>
            <w:tcW w:w="0" w:type="auto"/>
            <w:hideMark/>
          </w:tcPr>
          <w:p w14:paraId="70130E65" w14:textId="77777777" w:rsidR="00B4572A" w:rsidRPr="007333EF" w:rsidRDefault="00B4572A" w:rsidP="00FA1E89">
            <w:pPr>
              <w:spacing w:after="200"/>
              <w:cnfStyle w:val="000000000000" w:firstRow="0" w:lastRow="0" w:firstColumn="0" w:lastColumn="0" w:oddVBand="0" w:evenVBand="0" w:oddHBand="0" w:evenHBand="0" w:firstRowFirstColumn="0" w:firstRowLastColumn="0" w:lastRowFirstColumn="0" w:lastRowLastColumn="0"/>
            </w:pPr>
            <w:r w:rsidRPr="007333EF">
              <w:rPr>
                <w:b/>
                <w:bCs/>
              </w:rPr>
              <w:t>New Product, Existing Market</w:t>
            </w:r>
          </w:p>
        </w:tc>
        <w:tc>
          <w:tcPr>
            <w:tcW w:w="0" w:type="auto"/>
            <w:hideMark/>
          </w:tcPr>
          <w:p w14:paraId="261C20EB" w14:textId="23660F85" w:rsidR="00B4572A" w:rsidRPr="007333EF" w:rsidRDefault="00B4572A" w:rsidP="00FA1E89">
            <w:pPr>
              <w:spacing w:after="200"/>
              <w:cnfStyle w:val="000000000000" w:firstRow="0" w:lastRow="0" w:firstColumn="0" w:lastColumn="0" w:oddVBand="0" w:evenVBand="0" w:oddHBand="0" w:evenHBand="0" w:firstRowFirstColumn="0" w:firstRowLastColumn="0" w:lastRowFirstColumn="0" w:lastRowLastColumn="0"/>
            </w:pPr>
            <w:r w:rsidRPr="007333EF">
              <w:t xml:space="preserve">The </w:t>
            </w:r>
            <w:r w:rsidRPr="007333EF">
              <w:rPr>
                <w:b/>
                <w:bCs/>
              </w:rPr>
              <w:t>Airband</w:t>
            </w:r>
            <w:r w:rsidRPr="007333EF">
              <w:t xml:space="preserve"> (New Product) is designed for the existing Apple ecosystem user base (iPhone owners) but targets a different need</w:t>
            </w:r>
            <w:r w:rsidR="0064432E">
              <w:t xml:space="preserve"> </w:t>
            </w:r>
            <w:r w:rsidRPr="007333EF">
              <w:t>dedicated, high-accuracy health screening</w:t>
            </w:r>
            <w:r w:rsidR="0064432E">
              <w:t xml:space="preserve"> </w:t>
            </w:r>
            <w:r w:rsidR="0064432E" w:rsidRPr="0064432E">
              <w:t>(Apple, 2024)</w:t>
            </w:r>
            <w:r w:rsidRPr="007333EF">
              <w:t>.</w:t>
            </w:r>
          </w:p>
        </w:tc>
        <w:tc>
          <w:tcPr>
            <w:tcW w:w="0" w:type="auto"/>
            <w:hideMark/>
          </w:tcPr>
          <w:p w14:paraId="2027A453" w14:textId="77777777" w:rsidR="00B4572A" w:rsidRPr="007333EF" w:rsidRDefault="00B4572A" w:rsidP="00FA1E89">
            <w:pPr>
              <w:spacing w:after="200"/>
              <w:cnfStyle w:val="000000000000" w:firstRow="0" w:lastRow="0" w:firstColumn="0" w:lastColumn="0" w:oddVBand="0" w:evenVBand="0" w:oddHBand="0" w:evenHBand="0" w:firstRowFirstColumn="0" w:firstRowLastColumn="0" w:lastRowFirstColumn="0" w:lastRowLastColumn="0"/>
            </w:pPr>
            <w:r w:rsidRPr="007333EF">
              <w:rPr>
                <w:b/>
                <w:bCs/>
              </w:rPr>
              <w:t>Primary Focus.</w:t>
            </w:r>
            <w:r w:rsidRPr="007333EF">
              <w:t xml:space="preserve"> Deepens engagement with current customers, expanding the product line and increasing customer lifetime value (CLV).</w:t>
            </w:r>
          </w:p>
        </w:tc>
      </w:tr>
      <w:tr w:rsidR="00B4572A" w:rsidRPr="007333EF" w14:paraId="76CC1BF3" w14:textId="77777777" w:rsidTr="00B457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0CE6915" w14:textId="77777777" w:rsidR="00B4572A" w:rsidRPr="007333EF" w:rsidRDefault="00B4572A" w:rsidP="00B4572A">
            <w:pPr>
              <w:spacing w:after="200"/>
              <w:jc w:val="center"/>
            </w:pPr>
            <w:r w:rsidRPr="007333EF">
              <w:t>Market Development</w:t>
            </w:r>
          </w:p>
        </w:tc>
        <w:tc>
          <w:tcPr>
            <w:tcW w:w="0" w:type="auto"/>
            <w:hideMark/>
          </w:tcPr>
          <w:p w14:paraId="59A1FEC7" w14:textId="77777777" w:rsidR="00B4572A" w:rsidRPr="007333EF" w:rsidRDefault="00B4572A" w:rsidP="00FA1E89">
            <w:pPr>
              <w:spacing w:after="200"/>
              <w:cnfStyle w:val="000000100000" w:firstRow="0" w:lastRow="0" w:firstColumn="0" w:lastColumn="0" w:oddVBand="0" w:evenVBand="0" w:oddHBand="1" w:evenHBand="0" w:firstRowFirstColumn="0" w:firstRowLastColumn="0" w:lastRowFirstColumn="0" w:lastRowLastColumn="0"/>
            </w:pPr>
            <w:r w:rsidRPr="007333EF">
              <w:t xml:space="preserve">Existing Product, </w:t>
            </w:r>
            <w:r w:rsidRPr="007333EF">
              <w:rPr>
                <w:b/>
                <w:bCs/>
              </w:rPr>
              <w:t>New Market</w:t>
            </w:r>
          </w:p>
        </w:tc>
        <w:tc>
          <w:tcPr>
            <w:tcW w:w="0" w:type="auto"/>
            <w:hideMark/>
          </w:tcPr>
          <w:p w14:paraId="36B80251" w14:textId="02B54C69" w:rsidR="00B4572A" w:rsidRPr="007333EF" w:rsidRDefault="00B4572A" w:rsidP="00FA1E89">
            <w:pPr>
              <w:spacing w:after="200"/>
              <w:cnfStyle w:val="000000100000" w:firstRow="0" w:lastRow="0" w:firstColumn="0" w:lastColumn="0" w:oddVBand="0" w:evenVBand="0" w:oddHBand="1" w:evenHBand="0" w:firstRowFirstColumn="0" w:firstRowLastColumn="0" w:lastRowFirstColumn="0" w:lastRowLastColumn="0"/>
            </w:pPr>
            <w:r w:rsidRPr="007333EF">
              <w:t xml:space="preserve">Leverage the </w:t>
            </w:r>
            <w:r w:rsidRPr="007333EF">
              <w:rPr>
                <w:b/>
                <w:bCs/>
              </w:rPr>
              <w:t>iPhone</w:t>
            </w:r>
            <w:r w:rsidRPr="007333EF">
              <w:t xml:space="preserve"> and </w:t>
            </w:r>
            <w:r w:rsidRPr="007333EF">
              <w:rPr>
                <w:b/>
                <w:bCs/>
              </w:rPr>
              <w:t>Apple Health App</w:t>
            </w:r>
            <w:r w:rsidRPr="007333EF">
              <w:t xml:space="preserve"> (Existing Products) to target specific, professional </w:t>
            </w:r>
            <w:r w:rsidRPr="007333EF">
              <w:rPr>
                <w:b/>
                <w:bCs/>
              </w:rPr>
              <w:t>Health Institution Segments</w:t>
            </w:r>
            <w:r w:rsidRPr="007333EF">
              <w:t xml:space="preserve"> (New Market) by demonstrating the </w:t>
            </w:r>
            <w:r w:rsidRPr="007333EF">
              <w:lastRenderedPageBreak/>
              <w:t>Airband's utility for clinical research or remote patient monitoring</w:t>
            </w:r>
            <w:r w:rsidR="0064432E">
              <w:t xml:space="preserve"> </w:t>
            </w:r>
            <w:r w:rsidR="0064432E" w:rsidRPr="0064432E">
              <w:t>(Apple, 2024)</w:t>
            </w:r>
            <w:r w:rsidRPr="007333EF">
              <w:t>.</w:t>
            </w:r>
          </w:p>
        </w:tc>
        <w:tc>
          <w:tcPr>
            <w:tcW w:w="0" w:type="auto"/>
            <w:hideMark/>
          </w:tcPr>
          <w:p w14:paraId="4C3DB817" w14:textId="77777777" w:rsidR="00B4572A" w:rsidRPr="007333EF" w:rsidRDefault="00B4572A" w:rsidP="00FA1E89">
            <w:pPr>
              <w:spacing w:after="200"/>
              <w:cnfStyle w:val="000000100000" w:firstRow="0" w:lastRow="0" w:firstColumn="0" w:lastColumn="0" w:oddVBand="0" w:evenVBand="0" w:oddHBand="1" w:evenHBand="0" w:firstRowFirstColumn="0" w:firstRowLastColumn="0" w:lastRowFirstColumn="0" w:lastRowLastColumn="0"/>
            </w:pPr>
            <w:r w:rsidRPr="007333EF">
              <w:rPr>
                <w:b/>
                <w:bCs/>
              </w:rPr>
              <w:lastRenderedPageBreak/>
              <w:t>Moderate Risk.</w:t>
            </w:r>
            <w:r w:rsidRPr="007333EF">
              <w:t xml:space="preserve"> Uses proven technology to enter a new segment within the broader health market.</w:t>
            </w:r>
          </w:p>
        </w:tc>
      </w:tr>
      <w:tr w:rsidR="00B4572A" w:rsidRPr="007333EF" w14:paraId="72FF2F53" w14:textId="77777777" w:rsidTr="00B4572A">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F593211" w14:textId="77777777" w:rsidR="00B4572A" w:rsidRPr="007333EF" w:rsidRDefault="00B4572A" w:rsidP="00B4572A">
            <w:pPr>
              <w:spacing w:after="200"/>
              <w:jc w:val="center"/>
            </w:pPr>
            <w:r w:rsidRPr="007333EF">
              <w:t>Diversification</w:t>
            </w:r>
          </w:p>
        </w:tc>
        <w:tc>
          <w:tcPr>
            <w:tcW w:w="0" w:type="auto"/>
            <w:hideMark/>
          </w:tcPr>
          <w:p w14:paraId="6BE26228" w14:textId="77777777" w:rsidR="00B4572A" w:rsidRPr="007333EF" w:rsidRDefault="00B4572A" w:rsidP="00FA1E89">
            <w:pPr>
              <w:spacing w:after="200"/>
              <w:cnfStyle w:val="000000000000" w:firstRow="0" w:lastRow="0" w:firstColumn="0" w:lastColumn="0" w:oddVBand="0" w:evenVBand="0" w:oddHBand="0" w:evenHBand="0" w:firstRowFirstColumn="0" w:firstRowLastColumn="0" w:lastRowFirstColumn="0" w:lastRowLastColumn="0"/>
            </w:pPr>
            <w:r w:rsidRPr="007333EF">
              <w:rPr>
                <w:b/>
                <w:bCs/>
              </w:rPr>
              <w:t>New Product, New Market</w:t>
            </w:r>
          </w:p>
        </w:tc>
        <w:tc>
          <w:tcPr>
            <w:tcW w:w="0" w:type="auto"/>
            <w:hideMark/>
          </w:tcPr>
          <w:p w14:paraId="66DC8A45" w14:textId="0CC6F81B" w:rsidR="00B4572A" w:rsidRPr="007333EF" w:rsidRDefault="00B4572A" w:rsidP="00FA1E89">
            <w:pPr>
              <w:spacing w:after="200"/>
              <w:cnfStyle w:val="000000000000" w:firstRow="0" w:lastRow="0" w:firstColumn="0" w:lastColumn="0" w:oddVBand="0" w:evenVBand="0" w:oddHBand="0" w:evenHBand="0" w:firstRowFirstColumn="0" w:firstRowLastColumn="0" w:lastRowFirstColumn="0" w:lastRowLastColumn="0"/>
            </w:pPr>
            <w:r w:rsidRPr="007333EF">
              <w:t xml:space="preserve">The </w:t>
            </w:r>
            <w:r w:rsidRPr="007333EF">
              <w:rPr>
                <w:b/>
                <w:bCs/>
              </w:rPr>
              <w:t>Airband</w:t>
            </w:r>
            <w:r w:rsidRPr="007333EF">
              <w:t xml:space="preserve"> allows Apple to enter the highly regulated </w:t>
            </w:r>
            <w:r w:rsidRPr="007333EF">
              <w:rPr>
                <w:b/>
                <w:bCs/>
              </w:rPr>
              <w:t>Medical Device and Insurance Sector</w:t>
            </w:r>
            <w:r w:rsidRPr="007333EF">
              <w:t xml:space="preserve"> (New Market) with a dedicated health wearable (New Product)</w:t>
            </w:r>
            <w:r w:rsidR="0064432E">
              <w:t xml:space="preserve"> </w:t>
            </w:r>
            <w:r w:rsidR="0064432E" w:rsidRPr="0064432E">
              <w:t>(Apple, 2024)</w:t>
            </w:r>
            <w:r w:rsidRPr="007333EF">
              <w:t>.</w:t>
            </w:r>
          </w:p>
        </w:tc>
        <w:tc>
          <w:tcPr>
            <w:tcW w:w="0" w:type="auto"/>
            <w:hideMark/>
          </w:tcPr>
          <w:p w14:paraId="35B16F14" w14:textId="77777777" w:rsidR="00B4572A" w:rsidRPr="007333EF" w:rsidRDefault="00B4572A" w:rsidP="00FA1E89">
            <w:pPr>
              <w:spacing w:after="200"/>
              <w:cnfStyle w:val="000000000000" w:firstRow="0" w:lastRow="0" w:firstColumn="0" w:lastColumn="0" w:oddVBand="0" w:evenVBand="0" w:oddHBand="0" w:evenHBand="0" w:firstRowFirstColumn="0" w:firstRowLastColumn="0" w:lastRowFirstColumn="0" w:lastRowLastColumn="0"/>
            </w:pPr>
            <w:r w:rsidRPr="007333EF">
              <w:rPr>
                <w:b/>
                <w:bCs/>
              </w:rPr>
              <w:t>Highest Risk/Reward.</w:t>
            </w:r>
            <w:r w:rsidRPr="007333EF">
              <w:t xml:space="preserve"> Creates a completely new, regulated revenue stream, moving Apple into the healthcare industry and spreading revenue risk beyond consumer cycles.</w:t>
            </w:r>
          </w:p>
        </w:tc>
      </w:tr>
    </w:tbl>
    <w:p w14:paraId="584DB314" w14:textId="77777777" w:rsidR="00DE5D5B" w:rsidRPr="00624D4D" w:rsidRDefault="00DE5D5B" w:rsidP="00624D4D">
      <w:pPr>
        <w:pStyle w:val="Heading2"/>
        <w:rPr>
          <w:rFonts w:cs="Arial"/>
          <w:b w:val="0"/>
          <w:bCs/>
          <w:color w:val="000000" w:themeColor="text1"/>
          <w:sz w:val="24"/>
          <w:szCs w:val="24"/>
        </w:rPr>
      </w:pPr>
      <w:bookmarkStart w:id="7" w:name="_Toc214549044"/>
      <w:r w:rsidRPr="00624D4D">
        <w:rPr>
          <w:rFonts w:cs="Arial"/>
          <w:bCs/>
          <w:color w:val="000000" w:themeColor="text1"/>
          <w:sz w:val="24"/>
          <w:szCs w:val="24"/>
        </w:rPr>
        <w:t>3.3 Follower Organisations’ Strategic Responses</w:t>
      </w:r>
      <w:bookmarkEnd w:id="7"/>
    </w:p>
    <w:p w14:paraId="79BE99CD" w14:textId="2F78A9B9" w:rsidR="00B4572A" w:rsidRDefault="00B4572A" w:rsidP="00B4572A">
      <w:r>
        <w:t>Second-mover advantage is a highly efficient execution that should be performed by follower organisations such OnePlus. They rely on Product Development as their plan of action, which means launching competing capabilities or accessories at a relatively appealing value proposal at an ear-bopping speed.</w:t>
      </w:r>
    </w:p>
    <w:p w14:paraId="201F4C2E" w14:textId="77777777" w:rsidR="00B4572A" w:rsidRPr="007333EF" w:rsidRDefault="00B4572A" w:rsidP="00B4572A">
      <w:pPr>
        <w:spacing w:after="200"/>
        <w:rPr>
          <w:b/>
          <w:bCs/>
        </w:rPr>
      </w:pPr>
      <w:r w:rsidRPr="007333EF">
        <w:rPr>
          <w:b/>
          <w:bCs/>
        </w:rPr>
        <w:t>Critical Evaluation of Follower Strategy</w:t>
      </w:r>
    </w:p>
    <w:p w14:paraId="6BBA3A2E" w14:textId="4AD39069" w:rsidR="00B4572A" w:rsidRDefault="00B4572A" w:rsidP="00B4572A">
      <w:r>
        <w:t>The OnePlus approach is based on a feature velocity and price-performance leadership</w:t>
      </w:r>
      <w:r w:rsidR="0064432E">
        <w:t xml:space="preserve"> </w:t>
      </w:r>
      <w:r w:rsidR="0064432E" w:rsidRPr="0064432E">
        <w:t>(OnePlus, 2024)</w:t>
      </w:r>
      <w:r>
        <w:t>. In response to outside trends, they are launching the PowerCase Product Development to add value to their current market. They are critically circumventing the costly prices of advancing the medical grading research or spending much on market education. They are instead concerned with the utilisation of established technology to their own market base, with maximum efficiency and utility to stay relevant in competition to the Apple luxurious branding. The use of the concept of the foldable phone at Samsung is a pertinent follower strategy. Samsung made quick iterations of the Galaxy Fold quickly to bring to its current Android customer base</w:t>
      </w:r>
      <w:r w:rsidR="00AD5A29">
        <w:t xml:space="preserve"> </w:t>
      </w:r>
      <w:r w:rsidR="00AD5A29" w:rsidRPr="00AD5A29">
        <w:t>(Hardy, 2021)</w:t>
      </w:r>
      <w:r>
        <w:t>, whereas Royole and others took the initiative. It applied the Market Development strategy through rapid market expansion into various geographic markets (new regions) at the time when Apple was still working with the conventional smartphone form factor</w:t>
      </w:r>
      <w:r w:rsidR="00AD5A29">
        <w:t xml:space="preserve"> </w:t>
      </w:r>
      <w:r w:rsidR="00AD5A29" w:rsidRPr="00AD5A29">
        <w:t>(Hardy, 2021)</w:t>
      </w:r>
      <w:r>
        <w:t xml:space="preserve">. This has enabled Samsung to be able to </w:t>
      </w:r>
      <w:r>
        <w:lastRenderedPageBreak/>
        <w:t>capture their premium segment market share without having to incur the entire R&amp;D cost of the original concept design. Likewise, the Xiaomi (a OnePlus competitor) is using the same follower strategy of Product Development by flooding the current smartphone market with an enormous number of low-priced, high-use accessories</w:t>
      </w:r>
      <w:r w:rsidR="00AD5A29">
        <w:t xml:space="preserve"> </w:t>
      </w:r>
      <w:r w:rsidR="00AD5A29" w:rsidRPr="00AD5A29">
        <w:t>(He and Sun, 2021)</w:t>
      </w:r>
      <w:r>
        <w:t>.</w:t>
      </w:r>
    </w:p>
    <w:p w14:paraId="6256DCC3" w14:textId="77777777" w:rsidR="00B4572A" w:rsidRPr="007333EF" w:rsidRDefault="00B4572A" w:rsidP="00B4572A">
      <w:pPr>
        <w:spacing w:after="200"/>
        <w:rPr>
          <w:b/>
          <w:bCs/>
        </w:rPr>
      </w:pPr>
      <w:r w:rsidRPr="007333EF">
        <w:rPr>
          <w:b/>
          <w:bCs/>
        </w:rPr>
        <w:t>Application of Ansoff’s Growth Matrix (OnePlus Power Case)</w:t>
      </w:r>
    </w:p>
    <w:p w14:paraId="39600DF7" w14:textId="77777777" w:rsidR="00B4572A" w:rsidRDefault="00B4572A" w:rsidP="00B4572A">
      <w:r>
        <w:t>The introduction of the Power Case by OnePlus is mainly aimed at strengthening its own market, as it is strong in mobile accessory.</w:t>
      </w:r>
    </w:p>
    <w:tbl>
      <w:tblPr>
        <w:tblStyle w:val="PlainTable1"/>
        <w:tblW w:w="0" w:type="auto"/>
        <w:tblLook w:val="04A0" w:firstRow="1" w:lastRow="0" w:firstColumn="1" w:lastColumn="0" w:noHBand="0" w:noVBand="1"/>
      </w:tblPr>
      <w:tblGrid>
        <w:gridCol w:w="1913"/>
        <w:gridCol w:w="1323"/>
        <w:gridCol w:w="3161"/>
        <w:gridCol w:w="2619"/>
      </w:tblGrid>
      <w:tr w:rsidR="00B4572A" w:rsidRPr="007333EF" w14:paraId="7403D500" w14:textId="77777777" w:rsidTr="00B4572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5049080" w14:textId="77777777" w:rsidR="00B4572A" w:rsidRPr="007333EF" w:rsidRDefault="00B4572A" w:rsidP="00B4572A">
            <w:pPr>
              <w:spacing w:after="200"/>
              <w:jc w:val="center"/>
            </w:pPr>
            <w:r w:rsidRPr="007333EF">
              <w:t>Quadrant</w:t>
            </w:r>
          </w:p>
        </w:tc>
        <w:tc>
          <w:tcPr>
            <w:tcW w:w="0" w:type="auto"/>
            <w:vAlign w:val="center"/>
            <w:hideMark/>
          </w:tcPr>
          <w:p w14:paraId="0B285B31" w14:textId="77777777" w:rsidR="00B4572A" w:rsidRPr="007333EF" w:rsidRDefault="00B4572A" w:rsidP="00B4572A">
            <w:pPr>
              <w:spacing w:after="200"/>
              <w:jc w:val="center"/>
              <w:cnfStyle w:val="100000000000" w:firstRow="1" w:lastRow="0" w:firstColumn="0" w:lastColumn="0" w:oddVBand="0" w:evenVBand="0" w:oddHBand="0" w:evenHBand="0" w:firstRowFirstColumn="0" w:firstRowLastColumn="0" w:lastRowFirstColumn="0" w:lastRowLastColumn="0"/>
            </w:pPr>
            <w:r w:rsidRPr="007333EF">
              <w:t>Strategy</w:t>
            </w:r>
          </w:p>
        </w:tc>
        <w:tc>
          <w:tcPr>
            <w:tcW w:w="0" w:type="auto"/>
            <w:vAlign w:val="center"/>
            <w:hideMark/>
          </w:tcPr>
          <w:p w14:paraId="263F0E5D" w14:textId="77777777" w:rsidR="00B4572A" w:rsidRPr="007333EF" w:rsidRDefault="00B4572A" w:rsidP="00B4572A">
            <w:pPr>
              <w:spacing w:after="200"/>
              <w:jc w:val="center"/>
              <w:cnfStyle w:val="100000000000" w:firstRow="1" w:lastRow="0" w:firstColumn="0" w:lastColumn="0" w:oddVBand="0" w:evenVBand="0" w:oddHBand="0" w:evenHBand="0" w:firstRowFirstColumn="0" w:firstRowLastColumn="0" w:lastRowFirstColumn="0" w:lastRowLastColumn="0"/>
            </w:pPr>
            <w:r w:rsidRPr="007333EF">
              <w:t>Power Case Application (Existing Market / New Market)</w:t>
            </w:r>
          </w:p>
        </w:tc>
        <w:tc>
          <w:tcPr>
            <w:tcW w:w="0" w:type="auto"/>
            <w:vAlign w:val="center"/>
            <w:hideMark/>
          </w:tcPr>
          <w:p w14:paraId="5C16DC07" w14:textId="77777777" w:rsidR="00B4572A" w:rsidRPr="007333EF" w:rsidRDefault="00B4572A" w:rsidP="00B4572A">
            <w:pPr>
              <w:spacing w:after="200"/>
              <w:jc w:val="center"/>
              <w:cnfStyle w:val="100000000000" w:firstRow="1" w:lastRow="0" w:firstColumn="0" w:lastColumn="0" w:oddVBand="0" w:evenVBand="0" w:oddHBand="0" w:evenHBand="0" w:firstRowFirstColumn="0" w:firstRowLastColumn="0" w:lastRowFirstColumn="0" w:lastRowLastColumn="0"/>
            </w:pPr>
            <w:r w:rsidRPr="007333EF">
              <w:t>Strategic Imperative</w:t>
            </w:r>
          </w:p>
        </w:tc>
      </w:tr>
      <w:tr w:rsidR="00B4572A" w:rsidRPr="007333EF" w14:paraId="5D4927A8" w14:textId="77777777" w:rsidTr="00B457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20F66BF" w14:textId="77777777" w:rsidR="00B4572A" w:rsidRPr="007333EF" w:rsidRDefault="00B4572A" w:rsidP="00B4572A">
            <w:pPr>
              <w:spacing w:after="200"/>
              <w:jc w:val="center"/>
            </w:pPr>
            <w:r w:rsidRPr="007333EF">
              <w:t>Market Penetration</w:t>
            </w:r>
          </w:p>
        </w:tc>
        <w:tc>
          <w:tcPr>
            <w:tcW w:w="0" w:type="auto"/>
            <w:hideMark/>
          </w:tcPr>
          <w:p w14:paraId="33E59011" w14:textId="77777777" w:rsidR="00B4572A" w:rsidRPr="007333EF" w:rsidRDefault="00B4572A" w:rsidP="00FA1E89">
            <w:pPr>
              <w:spacing w:after="200"/>
              <w:cnfStyle w:val="000000100000" w:firstRow="0" w:lastRow="0" w:firstColumn="0" w:lastColumn="0" w:oddVBand="0" w:evenVBand="0" w:oddHBand="1" w:evenHBand="0" w:firstRowFirstColumn="0" w:firstRowLastColumn="0" w:lastRowFirstColumn="0" w:lastRowLastColumn="0"/>
            </w:pPr>
            <w:r w:rsidRPr="007333EF">
              <w:t>Existing Product, Existing Market</w:t>
            </w:r>
          </w:p>
        </w:tc>
        <w:tc>
          <w:tcPr>
            <w:tcW w:w="0" w:type="auto"/>
            <w:hideMark/>
          </w:tcPr>
          <w:p w14:paraId="08D4BE7C" w14:textId="2A41B42B" w:rsidR="00B4572A" w:rsidRPr="007333EF" w:rsidRDefault="00B4572A" w:rsidP="00FA1E89">
            <w:pPr>
              <w:spacing w:after="200"/>
              <w:cnfStyle w:val="000000100000" w:firstRow="0" w:lastRow="0" w:firstColumn="0" w:lastColumn="0" w:oddVBand="0" w:evenVBand="0" w:oddHBand="1" w:evenHBand="0" w:firstRowFirstColumn="0" w:firstRowLastColumn="0" w:lastRowFirstColumn="0" w:lastRowLastColumn="0"/>
            </w:pPr>
            <w:r w:rsidRPr="007333EF">
              <w:t xml:space="preserve">The </w:t>
            </w:r>
            <w:r w:rsidRPr="007333EF">
              <w:rPr>
                <w:b/>
                <w:bCs/>
              </w:rPr>
              <w:t>Power Case</w:t>
            </w:r>
            <w:r w:rsidRPr="007333EF">
              <w:t xml:space="preserve"> is marketed as a superior utility accessory that encourages more customers to purchase the </w:t>
            </w:r>
            <w:r w:rsidRPr="007333EF">
              <w:rPr>
                <w:b/>
                <w:bCs/>
              </w:rPr>
              <w:t>OnePlus Phone</w:t>
            </w:r>
            <w:r w:rsidRPr="007333EF">
              <w:t xml:space="preserve"> (Existing Product) over competitors, thereby increasing market share</w:t>
            </w:r>
            <w:r w:rsidR="0064432E">
              <w:t xml:space="preserve"> </w:t>
            </w:r>
            <w:r w:rsidR="0064432E" w:rsidRPr="0064432E">
              <w:t>(OnePlus, 2024)</w:t>
            </w:r>
            <w:r w:rsidRPr="007333EF">
              <w:t>.</w:t>
            </w:r>
          </w:p>
        </w:tc>
        <w:tc>
          <w:tcPr>
            <w:tcW w:w="0" w:type="auto"/>
            <w:hideMark/>
          </w:tcPr>
          <w:p w14:paraId="649C5A82" w14:textId="35A9A499" w:rsidR="00B4572A" w:rsidRPr="007333EF" w:rsidRDefault="00B4572A" w:rsidP="00FA1E89">
            <w:pPr>
              <w:spacing w:after="200"/>
              <w:cnfStyle w:val="000000100000" w:firstRow="0" w:lastRow="0" w:firstColumn="0" w:lastColumn="0" w:oddVBand="0" w:evenVBand="0" w:oddHBand="1" w:evenHBand="0" w:firstRowFirstColumn="0" w:firstRowLastColumn="0" w:lastRowFirstColumn="0" w:lastRowLastColumn="0"/>
            </w:pPr>
            <w:r w:rsidRPr="007333EF">
              <w:rPr>
                <w:b/>
                <w:bCs/>
              </w:rPr>
              <w:t>Crucial Focus.</w:t>
            </w:r>
            <w:r w:rsidRPr="007333EF">
              <w:t xml:space="preserve"> Uses an accessory's feature set (speed, capacity) to enhance the attractiveness of the core phone in the current market.</w:t>
            </w:r>
          </w:p>
        </w:tc>
      </w:tr>
      <w:tr w:rsidR="00B4572A" w:rsidRPr="007333EF" w14:paraId="7F7C8BFD" w14:textId="77777777" w:rsidTr="00B4572A">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A835097" w14:textId="77777777" w:rsidR="00B4572A" w:rsidRPr="007333EF" w:rsidRDefault="00B4572A" w:rsidP="00B4572A">
            <w:pPr>
              <w:spacing w:after="200"/>
              <w:jc w:val="center"/>
            </w:pPr>
            <w:r w:rsidRPr="007333EF">
              <w:t>Product Development</w:t>
            </w:r>
          </w:p>
        </w:tc>
        <w:tc>
          <w:tcPr>
            <w:tcW w:w="0" w:type="auto"/>
            <w:hideMark/>
          </w:tcPr>
          <w:p w14:paraId="7AB794A8" w14:textId="77777777" w:rsidR="00B4572A" w:rsidRPr="007333EF" w:rsidRDefault="00B4572A" w:rsidP="00FA1E89">
            <w:pPr>
              <w:spacing w:after="200"/>
              <w:cnfStyle w:val="000000000000" w:firstRow="0" w:lastRow="0" w:firstColumn="0" w:lastColumn="0" w:oddVBand="0" w:evenVBand="0" w:oddHBand="0" w:evenHBand="0" w:firstRowFirstColumn="0" w:firstRowLastColumn="0" w:lastRowFirstColumn="0" w:lastRowLastColumn="0"/>
            </w:pPr>
            <w:r w:rsidRPr="007333EF">
              <w:rPr>
                <w:b/>
                <w:bCs/>
              </w:rPr>
              <w:t>New Product, Existing Market</w:t>
            </w:r>
          </w:p>
        </w:tc>
        <w:tc>
          <w:tcPr>
            <w:tcW w:w="0" w:type="auto"/>
            <w:hideMark/>
          </w:tcPr>
          <w:p w14:paraId="6FCEEF22" w14:textId="77777777" w:rsidR="00B4572A" w:rsidRPr="007333EF" w:rsidRDefault="00B4572A" w:rsidP="00FA1E89">
            <w:pPr>
              <w:spacing w:after="200"/>
              <w:cnfStyle w:val="000000000000" w:firstRow="0" w:lastRow="0" w:firstColumn="0" w:lastColumn="0" w:oddVBand="0" w:evenVBand="0" w:oddHBand="0" w:evenHBand="0" w:firstRowFirstColumn="0" w:firstRowLastColumn="0" w:lastRowFirstColumn="0" w:lastRowLastColumn="0"/>
            </w:pPr>
            <w:r w:rsidRPr="007333EF">
              <w:t xml:space="preserve">The </w:t>
            </w:r>
            <w:r w:rsidRPr="007333EF">
              <w:rPr>
                <w:b/>
                <w:bCs/>
              </w:rPr>
              <w:t>Power Case</w:t>
            </w:r>
            <w:r w:rsidRPr="007333EF">
              <w:t xml:space="preserve"> (New Product) is a key accessory designed to solve the common battery anxiety of existing OnePlus phone owners (Existing Market).</w:t>
            </w:r>
          </w:p>
        </w:tc>
        <w:tc>
          <w:tcPr>
            <w:tcW w:w="0" w:type="auto"/>
            <w:hideMark/>
          </w:tcPr>
          <w:p w14:paraId="70B8E02A" w14:textId="319C0B6C" w:rsidR="00B4572A" w:rsidRPr="007333EF" w:rsidRDefault="00B4572A" w:rsidP="00FA1E89">
            <w:pPr>
              <w:spacing w:after="200"/>
              <w:cnfStyle w:val="000000000000" w:firstRow="0" w:lastRow="0" w:firstColumn="0" w:lastColumn="0" w:oddVBand="0" w:evenVBand="0" w:oddHBand="0" w:evenHBand="0" w:firstRowFirstColumn="0" w:firstRowLastColumn="0" w:lastRowFirstColumn="0" w:lastRowLastColumn="0"/>
            </w:pPr>
            <w:r w:rsidRPr="007333EF">
              <w:rPr>
                <w:b/>
                <w:bCs/>
              </w:rPr>
              <w:t>Primary Focus.</w:t>
            </w:r>
            <w:r w:rsidRPr="007333EF">
              <w:t xml:space="preserve"> A low-risk move that generates profitable accessory revenue and improves the overall experience of the existing customer base</w:t>
            </w:r>
            <w:r w:rsidR="0064432E">
              <w:t xml:space="preserve"> </w:t>
            </w:r>
            <w:r w:rsidR="0064432E" w:rsidRPr="0064432E">
              <w:t>(OnePlus, 2024)</w:t>
            </w:r>
            <w:r w:rsidRPr="007333EF">
              <w:t>.</w:t>
            </w:r>
          </w:p>
        </w:tc>
      </w:tr>
      <w:tr w:rsidR="00B4572A" w:rsidRPr="007333EF" w14:paraId="340CBC1D" w14:textId="77777777" w:rsidTr="00B457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81355EE" w14:textId="77777777" w:rsidR="00B4572A" w:rsidRPr="007333EF" w:rsidRDefault="00B4572A" w:rsidP="00B4572A">
            <w:pPr>
              <w:spacing w:after="200"/>
              <w:jc w:val="center"/>
            </w:pPr>
            <w:r w:rsidRPr="007333EF">
              <w:t>Market Development</w:t>
            </w:r>
          </w:p>
        </w:tc>
        <w:tc>
          <w:tcPr>
            <w:tcW w:w="0" w:type="auto"/>
            <w:hideMark/>
          </w:tcPr>
          <w:p w14:paraId="48D47064" w14:textId="77777777" w:rsidR="00B4572A" w:rsidRPr="007333EF" w:rsidRDefault="00B4572A" w:rsidP="00FA1E89">
            <w:pPr>
              <w:spacing w:after="200"/>
              <w:cnfStyle w:val="000000100000" w:firstRow="0" w:lastRow="0" w:firstColumn="0" w:lastColumn="0" w:oddVBand="0" w:evenVBand="0" w:oddHBand="1" w:evenHBand="0" w:firstRowFirstColumn="0" w:firstRowLastColumn="0" w:lastRowFirstColumn="0" w:lastRowLastColumn="0"/>
            </w:pPr>
            <w:r w:rsidRPr="007333EF">
              <w:t xml:space="preserve">Existing Product, </w:t>
            </w:r>
            <w:r w:rsidRPr="007333EF">
              <w:rPr>
                <w:b/>
                <w:bCs/>
              </w:rPr>
              <w:lastRenderedPageBreak/>
              <w:t>New Market</w:t>
            </w:r>
          </w:p>
        </w:tc>
        <w:tc>
          <w:tcPr>
            <w:tcW w:w="0" w:type="auto"/>
            <w:hideMark/>
          </w:tcPr>
          <w:p w14:paraId="18E87982" w14:textId="1078B3CC" w:rsidR="00B4572A" w:rsidRPr="007333EF" w:rsidRDefault="00B4572A" w:rsidP="00FA1E89">
            <w:pPr>
              <w:spacing w:after="200"/>
              <w:cnfStyle w:val="000000100000" w:firstRow="0" w:lastRow="0" w:firstColumn="0" w:lastColumn="0" w:oddVBand="0" w:evenVBand="0" w:oddHBand="1" w:evenHBand="0" w:firstRowFirstColumn="0" w:firstRowLastColumn="0" w:lastRowFirstColumn="0" w:lastRowLastColumn="0"/>
            </w:pPr>
            <w:r w:rsidRPr="007333EF">
              <w:lastRenderedPageBreak/>
              <w:t xml:space="preserve">Use the existing, high-performance </w:t>
            </w:r>
            <w:r w:rsidRPr="007333EF">
              <w:rPr>
                <w:b/>
                <w:bCs/>
              </w:rPr>
              <w:t>OnePlus Phone</w:t>
            </w:r>
            <w:r w:rsidRPr="007333EF">
              <w:t xml:space="preserve"> hardware to target </w:t>
            </w:r>
            <w:r w:rsidRPr="007333EF">
              <w:lastRenderedPageBreak/>
              <w:t xml:space="preserve">the </w:t>
            </w:r>
            <w:r w:rsidRPr="007333EF">
              <w:rPr>
                <w:b/>
                <w:bCs/>
              </w:rPr>
              <w:t>Enterprise/B2B Segment</w:t>
            </w:r>
            <w:r w:rsidRPr="007333EF">
              <w:t xml:space="preserve"> (New Market) where long battery life and protective cases (like the Power Case) are mission-critical requirements</w:t>
            </w:r>
            <w:r w:rsidR="0064432E">
              <w:t xml:space="preserve"> </w:t>
            </w:r>
            <w:r w:rsidR="0064432E" w:rsidRPr="0064432E">
              <w:t>(OnePlus, 2024)</w:t>
            </w:r>
            <w:r w:rsidRPr="007333EF">
              <w:t>.</w:t>
            </w:r>
          </w:p>
        </w:tc>
        <w:tc>
          <w:tcPr>
            <w:tcW w:w="0" w:type="auto"/>
            <w:hideMark/>
          </w:tcPr>
          <w:p w14:paraId="298A2727" w14:textId="77777777" w:rsidR="00B4572A" w:rsidRPr="007333EF" w:rsidRDefault="00B4572A" w:rsidP="00FA1E89">
            <w:pPr>
              <w:spacing w:after="200"/>
              <w:cnfStyle w:val="000000100000" w:firstRow="0" w:lastRow="0" w:firstColumn="0" w:lastColumn="0" w:oddVBand="0" w:evenVBand="0" w:oddHBand="1" w:evenHBand="0" w:firstRowFirstColumn="0" w:firstRowLastColumn="0" w:lastRowFirstColumn="0" w:lastRowLastColumn="0"/>
            </w:pPr>
            <w:r w:rsidRPr="007333EF">
              <w:rPr>
                <w:b/>
                <w:bCs/>
              </w:rPr>
              <w:lastRenderedPageBreak/>
              <w:t>Moderate Risk.</w:t>
            </w:r>
            <w:r w:rsidRPr="007333EF">
              <w:t xml:space="preserve"> Leveraging the phone's reliability and </w:t>
            </w:r>
            <w:r w:rsidRPr="007333EF">
              <w:lastRenderedPageBreak/>
              <w:t>the case's utility to capture new segments outside of the consumer market.</w:t>
            </w:r>
          </w:p>
        </w:tc>
      </w:tr>
      <w:tr w:rsidR="00B4572A" w:rsidRPr="007333EF" w14:paraId="11914BEF" w14:textId="77777777" w:rsidTr="00B4572A">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799802C" w14:textId="77777777" w:rsidR="00B4572A" w:rsidRPr="007333EF" w:rsidRDefault="00B4572A" w:rsidP="00B4572A">
            <w:pPr>
              <w:spacing w:after="200"/>
              <w:jc w:val="center"/>
            </w:pPr>
            <w:r w:rsidRPr="007333EF">
              <w:lastRenderedPageBreak/>
              <w:t>Diversification</w:t>
            </w:r>
          </w:p>
        </w:tc>
        <w:tc>
          <w:tcPr>
            <w:tcW w:w="0" w:type="auto"/>
            <w:hideMark/>
          </w:tcPr>
          <w:p w14:paraId="06D6F772" w14:textId="77777777" w:rsidR="00B4572A" w:rsidRPr="007333EF" w:rsidRDefault="00B4572A" w:rsidP="00FA1E89">
            <w:pPr>
              <w:spacing w:after="200"/>
              <w:cnfStyle w:val="000000000000" w:firstRow="0" w:lastRow="0" w:firstColumn="0" w:lastColumn="0" w:oddVBand="0" w:evenVBand="0" w:oddHBand="0" w:evenHBand="0" w:firstRowFirstColumn="0" w:firstRowLastColumn="0" w:lastRowFirstColumn="0" w:lastRowLastColumn="0"/>
            </w:pPr>
            <w:r w:rsidRPr="007333EF">
              <w:rPr>
                <w:b/>
                <w:bCs/>
              </w:rPr>
              <w:t>New Product, New Market</w:t>
            </w:r>
          </w:p>
        </w:tc>
        <w:tc>
          <w:tcPr>
            <w:tcW w:w="0" w:type="auto"/>
            <w:hideMark/>
          </w:tcPr>
          <w:p w14:paraId="7FDF939F" w14:textId="77777777" w:rsidR="00B4572A" w:rsidRPr="007333EF" w:rsidRDefault="00B4572A" w:rsidP="00FA1E89">
            <w:pPr>
              <w:spacing w:after="200"/>
              <w:cnfStyle w:val="000000000000" w:firstRow="0" w:lastRow="0" w:firstColumn="0" w:lastColumn="0" w:oddVBand="0" w:evenVBand="0" w:oddHBand="0" w:evenHBand="0" w:firstRowFirstColumn="0" w:firstRowLastColumn="0" w:lastRowFirstColumn="0" w:lastRowLastColumn="0"/>
            </w:pPr>
            <w:r w:rsidRPr="007333EF">
              <w:t xml:space="preserve">This is the </w:t>
            </w:r>
            <w:r w:rsidRPr="007333EF">
              <w:rPr>
                <w:b/>
                <w:bCs/>
              </w:rPr>
              <w:t>least likely</w:t>
            </w:r>
            <w:r w:rsidRPr="007333EF">
              <w:t xml:space="preserve"> strategy. It would involve the Power Case technology being spun off into an unrelated New Market, such as manufacturing external, high-capacity industrial power packs for remote equipment.</w:t>
            </w:r>
          </w:p>
        </w:tc>
        <w:tc>
          <w:tcPr>
            <w:tcW w:w="0" w:type="auto"/>
            <w:hideMark/>
          </w:tcPr>
          <w:p w14:paraId="3F2F3858" w14:textId="52007BA3" w:rsidR="00B4572A" w:rsidRPr="007333EF" w:rsidRDefault="00B4572A" w:rsidP="00FA1E89">
            <w:pPr>
              <w:spacing w:after="200"/>
              <w:cnfStyle w:val="000000000000" w:firstRow="0" w:lastRow="0" w:firstColumn="0" w:lastColumn="0" w:oddVBand="0" w:evenVBand="0" w:oddHBand="0" w:evenHBand="0" w:firstRowFirstColumn="0" w:firstRowLastColumn="0" w:lastRowFirstColumn="0" w:lastRowLastColumn="0"/>
            </w:pPr>
            <w:r w:rsidRPr="007333EF">
              <w:rPr>
                <w:b/>
                <w:bCs/>
              </w:rPr>
              <w:t>Highest Risk.</w:t>
            </w:r>
            <w:r w:rsidRPr="007333EF">
              <w:t xml:space="preserve"> Generally avoided by followers unless they have excess manufacturing capacity or specific expertise transferable to an entirely new industry</w:t>
            </w:r>
            <w:r w:rsidR="0064432E">
              <w:t xml:space="preserve"> </w:t>
            </w:r>
            <w:r w:rsidR="0064432E" w:rsidRPr="0064432E">
              <w:t>(OnePlus, 2024)</w:t>
            </w:r>
            <w:r w:rsidRPr="007333EF">
              <w:t>.</w:t>
            </w:r>
          </w:p>
        </w:tc>
      </w:tr>
    </w:tbl>
    <w:p w14:paraId="0E1AB9A3" w14:textId="77777777" w:rsidR="00B4572A" w:rsidRDefault="00B4572A" w:rsidP="00B4572A"/>
    <w:p w14:paraId="076F5ADA" w14:textId="77777777" w:rsidR="00BE56E4" w:rsidRDefault="00BE56E4">
      <w:pPr>
        <w:spacing w:line="240" w:lineRule="auto"/>
        <w:jc w:val="left"/>
        <w:rPr>
          <w:rFonts w:eastAsiaTheme="majorEastAsia" w:cs="Arial"/>
          <w:b/>
          <w:bCs/>
          <w:color w:val="000000" w:themeColor="text1"/>
        </w:rPr>
      </w:pPr>
      <w:r>
        <w:rPr>
          <w:rFonts w:cs="Arial"/>
          <w:bCs/>
          <w:color w:val="000000" w:themeColor="text1"/>
        </w:rPr>
        <w:br w:type="page"/>
      </w:r>
    </w:p>
    <w:p w14:paraId="08D9FCE9" w14:textId="45707CC5" w:rsidR="00DE5D5B" w:rsidRPr="00624D4D" w:rsidRDefault="00DE5D5B" w:rsidP="00624D4D">
      <w:pPr>
        <w:pStyle w:val="Heading1"/>
        <w:rPr>
          <w:rFonts w:cs="Arial"/>
          <w:b w:val="0"/>
          <w:bCs/>
          <w:color w:val="000000" w:themeColor="text1"/>
          <w:sz w:val="24"/>
          <w:szCs w:val="24"/>
        </w:rPr>
      </w:pPr>
      <w:bookmarkStart w:id="8" w:name="_Toc214549045"/>
      <w:r w:rsidRPr="00624D4D">
        <w:rPr>
          <w:rFonts w:cs="Arial"/>
          <w:bCs/>
          <w:color w:val="000000" w:themeColor="text1"/>
          <w:sz w:val="24"/>
          <w:szCs w:val="24"/>
        </w:rPr>
        <w:lastRenderedPageBreak/>
        <w:t>4. Conclusion</w:t>
      </w:r>
      <w:bookmarkEnd w:id="8"/>
      <w:r w:rsidRPr="00624D4D">
        <w:rPr>
          <w:rFonts w:cs="Arial"/>
          <w:bCs/>
          <w:color w:val="000000" w:themeColor="text1"/>
          <w:sz w:val="24"/>
          <w:szCs w:val="24"/>
        </w:rPr>
        <w:t xml:space="preserve"> </w:t>
      </w:r>
    </w:p>
    <w:p w14:paraId="612E26DA" w14:textId="7B6B8626" w:rsidR="00BE56E4" w:rsidRDefault="00BE56E4" w:rsidP="00BE56E4">
      <w:pPr>
        <w:rPr>
          <w:b/>
        </w:rPr>
      </w:pPr>
      <w:r w:rsidRPr="00BE56E4">
        <w:t xml:space="preserve">As indicated in this report, the consumer electronics industry is changing its alignment with the constantly </w:t>
      </w:r>
      <w:r w:rsidR="00113250">
        <w:t>fast-changing</w:t>
      </w:r>
      <w:r w:rsidRPr="00BE56E4">
        <w:t xml:space="preserve"> technological developments and rising environmental demands</w:t>
      </w:r>
      <w:r w:rsidR="00113250">
        <w:t>,</w:t>
      </w:r>
      <w:r w:rsidRPr="00BE56E4">
        <w:t xml:space="preserve"> which means that firms need to constantly scan and adjust with the forces at the macro-level. Apple being an innovator and ecosystem strength and innovation-driven strategies, and OnePlus being a follower</w:t>
      </w:r>
      <w:r w:rsidR="00113250">
        <w:t>,</w:t>
      </w:r>
      <w:r w:rsidRPr="00BE56E4">
        <w:t xml:space="preserve"> are reliant on all the factors of speed, value and efficient adaptation. The analysis has shown that convergence of technology in AI health monitoring and adoption of a global circle economy has opportunities and threats to every organisation. Finally, a successful strategic marketing requires proper scanning of the environment and responsiveness that can help firms to remain competitive in rapidly changing markets.</w:t>
      </w:r>
    </w:p>
    <w:p w14:paraId="0FD6FB39" w14:textId="77777777" w:rsidR="00BE56E4" w:rsidRDefault="00BE56E4">
      <w:pPr>
        <w:spacing w:line="240" w:lineRule="auto"/>
        <w:jc w:val="left"/>
        <w:rPr>
          <w:rFonts w:eastAsiaTheme="majorEastAsia" w:cs="Arial"/>
          <w:b/>
          <w:bCs/>
          <w:color w:val="000000" w:themeColor="text1"/>
        </w:rPr>
      </w:pPr>
      <w:r>
        <w:rPr>
          <w:rFonts w:cs="Arial"/>
          <w:bCs/>
          <w:color w:val="000000" w:themeColor="text1"/>
        </w:rPr>
        <w:br w:type="page"/>
      </w:r>
    </w:p>
    <w:p w14:paraId="7E5BE2F4" w14:textId="754915D1" w:rsidR="00DE5D5B" w:rsidRPr="00624D4D" w:rsidRDefault="00DE5D5B" w:rsidP="00624D4D">
      <w:pPr>
        <w:pStyle w:val="Heading1"/>
        <w:rPr>
          <w:rFonts w:cs="Arial"/>
          <w:b w:val="0"/>
          <w:bCs/>
          <w:color w:val="000000" w:themeColor="text1"/>
          <w:sz w:val="24"/>
          <w:szCs w:val="24"/>
        </w:rPr>
      </w:pPr>
      <w:bookmarkStart w:id="9" w:name="_Toc214549046"/>
      <w:r w:rsidRPr="00624D4D">
        <w:rPr>
          <w:rFonts w:cs="Arial"/>
          <w:bCs/>
          <w:color w:val="000000" w:themeColor="text1"/>
          <w:sz w:val="24"/>
          <w:szCs w:val="24"/>
        </w:rPr>
        <w:lastRenderedPageBreak/>
        <w:t>5. References</w:t>
      </w:r>
      <w:bookmarkEnd w:id="9"/>
      <w:r w:rsidRPr="00624D4D">
        <w:rPr>
          <w:rFonts w:cs="Arial"/>
          <w:bCs/>
          <w:color w:val="000000" w:themeColor="text1"/>
          <w:sz w:val="24"/>
          <w:szCs w:val="24"/>
        </w:rPr>
        <w:t xml:space="preserve"> </w:t>
      </w:r>
    </w:p>
    <w:p w14:paraId="17293225" w14:textId="77777777" w:rsidR="00113250" w:rsidRPr="00113250" w:rsidRDefault="00113250" w:rsidP="00113250">
      <w:pPr>
        <w:rPr>
          <w:rFonts w:cs="Arial"/>
        </w:rPr>
      </w:pPr>
      <w:r w:rsidRPr="00113250">
        <w:rPr>
          <w:rFonts w:cs="Arial"/>
        </w:rPr>
        <w:t>Akpoviroro, K.S. and Owotutu, S.O., (2018). Impact of external business environment on organizational performance. </w:t>
      </w:r>
      <w:r w:rsidRPr="00113250">
        <w:rPr>
          <w:rFonts w:cs="Arial"/>
          <w:i/>
          <w:iCs/>
        </w:rPr>
        <w:t>International Journal of Advance Research and Innovative Ideas in Education</w:t>
      </w:r>
      <w:r w:rsidRPr="00113250">
        <w:rPr>
          <w:rFonts w:cs="Arial"/>
        </w:rPr>
        <w:t>, </w:t>
      </w:r>
      <w:r w:rsidRPr="00113250">
        <w:rPr>
          <w:rFonts w:cs="Arial"/>
          <w:i/>
          <w:iCs/>
        </w:rPr>
        <w:t>4</w:t>
      </w:r>
      <w:r w:rsidRPr="00113250">
        <w:rPr>
          <w:rFonts w:cs="Arial"/>
        </w:rPr>
        <w:t>(3), pp.498-505.</w:t>
      </w:r>
    </w:p>
    <w:p w14:paraId="227584CB" w14:textId="2BF99384" w:rsidR="00113250" w:rsidRPr="00113250" w:rsidRDefault="00113250" w:rsidP="00113250">
      <w:r w:rsidRPr="00113250">
        <w:t xml:space="preserve">Apple (2024). </w:t>
      </w:r>
      <w:r w:rsidRPr="00113250">
        <w:rPr>
          <w:i/>
          <w:iCs/>
        </w:rPr>
        <w:t>Apple Watch</w:t>
      </w:r>
      <w:r w:rsidRPr="00113250">
        <w:t xml:space="preserve">. [online] Apple (Armenia). Available at: </w:t>
      </w:r>
      <w:hyperlink r:id="rId14" w:history="1">
        <w:r w:rsidRPr="007962EB">
          <w:rPr>
            <w:rStyle w:val="Hyperlink"/>
          </w:rPr>
          <w:t>https://www.apple.com/am/watch/</w:t>
        </w:r>
      </w:hyperlink>
      <w:r>
        <w:t xml:space="preserve"> </w:t>
      </w:r>
    </w:p>
    <w:p w14:paraId="117420F0" w14:textId="1001BA03" w:rsidR="00113250" w:rsidRPr="00113250" w:rsidRDefault="00113250" w:rsidP="00113250">
      <w:r w:rsidRPr="00113250">
        <w:t xml:space="preserve">Ayeni, W. (2025). Entrepreneurial Abilities and Business Performance: Enacting Business Survival Paradigm from Electronics Informal Market, Nigeria. </w:t>
      </w:r>
      <w:r w:rsidRPr="00113250">
        <w:rPr>
          <w:i/>
          <w:iCs/>
        </w:rPr>
        <w:t>World</w:t>
      </w:r>
      <w:r w:rsidRPr="00113250">
        <w:t>, 6(2), pp.75–75. doi:</w:t>
      </w:r>
      <w:r>
        <w:t xml:space="preserve"> </w:t>
      </w:r>
      <w:hyperlink r:id="rId15" w:history="1">
        <w:r w:rsidRPr="007962EB">
          <w:rPr>
            <w:rStyle w:val="Hyperlink"/>
          </w:rPr>
          <w:t>https://doi.org/10.3390/world6020075</w:t>
        </w:r>
      </w:hyperlink>
      <w:r>
        <w:t xml:space="preserve"> </w:t>
      </w:r>
    </w:p>
    <w:p w14:paraId="2F204BB7" w14:textId="45C3EFDC" w:rsidR="00113250" w:rsidRPr="00113250" w:rsidRDefault="00113250" w:rsidP="00113250">
      <w:r w:rsidRPr="00113250">
        <w:t xml:space="preserve">Corvellec, H., Stowell, A.F. and Johansson, N. (2021). Critiques of the circular economy. </w:t>
      </w:r>
      <w:r w:rsidRPr="00113250">
        <w:rPr>
          <w:i/>
          <w:iCs/>
        </w:rPr>
        <w:t>Journal of Industrial Ecology</w:t>
      </w:r>
      <w:r w:rsidRPr="00113250">
        <w:t>, [online] 26(2), pp.421–432. doi:</w:t>
      </w:r>
      <w:r>
        <w:t xml:space="preserve"> </w:t>
      </w:r>
      <w:hyperlink r:id="rId16" w:history="1">
        <w:r w:rsidRPr="007962EB">
          <w:rPr>
            <w:rStyle w:val="Hyperlink"/>
          </w:rPr>
          <w:t>https://doi.org/10.1111/jiec.13187</w:t>
        </w:r>
      </w:hyperlink>
      <w:r>
        <w:t xml:space="preserve"> </w:t>
      </w:r>
    </w:p>
    <w:p w14:paraId="05056B9F" w14:textId="1D12C4BA" w:rsidR="00113250" w:rsidRPr="00113250" w:rsidRDefault="00113250" w:rsidP="00113250">
      <w:r w:rsidRPr="00113250">
        <w:t xml:space="preserve">de Bruin, L. (2016). </w:t>
      </w:r>
      <w:r w:rsidRPr="00113250">
        <w:rPr>
          <w:i/>
          <w:iCs/>
        </w:rPr>
        <w:t>Scanning the environment: PESTEL analysis</w:t>
      </w:r>
      <w:r w:rsidRPr="00113250">
        <w:t xml:space="preserve">. [online] B2U - Business-to-you. Available at: </w:t>
      </w:r>
      <w:hyperlink r:id="rId17" w:history="1">
        <w:r w:rsidRPr="007962EB">
          <w:rPr>
            <w:rStyle w:val="Hyperlink"/>
          </w:rPr>
          <w:t>https://www.business-to-you.com/scanning-the-environment-pestel-analysis/</w:t>
        </w:r>
      </w:hyperlink>
      <w:r>
        <w:t xml:space="preserve"> </w:t>
      </w:r>
    </w:p>
    <w:p w14:paraId="3BFE78D2" w14:textId="77777777" w:rsidR="00113250" w:rsidRPr="00113250" w:rsidRDefault="00113250" w:rsidP="00113250">
      <w:r w:rsidRPr="00113250">
        <w:t xml:space="preserve">Grand View Research (2024). </w:t>
      </w:r>
      <w:r w:rsidRPr="00113250">
        <w:rPr>
          <w:i/>
          <w:iCs/>
        </w:rPr>
        <w:t>Wearable Technology Market Size | Industry Report, 2020-2027</w:t>
      </w:r>
      <w:r w:rsidRPr="00113250">
        <w:t>. [online] Grand View Research. Available at: https://www.grandviewresearch.com/industry-analysis/wearable-technology-market.</w:t>
      </w:r>
    </w:p>
    <w:p w14:paraId="2C6DE3C3" w14:textId="1AB274FA" w:rsidR="00113250" w:rsidRPr="00113250" w:rsidRDefault="00113250" w:rsidP="00113250">
      <w:r w:rsidRPr="00113250">
        <w:t xml:space="preserve">Hardy, E. (2021). </w:t>
      </w:r>
      <w:r w:rsidRPr="00113250">
        <w:rPr>
          <w:i/>
          <w:iCs/>
        </w:rPr>
        <w:t>The Smartphone Market</w:t>
      </w:r>
      <w:r w:rsidRPr="00113250">
        <w:t xml:space="preserve">. [online] www.theseus.fi. Available at: </w:t>
      </w:r>
      <w:hyperlink r:id="rId18" w:history="1">
        <w:r w:rsidRPr="007962EB">
          <w:rPr>
            <w:rStyle w:val="Hyperlink"/>
          </w:rPr>
          <w:t>https://www.theseus.fi/handle/10024/504045</w:t>
        </w:r>
      </w:hyperlink>
      <w:r>
        <w:t xml:space="preserve"> </w:t>
      </w:r>
    </w:p>
    <w:p w14:paraId="0EC770A8" w14:textId="1C0FC881" w:rsidR="00113250" w:rsidRPr="00113250" w:rsidRDefault="00113250" w:rsidP="00113250">
      <w:r w:rsidRPr="00113250">
        <w:t xml:space="preserve">He, S. and Sun, S. (2021). A Study of Brand Communication Strategies of Xiaomi. </w:t>
      </w:r>
      <w:r w:rsidRPr="00113250">
        <w:rPr>
          <w:i/>
          <w:iCs/>
        </w:rPr>
        <w:t>Proceedings of the 2021 3rd International Conference on Economic Management and Cultural Industry (ICEMCI 2021)</w:t>
      </w:r>
      <w:r w:rsidRPr="00113250">
        <w:t>, 203. doi:</w:t>
      </w:r>
      <w:r>
        <w:t xml:space="preserve"> </w:t>
      </w:r>
      <w:hyperlink r:id="rId19" w:history="1">
        <w:r w:rsidRPr="007962EB">
          <w:rPr>
            <w:rStyle w:val="Hyperlink"/>
          </w:rPr>
          <w:t>https://doi.org/10.2991/assehr.k.211209.081</w:t>
        </w:r>
      </w:hyperlink>
      <w:r>
        <w:t xml:space="preserve"> </w:t>
      </w:r>
    </w:p>
    <w:p w14:paraId="14399515" w14:textId="2AA1AC13" w:rsidR="00113250" w:rsidRPr="00113250" w:rsidRDefault="00113250" w:rsidP="00113250">
      <w:r w:rsidRPr="00113250">
        <w:t xml:space="preserve">Higson, A. (2021). NETFLIX – THE CURATION OF TASTE AND THE BUSINESS OF DIVERSIFICATION. </w:t>
      </w:r>
      <w:r w:rsidRPr="00113250">
        <w:rPr>
          <w:i/>
          <w:iCs/>
        </w:rPr>
        <w:t>Studia Humanistyczne AGH</w:t>
      </w:r>
      <w:r w:rsidRPr="00113250">
        <w:t xml:space="preserve">, [online] 20(4), pp.7–25. Available at: </w:t>
      </w:r>
      <w:hyperlink r:id="rId20" w:history="1">
        <w:r w:rsidRPr="007962EB">
          <w:rPr>
            <w:rStyle w:val="Hyperlink"/>
          </w:rPr>
          <w:t>https://www.ceeol.com/search/article-detail?id=1011538</w:t>
        </w:r>
      </w:hyperlink>
      <w:r>
        <w:t xml:space="preserve"> </w:t>
      </w:r>
    </w:p>
    <w:p w14:paraId="0018F504" w14:textId="77777777" w:rsidR="00113250" w:rsidRDefault="00113250" w:rsidP="00113250">
      <w:r w:rsidRPr="0095312A">
        <w:t>Johnson, G., Whittington, R., Scholes, K., Angwin, D., &amp; Regnér, P. (2017) </w:t>
      </w:r>
      <w:r w:rsidRPr="00113250">
        <w:rPr>
          <w:i/>
          <w:iCs/>
        </w:rPr>
        <w:t>Exploring strategy : text and cases</w:t>
      </w:r>
      <w:r w:rsidRPr="0095312A">
        <w:t>. Eleventh edition. Harlow: Pearson Education Limited.</w:t>
      </w:r>
    </w:p>
    <w:p w14:paraId="587C3846" w14:textId="49958A6F" w:rsidR="00113250" w:rsidRPr="00113250" w:rsidRDefault="00113250" w:rsidP="00113250">
      <w:r w:rsidRPr="00113250">
        <w:t xml:space="preserve">KannamwaᵲS. (2023). </w:t>
      </w:r>
      <w:r w:rsidRPr="00113250">
        <w:rPr>
          <w:i/>
          <w:iCs/>
        </w:rPr>
        <w:t>Building Brand Architecture Report: Apple VS One Plus Introduction: This report aims to compare the brand architecture of two well-known technology companies, Apple and OnePlus. Both companies operate in the smartphone industry but have different branding approaches.</w:t>
      </w:r>
      <w:r w:rsidRPr="00113250">
        <w:t xml:space="preserve"> [online] Linkedin.com. </w:t>
      </w:r>
      <w:r w:rsidRPr="00113250">
        <w:lastRenderedPageBreak/>
        <w:t xml:space="preserve">Available at: </w:t>
      </w:r>
      <w:hyperlink r:id="rId21" w:history="1">
        <w:r w:rsidRPr="007962EB">
          <w:rPr>
            <w:rStyle w:val="Hyperlink"/>
          </w:rPr>
          <w:t>https://www.linkedin.com/pulse/building-brand-architecture-report-apple-vs-one-plus-kannamwa%E1%B5%B2</w:t>
        </w:r>
      </w:hyperlink>
      <w:r>
        <w:t xml:space="preserve"> </w:t>
      </w:r>
      <w:r w:rsidRPr="00113250">
        <w:t>[Accessed 19 Nov. 2025].</w:t>
      </w:r>
    </w:p>
    <w:p w14:paraId="3087BA83" w14:textId="77777777" w:rsidR="00113250" w:rsidRDefault="00113250" w:rsidP="00113250">
      <w:r w:rsidRPr="009F292B">
        <w:t>Kotler, P., Armstrong, G., Harris, L. and Piercy, N. (2020) Principles of marketing. 8th European edn. Harlow: Pearson.</w:t>
      </w:r>
    </w:p>
    <w:p w14:paraId="620AF5F9" w14:textId="31EE58D2" w:rsidR="00113250" w:rsidRPr="00113250" w:rsidRDefault="00113250" w:rsidP="00113250">
      <w:r w:rsidRPr="00113250">
        <w:t xml:space="preserve">Olumide Emmanuel Ibikunle, Usuemerai, P.A., Abass, L.A., Alemede, V. and Akachukwu Obianuju Mbata (2024). Artificial intelligence in healthcare forecasting: Enhancing market strategy with predictive analytics. </w:t>
      </w:r>
      <w:r w:rsidRPr="00113250">
        <w:rPr>
          <w:i/>
          <w:iCs/>
        </w:rPr>
        <w:t>International Journal of Applied Research in Social Sciences</w:t>
      </w:r>
      <w:r w:rsidRPr="00113250">
        <w:t>, [online] 6(10), pp.2409–2446. doi:</w:t>
      </w:r>
      <w:r>
        <w:t xml:space="preserve"> </w:t>
      </w:r>
      <w:hyperlink r:id="rId22" w:history="1">
        <w:r w:rsidRPr="007962EB">
          <w:rPr>
            <w:rStyle w:val="Hyperlink"/>
          </w:rPr>
          <w:t>https://doi.org/10.51594/ijarss.v6i10.1640</w:t>
        </w:r>
      </w:hyperlink>
      <w:r>
        <w:t xml:space="preserve"> </w:t>
      </w:r>
    </w:p>
    <w:p w14:paraId="598B4F1C" w14:textId="77777777" w:rsidR="00113250" w:rsidRPr="00113250" w:rsidRDefault="00113250" w:rsidP="00113250">
      <w:r w:rsidRPr="00113250">
        <w:t xml:space="preserve">OnePlus. (2024). </w:t>
      </w:r>
      <w:r w:rsidRPr="00113250">
        <w:rPr>
          <w:i/>
          <w:iCs/>
        </w:rPr>
        <w:t>OnePlus</w:t>
      </w:r>
      <w:r w:rsidRPr="00113250">
        <w:t>. [online] Available at: https://www.oneplus.com/bd [Accessed 20 Nov. 2025].</w:t>
      </w:r>
    </w:p>
    <w:p w14:paraId="5066D676" w14:textId="77777777" w:rsidR="00113250" w:rsidRPr="00113250" w:rsidRDefault="00113250" w:rsidP="00113250">
      <w:pPr>
        <w:rPr>
          <w:rFonts w:cs="Arial"/>
        </w:rPr>
      </w:pPr>
      <w:r w:rsidRPr="00113250">
        <w:rPr>
          <w:rFonts w:cs="Arial"/>
        </w:rPr>
        <w:t>Porter, M.E. (1980) </w:t>
      </w:r>
      <w:r w:rsidRPr="00113250">
        <w:rPr>
          <w:rFonts w:cs="Arial"/>
          <w:i/>
          <w:iCs/>
        </w:rPr>
        <w:t>Competitive Strategy: Techniques for Analyzing Industries and Competitors</w:t>
      </w:r>
      <w:r w:rsidRPr="00113250">
        <w:rPr>
          <w:rFonts w:cs="Arial"/>
        </w:rPr>
        <w:t>. New York: The Free Press. </w:t>
      </w:r>
    </w:p>
    <w:p w14:paraId="143E5F49" w14:textId="6298F533" w:rsidR="00113250" w:rsidRPr="00113250" w:rsidRDefault="00113250" w:rsidP="00113250">
      <w:r w:rsidRPr="00113250">
        <w:t xml:space="preserve">Shahabuddin, M., Uddin, M.N., Chowdhury, J.I., Ahmed, S.F., Uddin, M.N., Mofijur, M. and Uddin, M.A. (2022). A review of the recent development, challenges, and opportunities of electronic waste (e-waste). </w:t>
      </w:r>
      <w:r w:rsidRPr="00113250">
        <w:rPr>
          <w:i/>
          <w:iCs/>
        </w:rPr>
        <w:t>International Journal of Environmental Science and Technology</w:t>
      </w:r>
      <w:r w:rsidRPr="00113250">
        <w:t>, 20. doi:</w:t>
      </w:r>
      <w:r>
        <w:t xml:space="preserve"> </w:t>
      </w:r>
      <w:hyperlink r:id="rId23" w:history="1">
        <w:r w:rsidRPr="007962EB">
          <w:rPr>
            <w:rStyle w:val="Hyperlink"/>
          </w:rPr>
          <w:t>https://doi.org/10.1007/s13762-022-04274-w</w:t>
        </w:r>
      </w:hyperlink>
      <w:r>
        <w:t xml:space="preserve"> </w:t>
      </w:r>
    </w:p>
    <w:p w14:paraId="37DA3502" w14:textId="77777777" w:rsidR="00113250" w:rsidRPr="00113250" w:rsidRDefault="00113250" w:rsidP="00113250">
      <w:pPr>
        <w:rPr>
          <w:rFonts w:cs="Arial"/>
        </w:rPr>
      </w:pPr>
      <w:r w:rsidRPr="00113250">
        <w:rPr>
          <w:rFonts w:cs="Arial"/>
        </w:rPr>
        <w:t>Tikhonov, A. and Zelentsova, L., (2021). Analysis of External and Internal Factors of Business Competitiveness. </w:t>
      </w:r>
      <w:r w:rsidRPr="00113250">
        <w:rPr>
          <w:rFonts w:cs="Arial"/>
          <w:i/>
          <w:iCs/>
        </w:rPr>
        <w:t>Quality-Access to Success</w:t>
      </w:r>
      <w:r w:rsidRPr="00113250">
        <w:rPr>
          <w:rFonts w:cs="Arial"/>
        </w:rPr>
        <w:t>, </w:t>
      </w:r>
      <w:r w:rsidRPr="00113250">
        <w:rPr>
          <w:rFonts w:cs="Arial"/>
          <w:i/>
          <w:iCs/>
        </w:rPr>
        <w:t>22</w:t>
      </w:r>
      <w:r w:rsidRPr="00113250">
        <w:rPr>
          <w:rFonts w:cs="Arial"/>
        </w:rPr>
        <w:t>(182).</w:t>
      </w:r>
    </w:p>
    <w:p w14:paraId="49305E20" w14:textId="00250D05" w:rsidR="00113250" w:rsidRPr="00113250" w:rsidRDefault="00113250" w:rsidP="00113250">
      <w:r w:rsidRPr="00113250">
        <w:t xml:space="preserve">UNITAR (2024). </w:t>
      </w:r>
      <w:r w:rsidRPr="00113250">
        <w:rPr>
          <w:i/>
          <w:iCs/>
        </w:rPr>
        <w:t>The global E-waste Monitor 2024 – Electronic Waste Rising Five Times Faster than Documented E-waste Recycling: UN</w:t>
      </w:r>
      <w:r w:rsidRPr="00113250">
        <w:t xml:space="preserve">. [online] E-Waste Monitor. Available at: </w:t>
      </w:r>
      <w:hyperlink r:id="rId24" w:history="1">
        <w:r w:rsidRPr="007962EB">
          <w:rPr>
            <w:rStyle w:val="Hyperlink"/>
          </w:rPr>
          <w:t>https://ewastemonitor.info/the-global-e-waste-monitor-2024/</w:t>
        </w:r>
      </w:hyperlink>
      <w:r>
        <w:t xml:space="preserve"> </w:t>
      </w:r>
    </w:p>
    <w:sectPr w:rsidR="00113250" w:rsidRPr="00113250">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AAE783" w14:textId="77777777" w:rsidR="00BE0218" w:rsidRDefault="00BE0218" w:rsidP="0064432E">
      <w:pPr>
        <w:spacing w:line="240" w:lineRule="auto"/>
      </w:pPr>
      <w:r>
        <w:separator/>
      </w:r>
    </w:p>
  </w:endnote>
  <w:endnote w:type="continuationSeparator" w:id="0">
    <w:p w14:paraId="3464D5F2" w14:textId="77777777" w:rsidR="00BE0218" w:rsidRDefault="00BE0218" w:rsidP="006443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512270"/>
      <w:docPartObj>
        <w:docPartGallery w:val="Page Numbers (Bottom of Page)"/>
        <w:docPartUnique/>
      </w:docPartObj>
    </w:sdtPr>
    <w:sdtEndPr>
      <w:rPr>
        <w:noProof/>
      </w:rPr>
    </w:sdtEndPr>
    <w:sdtContent>
      <w:p w14:paraId="43E4B9CC" w14:textId="6540E006" w:rsidR="0064432E" w:rsidRDefault="006443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5DC4C2" w14:textId="77777777" w:rsidR="0064432E" w:rsidRDefault="006443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779EA4" w14:textId="77777777" w:rsidR="00BE0218" w:rsidRDefault="00BE0218" w:rsidP="0064432E">
      <w:pPr>
        <w:spacing w:line="240" w:lineRule="auto"/>
      </w:pPr>
      <w:r>
        <w:separator/>
      </w:r>
    </w:p>
  </w:footnote>
  <w:footnote w:type="continuationSeparator" w:id="0">
    <w:p w14:paraId="19D011F4" w14:textId="77777777" w:rsidR="00BE0218" w:rsidRDefault="00BE0218" w:rsidP="0064432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9048FA"/>
    <w:multiLevelType w:val="hybridMultilevel"/>
    <w:tmpl w:val="59E86D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0D5432"/>
    <w:multiLevelType w:val="hybridMultilevel"/>
    <w:tmpl w:val="ACE41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1478A6"/>
    <w:multiLevelType w:val="multilevel"/>
    <w:tmpl w:val="B3B4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810ACD"/>
    <w:multiLevelType w:val="multilevel"/>
    <w:tmpl w:val="FAB4799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CBD61F9"/>
    <w:multiLevelType w:val="hybridMultilevel"/>
    <w:tmpl w:val="8DC08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791B14"/>
    <w:multiLevelType w:val="multilevel"/>
    <w:tmpl w:val="E376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43E2097"/>
    <w:multiLevelType w:val="hybridMultilevel"/>
    <w:tmpl w:val="0BB2F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57441A6"/>
    <w:multiLevelType w:val="hybridMultilevel"/>
    <w:tmpl w:val="A246E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8D43243"/>
    <w:multiLevelType w:val="hybridMultilevel"/>
    <w:tmpl w:val="E9B43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2534892">
    <w:abstractNumId w:val="9"/>
  </w:num>
  <w:num w:numId="2" w16cid:durableId="305740762">
    <w:abstractNumId w:val="13"/>
  </w:num>
  <w:num w:numId="3" w16cid:durableId="340469647">
    <w:abstractNumId w:val="26"/>
  </w:num>
  <w:num w:numId="4" w16cid:durableId="369765417">
    <w:abstractNumId w:val="27"/>
  </w:num>
  <w:num w:numId="5" w16cid:durableId="1905220299">
    <w:abstractNumId w:val="28"/>
  </w:num>
  <w:num w:numId="6" w16cid:durableId="641236371">
    <w:abstractNumId w:val="15"/>
  </w:num>
  <w:num w:numId="7" w16cid:durableId="2078243004">
    <w:abstractNumId w:val="0"/>
  </w:num>
  <w:num w:numId="8" w16cid:durableId="1499034619">
    <w:abstractNumId w:val="20"/>
  </w:num>
  <w:num w:numId="9" w16cid:durableId="1511682711">
    <w:abstractNumId w:val="31"/>
  </w:num>
  <w:num w:numId="10" w16cid:durableId="1701517362">
    <w:abstractNumId w:val="29"/>
  </w:num>
  <w:num w:numId="11" w16cid:durableId="171262574">
    <w:abstractNumId w:val="3"/>
  </w:num>
  <w:num w:numId="12" w16cid:durableId="946959604">
    <w:abstractNumId w:val="23"/>
  </w:num>
  <w:num w:numId="13" w16cid:durableId="89785984">
    <w:abstractNumId w:val="21"/>
  </w:num>
  <w:num w:numId="14" w16cid:durableId="917716676">
    <w:abstractNumId w:val="1"/>
  </w:num>
  <w:num w:numId="15" w16cid:durableId="474874628">
    <w:abstractNumId w:val="33"/>
  </w:num>
  <w:num w:numId="16" w16cid:durableId="1937977538">
    <w:abstractNumId w:val="17"/>
  </w:num>
  <w:num w:numId="17" w16cid:durableId="1408335038">
    <w:abstractNumId w:val="14"/>
  </w:num>
  <w:num w:numId="18" w16cid:durableId="1062873163">
    <w:abstractNumId w:val="24"/>
  </w:num>
  <w:num w:numId="19" w16cid:durableId="319164057">
    <w:abstractNumId w:val="7"/>
  </w:num>
  <w:num w:numId="20" w16cid:durableId="645863638">
    <w:abstractNumId w:val="25"/>
  </w:num>
  <w:num w:numId="21" w16cid:durableId="886332978">
    <w:abstractNumId w:val="12"/>
  </w:num>
  <w:num w:numId="22" w16cid:durableId="49232507">
    <w:abstractNumId w:val="11"/>
  </w:num>
  <w:num w:numId="23" w16cid:durableId="825516481">
    <w:abstractNumId w:val="8"/>
  </w:num>
  <w:num w:numId="24" w16cid:durableId="1631284566">
    <w:abstractNumId w:val="10"/>
  </w:num>
  <w:num w:numId="25" w16cid:durableId="2120174669">
    <w:abstractNumId w:val="2"/>
  </w:num>
  <w:num w:numId="26" w16cid:durableId="69161538">
    <w:abstractNumId w:val="18"/>
  </w:num>
  <w:num w:numId="27" w16cid:durableId="1615675661">
    <w:abstractNumId w:val="6"/>
  </w:num>
  <w:num w:numId="28" w16cid:durableId="2040888297">
    <w:abstractNumId w:val="19"/>
  </w:num>
  <w:num w:numId="29" w16cid:durableId="78714692">
    <w:abstractNumId w:val="4"/>
  </w:num>
  <w:num w:numId="30" w16cid:durableId="2060860212">
    <w:abstractNumId w:val="32"/>
  </w:num>
  <w:num w:numId="31" w16cid:durableId="1467046301">
    <w:abstractNumId w:val="5"/>
  </w:num>
  <w:num w:numId="32" w16cid:durableId="50201226">
    <w:abstractNumId w:val="22"/>
  </w:num>
  <w:num w:numId="33" w16cid:durableId="832377074">
    <w:abstractNumId w:val="16"/>
  </w:num>
  <w:num w:numId="34" w16cid:durableId="124186927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0603E"/>
    <w:rsid w:val="00041035"/>
    <w:rsid w:val="00054341"/>
    <w:rsid w:val="001003E8"/>
    <w:rsid w:val="00113250"/>
    <w:rsid w:val="00136289"/>
    <w:rsid w:val="001F0D3B"/>
    <w:rsid w:val="00325A3E"/>
    <w:rsid w:val="00466424"/>
    <w:rsid w:val="004F2663"/>
    <w:rsid w:val="00534B45"/>
    <w:rsid w:val="00573DE8"/>
    <w:rsid w:val="005A570C"/>
    <w:rsid w:val="00617CF1"/>
    <w:rsid w:val="00624D4D"/>
    <w:rsid w:val="0064432E"/>
    <w:rsid w:val="00646406"/>
    <w:rsid w:val="00675F02"/>
    <w:rsid w:val="0073681E"/>
    <w:rsid w:val="00866483"/>
    <w:rsid w:val="008B36AD"/>
    <w:rsid w:val="008F77A4"/>
    <w:rsid w:val="009E58AF"/>
    <w:rsid w:val="00A0394A"/>
    <w:rsid w:val="00AD5A29"/>
    <w:rsid w:val="00B4572A"/>
    <w:rsid w:val="00BE0218"/>
    <w:rsid w:val="00BE56E4"/>
    <w:rsid w:val="00C20549"/>
    <w:rsid w:val="00C57D61"/>
    <w:rsid w:val="00CB01F0"/>
    <w:rsid w:val="00DE5D5B"/>
    <w:rsid w:val="00EC6978"/>
    <w:rsid w:val="00F924AA"/>
    <w:rsid w:val="00FD12B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603E"/>
    <w:pPr>
      <w:spacing w:line="360" w:lineRule="auto"/>
      <w:jc w:val="both"/>
    </w:pPr>
    <w:rPr>
      <w:rFonts w:ascii="Arial" w:hAnsi="Arial"/>
    </w:rPr>
  </w:style>
  <w:style w:type="paragraph" w:styleId="Heading1">
    <w:name w:val="heading 1"/>
    <w:basedOn w:val="Normal"/>
    <w:next w:val="Normal"/>
    <w:link w:val="Heading1Char"/>
    <w:uiPriority w:val="9"/>
    <w:qFormat/>
    <w:rsid w:val="0064432E"/>
    <w:pPr>
      <w:keepNext/>
      <w:keepLines/>
      <w:spacing w:before="360" w:after="80"/>
      <w:jc w:val="center"/>
      <w:outlineLvl w:val="0"/>
    </w:pPr>
    <w:rPr>
      <w:rFonts w:eastAsiaTheme="majorEastAsia" w:cstheme="majorBidi"/>
      <w:b/>
      <w:color w:val="77206D" w:themeColor="accent5" w:themeShade="BF"/>
      <w:sz w:val="32"/>
      <w:szCs w:val="40"/>
    </w:rPr>
  </w:style>
  <w:style w:type="paragraph" w:styleId="Heading2">
    <w:name w:val="heading 2"/>
    <w:basedOn w:val="Normal"/>
    <w:next w:val="Normal"/>
    <w:link w:val="Heading2Char"/>
    <w:uiPriority w:val="9"/>
    <w:unhideWhenUsed/>
    <w:qFormat/>
    <w:rsid w:val="00866483"/>
    <w:pPr>
      <w:keepNext/>
      <w:keepLines/>
      <w:spacing w:before="160" w:after="80"/>
      <w:outlineLvl w:val="1"/>
    </w:pPr>
    <w:rPr>
      <w:rFonts w:eastAsiaTheme="majorEastAsia" w:cstheme="majorBidi"/>
      <w:b/>
      <w:color w:val="0F4761" w:themeColor="accent1" w:themeShade="BF"/>
      <w:sz w:val="28"/>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432E"/>
    <w:rPr>
      <w:rFonts w:ascii="Arial" w:eastAsiaTheme="majorEastAsia" w:hAnsi="Arial" w:cstheme="majorBidi"/>
      <w:b/>
      <w:color w:val="77206D" w:themeColor="accent5" w:themeShade="BF"/>
      <w:sz w:val="32"/>
      <w:szCs w:val="40"/>
    </w:rPr>
  </w:style>
  <w:style w:type="character" w:customStyle="1" w:styleId="Heading2Char">
    <w:name w:val="Heading 2 Char"/>
    <w:basedOn w:val="DefaultParagraphFont"/>
    <w:link w:val="Heading2"/>
    <w:uiPriority w:val="9"/>
    <w:rsid w:val="00866483"/>
    <w:rPr>
      <w:rFonts w:ascii="Arial" w:eastAsiaTheme="majorEastAsia" w:hAnsi="Arial" w:cstheme="majorBidi"/>
      <w:b/>
      <w:color w:val="0F4761" w:themeColor="accent1" w:themeShade="BF"/>
      <w:sz w:val="28"/>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val="0"/>
      <w:bCs/>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semiHidden/>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paragraph" w:styleId="Caption">
    <w:name w:val="caption"/>
    <w:basedOn w:val="Normal"/>
    <w:next w:val="Normal"/>
    <w:uiPriority w:val="35"/>
    <w:unhideWhenUsed/>
    <w:qFormat/>
    <w:rsid w:val="00A0394A"/>
    <w:pPr>
      <w:spacing w:after="200" w:line="240" w:lineRule="auto"/>
    </w:pPr>
    <w:rPr>
      <w:i/>
      <w:iCs/>
      <w:color w:val="0E2841" w:themeColor="text2"/>
      <w:sz w:val="18"/>
      <w:szCs w:val="18"/>
    </w:rPr>
  </w:style>
  <w:style w:type="table" w:styleId="PlainTable1">
    <w:name w:val="Plain Table 1"/>
    <w:basedOn w:val="TableNormal"/>
    <w:uiPriority w:val="41"/>
    <w:rsid w:val="00B4572A"/>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64432E"/>
    <w:pPr>
      <w:tabs>
        <w:tab w:val="center" w:pos="4513"/>
        <w:tab w:val="right" w:pos="9026"/>
      </w:tabs>
      <w:spacing w:line="240" w:lineRule="auto"/>
    </w:pPr>
  </w:style>
  <w:style w:type="character" w:customStyle="1" w:styleId="HeaderChar">
    <w:name w:val="Header Char"/>
    <w:basedOn w:val="DefaultParagraphFont"/>
    <w:link w:val="Header"/>
    <w:uiPriority w:val="99"/>
    <w:rsid w:val="0064432E"/>
    <w:rPr>
      <w:rFonts w:ascii="Arial" w:hAnsi="Arial"/>
    </w:rPr>
  </w:style>
  <w:style w:type="paragraph" w:styleId="Footer">
    <w:name w:val="footer"/>
    <w:basedOn w:val="Normal"/>
    <w:link w:val="FooterChar"/>
    <w:uiPriority w:val="99"/>
    <w:unhideWhenUsed/>
    <w:rsid w:val="0064432E"/>
    <w:pPr>
      <w:tabs>
        <w:tab w:val="center" w:pos="4513"/>
        <w:tab w:val="right" w:pos="9026"/>
      </w:tabs>
      <w:spacing w:line="240" w:lineRule="auto"/>
    </w:pPr>
  </w:style>
  <w:style w:type="character" w:customStyle="1" w:styleId="FooterChar">
    <w:name w:val="Footer Char"/>
    <w:basedOn w:val="DefaultParagraphFont"/>
    <w:link w:val="Footer"/>
    <w:uiPriority w:val="99"/>
    <w:rsid w:val="0064432E"/>
    <w:rPr>
      <w:rFonts w:ascii="Arial" w:hAnsi="Arial"/>
    </w:rPr>
  </w:style>
  <w:style w:type="character" w:styleId="UnresolvedMention">
    <w:name w:val="Unresolved Mention"/>
    <w:basedOn w:val="DefaultParagraphFont"/>
    <w:uiPriority w:val="99"/>
    <w:semiHidden/>
    <w:unhideWhenUsed/>
    <w:rsid w:val="001132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theseus.fi/handle/10024/504045"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linkedin.com/pulse/building-brand-architecture-report-apple-vs-one-plus-kannamwa%E1%B5%B2"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usiness-to-you.com/scanning-the-environment-pestel-analysi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111/jiec.13187" TargetMode="External"/><Relationship Id="rId20" Type="http://schemas.openxmlformats.org/officeDocument/2006/relationships/hyperlink" Target="https://www.ceeol.com/search/article-detail?id=101153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wastemonitor.info/the-global-e-waste-monitor-2024/" TargetMode="External"/><Relationship Id="rId5" Type="http://schemas.openxmlformats.org/officeDocument/2006/relationships/webSettings" Target="webSettings.xml"/><Relationship Id="rId15" Type="http://schemas.openxmlformats.org/officeDocument/2006/relationships/hyperlink" Target="https://doi.org/10.3390/world6020075" TargetMode="External"/><Relationship Id="rId23" Type="http://schemas.openxmlformats.org/officeDocument/2006/relationships/hyperlink" Target="https://doi.org/10.1007/s13762-022-04274-w" TargetMode="External"/><Relationship Id="rId10" Type="http://schemas.openxmlformats.org/officeDocument/2006/relationships/image" Target="media/image3.png"/><Relationship Id="rId19" Type="http://schemas.openxmlformats.org/officeDocument/2006/relationships/hyperlink" Target="https://doi.org/10.2991/assehr.k.211209.08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pple.com/am/watch/" TargetMode="External"/><Relationship Id="rId22" Type="http://schemas.openxmlformats.org/officeDocument/2006/relationships/hyperlink" Target="https://doi.org/10.51594/ijarss.v6i10.164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243</TotalTime>
  <Pages>16</Pages>
  <Words>3510</Words>
  <Characters>21030</Characters>
  <Application>Microsoft Office Word</Application>
  <DocSecurity>0</DocSecurity>
  <Lines>553</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Zarin Tashnim</cp:lastModifiedBy>
  <cp:revision>19</cp:revision>
  <dcterms:created xsi:type="dcterms:W3CDTF">2025-11-19T15:19:00Z</dcterms:created>
  <dcterms:modified xsi:type="dcterms:W3CDTF">2025-11-20T17:51:00Z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e6037680-98b7-475e-ac1f-ef864d4a8d76</vt:lpwstr>
  </property>
</Properties>
</file>