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rPr>
      </w:pPr>
      <w:r>
        <w:rPr>
          <w:sz w:val="28"/>
        </w:rPr>
        <mc:AlternateContent>
          <mc:Choice Requires="wps">
            <w:drawing>
              <wp:anchor distT="0" distB="0" distL="114300" distR="114300" simplePos="0" relativeHeight="251662336" behindDoc="0" locked="0" layoutInCell="1" allowOverlap="1">
                <wp:simplePos x="0" y="0"/>
                <wp:positionH relativeFrom="column">
                  <wp:posOffset>312420</wp:posOffset>
                </wp:positionH>
                <wp:positionV relativeFrom="paragraph">
                  <wp:posOffset>438150</wp:posOffset>
                </wp:positionV>
                <wp:extent cx="5559425" cy="6299835"/>
                <wp:effectExtent l="5080" t="4445" r="10795" b="7620"/>
                <wp:wrapSquare wrapText="bothSides"/>
                <wp:docPr id="5" name="文本框 5"/>
                <wp:cNvGraphicFramePr/>
                <a:graphic xmlns:a="http://schemas.openxmlformats.org/drawingml/2006/main">
                  <a:graphicData uri="http://schemas.microsoft.com/office/word/2010/wordprocessingShape">
                    <wps:wsp>
                      <wps:cNvSpPr txBox="1"/>
                      <wps:spPr>
                        <a:xfrm>
                          <a:off x="0" y="0"/>
                          <a:ext cx="5559425" cy="6299835"/>
                        </a:xfrm>
                        <a:prstGeom prst="rect">
                          <a:avLst/>
                        </a:prstGeom>
                        <a:solidFill>
                          <a:schemeClr val="accent2">
                            <a:lumMod val="20000"/>
                            <a:lumOff val="80000"/>
                          </a:schemeClr>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b/>
                                <w:sz w:val="72"/>
                                <w:szCs w:val="72"/>
                              </w:rPr>
                            </w:pPr>
                            <w:r>
                              <w:rPr>
                                <w:b/>
                                <w:sz w:val="72"/>
                                <w:szCs w:val="72"/>
                              </w:rPr>
                              <w:t xml:space="preserve">Reflective Analysis of International Business Communication: </w:t>
                            </w:r>
                            <w:r>
                              <w:rPr>
                                <w:rFonts w:hint="eastAsia"/>
                                <w:b/>
                                <w:sz w:val="72"/>
                                <w:szCs w:val="72"/>
                                <w:lang w:val="en-US" w:eastAsia="zh-CN"/>
                              </w:rPr>
                              <w:t xml:space="preserve"> </w:t>
                            </w:r>
                            <w:r>
                              <w:rPr>
                                <w:b/>
                                <w:sz w:val="72"/>
                                <w:szCs w:val="72"/>
                              </w:rPr>
                              <w:t>Challenges and Strategies in British Companies' Engagement with Japan</w:t>
                            </w:r>
                          </w:p>
                          <w:p>
                            <w:pPr>
                              <w:widowControl/>
                              <w:spacing w:line="360" w:lineRule="auto"/>
                              <w:rPr>
                                <w:rFonts w:ascii="Arial" w:hAnsi="Arial" w:cs="Arial"/>
                                <w:kern w:val="36"/>
                                <w:sz w:val="72"/>
                                <w:szCs w:val="72"/>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4.6pt;margin-top:34.5pt;height:496.05pt;width:437.75pt;mso-wrap-distance-bottom:0pt;mso-wrap-distance-left:9pt;mso-wrap-distance-right:9pt;mso-wrap-distance-top:0pt;z-index:251662336;mso-width-relative:page;mso-height-relative:page;" fillcolor="#FBE5D6 [661]" filled="t" stroked="t" coordsize="21600,21600" o:gfxdata="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">
                <v:fill on="t" focussize="0,0"/>
                <v:stroke weight="0.5pt" color="#000000 [3204]" joinstyle="round"/>
                <v:imagedata o:title=""/>
                <o:lock v:ext="edit" aspectratio="f"/>
                <v:textbox>
                  <w:txbxContent>
                    <w:p>
                      <w:pPr>
                        <w:jc w:val="center"/>
                        <w:rPr>
                          <w:b/>
                          <w:sz w:val="72"/>
                          <w:szCs w:val="72"/>
                        </w:rPr>
                      </w:pPr>
                      <w:r>
                        <w:rPr>
                          <w:b/>
                          <w:sz w:val="72"/>
                          <w:szCs w:val="72"/>
                        </w:rPr>
                        <w:t xml:space="preserve">Reflective Analysis of International Business Communication: </w:t>
                      </w:r>
                      <w:r>
                        <w:rPr>
                          <w:rFonts w:hint="eastAsia"/>
                          <w:b/>
                          <w:sz w:val="72"/>
                          <w:szCs w:val="72"/>
                          <w:lang w:val="en-US" w:eastAsia="zh-CN"/>
                        </w:rPr>
                        <w:t xml:space="preserve"> </w:t>
                      </w:r>
                      <w:r>
                        <w:rPr>
                          <w:b/>
                          <w:sz w:val="72"/>
                          <w:szCs w:val="72"/>
                        </w:rPr>
                        <w:t>Challenges and Strategies in British Companies' Engagement with Japan</w:t>
                      </w:r>
                    </w:p>
                    <w:p>
                      <w:pPr>
                        <w:widowControl/>
                        <w:spacing w:line="360" w:lineRule="auto"/>
                        <w:rPr>
                          <w:rFonts w:ascii="Arial" w:hAnsi="Arial" w:cs="Arial"/>
                          <w:kern w:val="36"/>
                          <w:sz w:val="72"/>
                          <w:szCs w:val="72"/>
                        </w:rPr>
                      </w:pPr>
                    </w:p>
                  </w:txbxContent>
                </v:textbox>
                <w10:wrap type="square"/>
              </v:shape>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4625975</wp:posOffset>
                </wp:positionH>
                <wp:positionV relativeFrom="paragraph">
                  <wp:posOffset>-642620</wp:posOffset>
                </wp:positionV>
                <wp:extent cx="1750060" cy="493395"/>
                <wp:effectExtent l="4445" t="4445" r="10795" b="10160"/>
                <wp:wrapNone/>
                <wp:docPr id="4" name="文本框 4"/>
                <wp:cNvGraphicFramePr/>
                <a:graphic xmlns:a="http://schemas.openxmlformats.org/drawingml/2006/main">
                  <a:graphicData uri="http://schemas.microsoft.com/office/word/2010/wordprocessingShape">
                    <wps:wsp>
                      <wps:cNvSpPr txBox="1"/>
                      <wps:spPr>
                        <a:xfrm>
                          <a:off x="0" y="0"/>
                          <a:ext cx="1750060" cy="493395"/>
                        </a:xfrm>
                        <a:prstGeom prst="rect">
                          <a:avLst/>
                        </a:prstGeom>
                        <a:solidFill>
                          <a:schemeClr val="accent2">
                            <a:lumMod val="20000"/>
                            <a:lumOff val="80000"/>
                          </a:schemeClr>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eastAsia="宋体"/>
                                <w:b/>
                                <w:bCs w:val="0"/>
                                <w:szCs w:val="24"/>
                                <w:lang w:val="en-US" w:eastAsia="zh-CN"/>
                              </w:rPr>
                            </w:pPr>
                            <w:r>
                              <w:rPr>
                                <w:b/>
                                <w:bCs w:val="0"/>
                                <w:szCs w:val="24"/>
                              </w:rPr>
                              <w:t>[Date]</w:t>
                            </w:r>
                            <w:r>
                              <w:rPr>
                                <w:rFonts w:hint="eastAsia" w:eastAsia="宋体"/>
                                <w:b/>
                                <w:bCs w:val="0"/>
                                <w:szCs w:val="24"/>
                                <w:lang w:val="en-US" w:eastAsia="zh-CN"/>
                              </w:rPr>
                              <w:t xml:space="preserve"> 2024.01.05</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64.25pt;margin-top:-50.6pt;height:38.85pt;width:137.8pt;z-index:251661312;mso-width-relative:page;mso-height-relative:page;" fillcolor="#FBE5D6 [661]" filled="t" stroked="t" coordsize="21600,21600" o:gfxdata="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">
                <v:fill on="t" focussize="0,0"/>
                <v:stroke weight="0.5pt" color="#000000 [3204]" joinstyle="round"/>
                <v:imagedata o:title=""/>
                <o:lock v:ext="edit" aspectratio="f"/>
                <v:textbox>
                  <w:txbxContent>
                    <w:p>
                      <w:pPr>
                        <w:jc w:val="center"/>
                        <w:rPr>
                          <w:rFonts w:hint="default" w:eastAsia="宋体"/>
                          <w:b/>
                          <w:bCs w:val="0"/>
                          <w:szCs w:val="24"/>
                          <w:lang w:val="en-US" w:eastAsia="zh-CN"/>
                        </w:rPr>
                      </w:pPr>
                      <w:r>
                        <w:rPr>
                          <w:b/>
                          <w:bCs w:val="0"/>
                          <w:szCs w:val="24"/>
                        </w:rPr>
                        <w:t>[Date]</w:t>
                      </w:r>
                      <w:r>
                        <w:rPr>
                          <w:rFonts w:hint="eastAsia" w:eastAsia="宋体"/>
                          <w:b/>
                          <w:bCs w:val="0"/>
                          <w:szCs w:val="24"/>
                          <w:lang w:val="en-US" w:eastAsia="zh-CN"/>
                        </w:rPr>
                        <w:t xml:space="preserve"> 2024.01.05</w:t>
                      </w:r>
                    </w:p>
                    <w:p/>
                  </w:txbxContent>
                </v:textbox>
              </v:shape>
            </w:pict>
          </mc:Fallback>
        </mc:AlternateContent>
      </w:r>
      <w:r>
        <mc:AlternateContent>
          <mc:Choice Requires="wps">
            <w:drawing>
              <wp:anchor distT="0" distB="0" distL="114300" distR="114300" simplePos="0" relativeHeight="251660288" behindDoc="0" locked="0" layoutInCell="1" allowOverlap="1">
                <wp:simplePos x="0" y="0"/>
                <wp:positionH relativeFrom="column">
                  <wp:posOffset>-951230</wp:posOffset>
                </wp:positionH>
                <wp:positionV relativeFrom="paragraph">
                  <wp:posOffset>-949960</wp:posOffset>
                </wp:positionV>
                <wp:extent cx="7997825" cy="10198100"/>
                <wp:effectExtent l="0" t="0" r="3175" b="0"/>
                <wp:wrapNone/>
                <wp:docPr id="33" name="矩形 33"/>
                <wp:cNvGraphicFramePr/>
                <a:graphic xmlns:a="http://schemas.openxmlformats.org/drawingml/2006/main">
                  <a:graphicData uri="http://schemas.microsoft.com/office/word/2010/wordprocessingShape">
                    <wps:wsp>
                      <wps:cNvSpPr/>
                      <wps:spPr>
                        <a:xfrm>
                          <a:off x="0" y="0"/>
                          <a:ext cx="7997825" cy="10198100"/>
                        </a:xfrm>
                        <a:prstGeom prst="rect">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eastAsiaTheme="majorEastAsia"/>
                                <w:b/>
                                <w:bCs/>
                                <w:color w:val="FFFFFF" w:themeColor="background1"/>
                                <w:sz w:val="84"/>
                                <w:szCs w:val="84"/>
                                <w14:textFill>
                                  <w14:solidFill>
                                    <w14:schemeClr w14:val="bg1"/>
                                  </w14:solidFill>
                                </w14:textFill>
                              </w:rPr>
                              <w:alias w:val="标题"/>
                              <w:id w:val="-960264625"/>
                              <w:dataBinding w:prefixMappings="xmlns:ns0='http://purl.org/dc/elements/1.1/' xmlns:ns1='http://schemas.openxmlformats.org/package/2006/metadata/core-properties' " w:xpath="/ns1:coreProperties[1]/ns0:title[1]" w:storeItemID="{6C3C8BC8-F283-45AE-878A-BAB7291924A1}"/>
                              <w:text/>
                            </w:sdtPr>
                            <w:sdtEndPr>
                              <w:rPr>
                                <w:rFonts w:ascii="Arial" w:hAnsi="Arial" w:cs="Arial" w:eastAsiaTheme="majorEastAsia"/>
                                <w:b/>
                                <w:bCs/>
                                <w:color w:val="FFFFFF" w:themeColor="background1"/>
                                <w:sz w:val="84"/>
                                <w:szCs w:val="84"/>
                                <w14:textFill>
                                  <w14:solidFill>
                                    <w14:schemeClr w14:val="bg1"/>
                                  </w14:solidFill>
                                </w14:textFill>
                              </w:rPr>
                            </w:sdtEndPr>
                            <w:sdtContent>
                              <w:p>
                                <w:pPr>
                                  <w:pageBreakBefore w:val="0"/>
                                  <w:widowControl w:val="0"/>
                                  <w:kinsoku/>
                                  <w:wordWrap/>
                                  <w:overflowPunct/>
                                  <w:topLinePunct w:val="0"/>
                                  <w:autoSpaceDE/>
                                  <w:autoSpaceDN/>
                                  <w:bidi w:val="0"/>
                                  <w:adjustRightInd w:val="0"/>
                                  <w:snapToGrid w:val="0"/>
                                  <w:spacing w:line="480" w:lineRule="auto"/>
                                  <w:jc w:val="center"/>
                                  <w:textAlignment w:val="auto"/>
                                  <w:rPr>
                                    <w:rFonts w:ascii="Arial" w:hAnsi="Arial" w:cs="Arial" w:eastAsiaTheme="majorEastAsia"/>
                                    <w:b/>
                                    <w:bCs/>
                                    <w:color w:val="FFFFFF" w:themeColor="background1"/>
                                    <w:sz w:val="84"/>
                                    <w:szCs w:val="84"/>
                                    <w14:textFill>
                                      <w14:solidFill>
                                        <w14:schemeClr w14:val="bg1"/>
                                      </w14:solidFill>
                                    </w14:textFill>
                                  </w:rPr>
                                </w:pPr>
                              </w:p>
                            </w:sdtContent>
                          </w:sdt>
                          <w:sdt>
                            <w:sdtPr>
                              <w:rPr>
                                <w:rFonts w:ascii="Arial" w:hAnsi="Arial" w:cs="Arial"/>
                                <w:color w:val="FFFFFF" w:themeColor="background1"/>
                                <w:sz w:val="28"/>
                                <w:szCs w:val="28"/>
                                <w14:textFill>
                                  <w14:solidFill>
                                    <w14:schemeClr w14:val="bg1"/>
                                  </w14:solidFill>
                                </w14:textFill>
                              </w:rPr>
                              <w:alias w:val="副标题"/>
                              <w:id w:val="1611937615"/>
                              <w:dataBinding w:prefixMappings="xmlns:ns0='http://purl.org/dc/elements/1.1/' xmlns:ns1='http://schemas.openxmlformats.org/package/2006/metadata/core-properties' " w:xpath="/ns1:coreProperties[1]/ns0:subject[1]" w:storeItemID="{6C3C8BC8-F283-45AE-878A-BAB7291924A1}"/>
                              <w:text/>
                            </w:sdtPr>
                            <w:sdtEndPr>
                              <w:rPr>
                                <w:rFonts w:ascii="Arial" w:hAnsi="Arial" w:cs="Arial"/>
                                <w:color w:val="FFFFFF" w:themeColor="background1"/>
                                <w:sz w:val="28"/>
                                <w:szCs w:val="28"/>
                                <w14:textFill>
                                  <w14:solidFill>
                                    <w14:schemeClr w14:val="bg1"/>
                                  </w14:solidFill>
                                </w14:textFill>
                              </w:rPr>
                            </w:sdtEndPr>
                            <w:sdtContent>
                              <w:p>
                                <w:pPr>
                                  <w:pStyle w:val="14"/>
                                  <w:rPr>
                                    <w:rFonts w:ascii="Arial" w:hAnsi="Arial" w:cs="Arial"/>
                                    <w:color w:val="FFFFFF" w:themeColor="background1"/>
                                    <w:sz w:val="28"/>
                                    <w:szCs w:val="28"/>
                                    <w14:textFill>
                                      <w14:solidFill>
                                        <w14:schemeClr w14:val="bg1"/>
                                      </w14:solidFill>
                                    </w14:textFill>
                                  </w:rPr>
                                </w:pPr>
                              </w:p>
                            </w:sdtContent>
                          </w:sdt>
                        </w:txbxContent>
                      </wps:txbx>
                      <wps:bodyPr rot="0" spcFirstLastPara="0" vertOverflow="overflow" horzOverflow="overflow" vert="horz" wrap="square" lIns="457200" tIns="914400" rIns="914400" bIns="2651760" numCol="1" spcCol="0" rtlCol="0" fromWordArt="0" anchor="b" anchorCtr="0" forceAA="0" compatLnSpc="1">
                        <a:noAutofit/>
                      </wps:bodyPr>
                    </wps:wsp>
                  </a:graphicData>
                </a:graphic>
              </wp:anchor>
            </w:drawing>
          </mc:Choice>
          <mc:Fallback>
            <w:pict>
              <v:rect id="_x0000_s1026" o:spid="_x0000_s1026" o:spt="1" style="position:absolute;left:0pt;margin-left:-74.9pt;margin-top:-74.8pt;height:803pt;width:629.75pt;z-index:251660288;v-text-anchor:bottom;mso-width-relative:page;mso-height-relative:page;" fillcolor="#8FAADC [1940]" filled="t" stroked="f" coordsize="21600,21600" o:gfxdata="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">
                <v:fill on="t" focussize="0,0"/>
                <v:stroke on="f" weight="1pt" miterlimit="8" joinstyle="miter"/>
                <v:imagedata o:title=""/>
                <o:lock v:ext="edit" aspectratio="f"/>
                <v:textbox inset="12.7mm,25.4mm,25.4mm,73.66mm">
                  <w:txbxContent>
                    <w:sdt>
                      <w:sdtPr>
                        <w:rPr>
                          <w:rFonts w:ascii="Arial" w:hAnsi="Arial" w:cs="Arial" w:eastAsiaTheme="majorEastAsia"/>
                          <w:b/>
                          <w:bCs/>
                          <w:color w:val="FFFFFF" w:themeColor="background1"/>
                          <w:sz w:val="84"/>
                          <w:szCs w:val="84"/>
                          <w14:textFill>
                            <w14:solidFill>
                              <w14:schemeClr w14:val="bg1"/>
                            </w14:solidFill>
                          </w14:textFill>
                        </w:rPr>
                        <w:alias w:val="标题"/>
                        <w:id w:val="-960264625"/>
                        <w:dataBinding w:prefixMappings="xmlns:ns0='http://purl.org/dc/elements/1.1/' xmlns:ns1='http://schemas.openxmlformats.org/package/2006/metadata/core-properties' " w:xpath="/ns1:coreProperties[1]/ns0:title[1]" w:storeItemID="{6C3C8BC8-F283-45AE-878A-BAB7291924A1}"/>
                        <w:text/>
                      </w:sdtPr>
                      <w:sdtEndPr>
                        <w:rPr>
                          <w:rFonts w:ascii="Arial" w:hAnsi="Arial" w:cs="Arial" w:eastAsiaTheme="majorEastAsia"/>
                          <w:b/>
                          <w:bCs/>
                          <w:color w:val="FFFFFF" w:themeColor="background1"/>
                          <w:sz w:val="84"/>
                          <w:szCs w:val="84"/>
                          <w14:textFill>
                            <w14:solidFill>
                              <w14:schemeClr w14:val="bg1"/>
                            </w14:solidFill>
                          </w14:textFill>
                        </w:rPr>
                      </w:sdtEndPr>
                      <w:sdtContent>
                        <w:p>
                          <w:pPr>
                            <w:pageBreakBefore w:val="0"/>
                            <w:widowControl w:val="0"/>
                            <w:kinsoku/>
                            <w:wordWrap/>
                            <w:overflowPunct/>
                            <w:topLinePunct w:val="0"/>
                            <w:autoSpaceDE/>
                            <w:autoSpaceDN/>
                            <w:bidi w:val="0"/>
                            <w:adjustRightInd w:val="0"/>
                            <w:snapToGrid w:val="0"/>
                            <w:spacing w:line="480" w:lineRule="auto"/>
                            <w:jc w:val="center"/>
                            <w:textAlignment w:val="auto"/>
                            <w:rPr>
                              <w:rFonts w:ascii="Arial" w:hAnsi="Arial" w:cs="Arial" w:eastAsiaTheme="majorEastAsia"/>
                              <w:b/>
                              <w:bCs/>
                              <w:color w:val="FFFFFF" w:themeColor="background1"/>
                              <w:sz w:val="84"/>
                              <w:szCs w:val="84"/>
                              <w14:textFill>
                                <w14:solidFill>
                                  <w14:schemeClr w14:val="bg1"/>
                                </w14:solidFill>
                              </w14:textFill>
                            </w:rPr>
                          </w:pPr>
                        </w:p>
                      </w:sdtContent>
                    </w:sdt>
                    <w:sdt>
                      <w:sdtPr>
                        <w:rPr>
                          <w:rFonts w:ascii="Arial" w:hAnsi="Arial" w:cs="Arial"/>
                          <w:color w:val="FFFFFF" w:themeColor="background1"/>
                          <w:sz w:val="28"/>
                          <w:szCs w:val="28"/>
                          <w14:textFill>
                            <w14:solidFill>
                              <w14:schemeClr w14:val="bg1"/>
                            </w14:solidFill>
                          </w14:textFill>
                        </w:rPr>
                        <w:alias w:val="副标题"/>
                        <w:id w:val="1611937615"/>
                        <w:dataBinding w:prefixMappings="xmlns:ns0='http://purl.org/dc/elements/1.1/' xmlns:ns1='http://schemas.openxmlformats.org/package/2006/metadata/core-properties' " w:xpath="/ns1:coreProperties[1]/ns0:subject[1]" w:storeItemID="{6C3C8BC8-F283-45AE-878A-BAB7291924A1}"/>
                        <w:text/>
                      </w:sdtPr>
                      <w:sdtEndPr>
                        <w:rPr>
                          <w:rFonts w:ascii="Arial" w:hAnsi="Arial" w:cs="Arial"/>
                          <w:color w:val="FFFFFF" w:themeColor="background1"/>
                          <w:sz w:val="28"/>
                          <w:szCs w:val="28"/>
                          <w14:textFill>
                            <w14:solidFill>
                              <w14:schemeClr w14:val="bg1"/>
                            </w14:solidFill>
                          </w14:textFill>
                        </w:rPr>
                      </w:sdtEndPr>
                      <w:sdtContent>
                        <w:p>
                          <w:pPr>
                            <w:pStyle w:val="14"/>
                            <w:rPr>
                              <w:rFonts w:ascii="Arial" w:hAnsi="Arial" w:cs="Arial"/>
                              <w:color w:val="FFFFFF" w:themeColor="background1"/>
                              <w:sz w:val="28"/>
                              <w:szCs w:val="28"/>
                              <w14:textFill>
                                <w14:solidFill>
                                  <w14:schemeClr w14:val="bg1"/>
                                </w14:solidFill>
                              </w14:textFill>
                            </w:rPr>
                          </w:pPr>
                        </w:p>
                      </w:sdtContent>
                    </w:sdt>
                  </w:txbxContent>
                </v:textbox>
              </v:rect>
            </w:pict>
          </mc:Fallback>
        </mc:AlternateContent>
      </w:r>
    </w:p>
    <w:p>
      <w:pPr>
        <w:jc w:val="center"/>
        <w:rPr>
          <w:b/>
        </w:rPr>
      </w:pPr>
    </w:p>
    <w:p>
      <w:pPr>
        <w:jc w:val="center"/>
        <w:rPr>
          <w:b/>
        </w:rPr>
      </w:pPr>
      <w:r>
        <w:rPr>
          <w:sz w:val="28"/>
        </w:rPr>
        <mc:AlternateContent>
          <mc:Choice Requires="wps">
            <w:drawing>
              <wp:anchor distT="0" distB="0" distL="114300" distR="114300" simplePos="0" relativeHeight="251663360" behindDoc="0" locked="0" layoutInCell="1" allowOverlap="1">
                <wp:simplePos x="0" y="0"/>
                <wp:positionH relativeFrom="column">
                  <wp:posOffset>4294505</wp:posOffset>
                </wp:positionH>
                <wp:positionV relativeFrom="paragraph">
                  <wp:posOffset>420370</wp:posOffset>
                </wp:positionV>
                <wp:extent cx="1925955" cy="514985"/>
                <wp:effectExtent l="5080" t="4445" r="12065" b="13970"/>
                <wp:wrapNone/>
                <wp:docPr id="3" name="文本框 3"/>
                <wp:cNvGraphicFramePr/>
                <a:graphic xmlns:a="http://schemas.openxmlformats.org/drawingml/2006/main">
                  <a:graphicData uri="http://schemas.microsoft.com/office/word/2010/wordprocessingShape">
                    <wps:wsp>
                      <wps:cNvSpPr txBox="1"/>
                      <wps:spPr>
                        <a:xfrm>
                          <a:off x="0" y="0"/>
                          <a:ext cx="1925955" cy="514985"/>
                        </a:xfrm>
                        <a:prstGeom prst="rect">
                          <a:avLst/>
                        </a:prstGeom>
                        <a:solidFill>
                          <a:schemeClr val="accent2">
                            <a:lumMod val="20000"/>
                            <a:lumOff val="80000"/>
                          </a:schemeClr>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rFonts w:hint="eastAsia" w:eastAsia="宋体"/>
                                <w:b/>
                                <w:bCs w:val="0"/>
                                <w:szCs w:val="24"/>
                                <w:lang w:val="en-US" w:eastAsia="zh-CN"/>
                              </w:rPr>
                            </w:pPr>
                            <w:r>
                              <w:rPr>
                                <w:b/>
                                <w:bCs w:val="0"/>
                                <w:szCs w:val="24"/>
                              </w:rPr>
                              <w:t>[Name]</w:t>
                            </w:r>
                            <w:r>
                              <w:rPr>
                                <w:rFonts w:hint="eastAsia" w:eastAsia="宋体"/>
                                <w:b/>
                                <w:bCs w:val="0"/>
                                <w:szCs w:val="24"/>
                                <w:lang w:val="en-US" w:eastAsia="zh-CN"/>
                              </w:rPr>
                              <w:t xml:space="preserve"> Yuxin Ren</w:t>
                            </w:r>
                          </w:p>
                          <w:p>
                            <w:pPr>
                              <w:pageBreakBefore w:val="0"/>
                              <w:widowControl w:val="0"/>
                              <w:kinsoku/>
                              <w:wordWrap/>
                              <w:overflowPunct/>
                              <w:topLinePunct w:val="0"/>
                              <w:autoSpaceDE/>
                              <w:autoSpaceDN/>
                              <w:bidi w:val="0"/>
                              <w:adjustRightInd w:val="0"/>
                              <w:snapToGrid w:val="0"/>
                              <w:spacing w:line="480" w:lineRule="auto"/>
                              <w:jc w:val="center"/>
                              <w:textAlignment w:val="auto"/>
                              <w:rPr>
                                <w:rFonts w:hint="default" w:ascii="Arial" w:hAnsi="Arial" w:cs="Arial"/>
                                <w:sz w:val="24"/>
                                <w:szCs w:val="24"/>
                                <w:lang w:val="en-US" w:eastAsia="zh-CN"/>
                              </w:rPr>
                            </w:pPr>
                            <w:r>
                              <w:rPr>
                                <w:rFonts w:hint="eastAsia" w:ascii="Arial" w:hAnsi="Arial" w:cs="Arial"/>
                                <w:sz w:val="24"/>
                                <w:szCs w:val="24"/>
                                <w:lang w:val="en-US" w:eastAsia="zh-CN"/>
                              </w:rPr>
                              <w:t>ID；2300437</w:t>
                            </w:r>
                          </w:p>
                          <w:p>
                            <w:pPr>
                              <w:jc w:val="center"/>
                              <w:rPr>
                                <w:rFonts w:hint="eastAsia" w:eastAsia="宋体"/>
                                <w:b/>
                                <w:bCs w:val="0"/>
                                <w:szCs w:val="24"/>
                                <w:lang w:val="en-US" w:eastAsia="zh-CN"/>
                              </w:rPr>
                            </w:pPr>
                          </w:p>
                          <w:p>
                            <w:pPr>
                              <w:rPr>
                                <w:rFonts w:hint="default"/>
                                <w:color w:val="ED7D31" w:themeColor="accent2"/>
                                <w:lang w:val="en-US" w:eastAsia="zh-CN"/>
                                <w14:textFill>
                                  <w14:solidFill>
                                    <w14:schemeClr w14:val="accent2"/>
                                  </w14:solidFill>
                                </w14:textFill>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38.15pt;margin-top:33.1pt;height:40.55pt;width:151.65pt;z-index:251663360;mso-width-relative:page;mso-height-relative:page;" fillcolor="#FBE5D6 [661]" filled="t" stroked="t" coordsize="21600,21600" o:gfxdata="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">
                <v:fill on="t" focussize="0,0"/>
                <v:stroke weight="0.5pt" color="#000000 [3204]" joinstyle="round"/>
                <v:imagedata o:title=""/>
                <o:lock v:ext="edit" aspectratio="f"/>
                <v:textbox>
                  <w:txbxContent>
                    <w:p>
                      <w:pPr>
                        <w:jc w:val="center"/>
                        <w:rPr>
                          <w:rFonts w:hint="eastAsia" w:eastAsia="宋体"/>
                          <w:b/>
                          <w:bCs w:val="0"/>
                          <w:szCs w:val="24"/>
                          <w:lang w:val="en-US" w:eastAsia="zh-CN"/>
                        </w:rPr>
                      </w:pPr>
                      <w:r>
                        <w:rPr>
                          <w:b/>
                          <w:bCs w:val="0"/>
                          <w:szCs w:val="24"/>
                        </w:rPr>
                        <w:t>[Name]</w:t>
                      </w:r>
                      <w:r>
                        <w:rPr>
                          <w:rFonts w:hint="eastAsia" w:eastAsia="宋体"/>
                          <w:b/>
                          <w:bCs w:val="0"/>
                          <w:szCs w:val="24"/>
                          <w:lang w:val="en-US" w:eastAsia="zh-CN"/>
                        </w:rPr>
                        <w:t xml:space="preserve"> Yuxin Ren</w:t>
                      </w:r>
                    </w:p>
                    <w:p>
                      <w:pPr>
                        <w:pageBreakBefore w:val="0"/>
                        <w:widowControl w:val="0"/>
                        <w:kinsoku/>
                        <w:wordWrap/>
                        <w:overflowPunct/>
                        <w:topLinePunct w:val="0"/>
                        <w:autoSpaceDE/>
                        <w:autoSpaceDN/>
                        <w:bidi w:val="0"/>
                        <w:adjustRightInd w:val="0"/>
                        <w:snapToGrid w:val="0"/>
                        <w:spacing w:line="480" w:lineRule="auto"/>
                        <w:jc w:val="center"/>
                        <w:textAlignment w:val="auto"/>
                        <w:rPr>
                          <w:rFonts w:hint="default" w:ascii="Arial" w:hAnsi="Arial" w:cs="Arial"/>
                          <w:sz w:val="24"/>
                          <w:szCs w:val="24"/>
                          <w:lang w:val="en-US" w:eastAsia="zh-CN"/>
                        </w:rPr>
                      </w:pPr>
                      <w:r>
                        <w:rPr>
                          <w:rFonts w:hint="eastAsia" w:ascii="Arial" w:hAnsi="Arial" w:cs="Arial"/>
                          <w:sz w:val="24"/>
                          <w:szCs w:val="24"/>
                          <w:lang w:val="en-US" w:eastAsia="zh-CN"/>
                        </w:rPr>
                        <w:t>ID；2300437</w:t>
                      </w:r>
                    </w:p>
                    <w:p>
                      <w:pPr>
                        <w:jc w:val="center"/>
                        <w:rPr>
                          <w:rFonts w:hint="eastAsia" w:eastAsia="宋体"/>
                          <w:b/>
                          <w:bCs w:val="0"/>
                          <w:szCs w:val="24"/>
                          <w:lang w:val="en-US" w:eastAsia="zh-CN"/>
                        </w:rPr>
                      </w:pPr>
                    </w:p>
                    <w:p>
                      <w:pPr>
                        <w:rPr>
                          <w:rFonts w:hint="default"/>
                          <w:color w:val="ED7D31" w:themeColor="accent2"/>
                          <w:lang w:val="en-US" w:eastAsia="zh-CN"/>
                          <w14:textFill>
                            <w14:solidFill>
                              <w14:schemeClr w14:val="accent2"/>
                            </w14:solidFill>
                          </w14:textFill>
                        </w:rPr>
                      </w:pPr>
                    </w:p>
                  </w:txbxContent>
                </v:textbox>
              </v:shape>
            </w:pict>
          </mc:Fallback>
        </mc:AlternateContent>
      </w:r>
    </w:p>
    <w:p>
      <w:pPr>
        <w:jc w:val="center"/>
        <w:rPr>
          <w:b/>
        </w:rPr>
      </w:pPr>
    </w:p>
    <w:p>
      <w:pPr>
        <w:jc w:val="center"/>
        <w:rPr>
          <w:b/>
        </w:rPr>
      </w:pPr>
    </w:p>
    <w:p>
      <w:pPr>
        <w:jc w:val="center"/>
        <w:rPr>
          <w:b/>
        </w:rPr>
      </w:pPr>
    </w:p>
    <w:p>
      <w:pPr>
        <w:jc w:val="center"/>
        <w:rPr>
          <w:b/>
        </w:rPr>
      </w:pPr>
      <w:r>
        <w:rPr>
          <w:b/>
        </w:rPr>
        <w:t>Reflective Analysis of International Business Communication: Challenges and Strategies in British Companies' Engagement with Japan</w:t>
      </w:r>
    </w:p>
    <w:p>
      <w:pPr>
        <w:pageBreakBefore w:val="0"/>
        <w:widowControl w:val="0"/>
        <w:kinsoku/>
        <w:wordWrap/>
        <w:overflowPunct/>
        <w:topLinePunct w:val="0"/>
        <w:autoSpaceDE/>
        <w:autoSpaceDN/>
        <w:bidi w:val="0"/>
        <w:adjustRightInd w:val="0"/>
        <w:snapToGrid w:val="0"/>
        <w:spacing w:line="480" w:lineRule="auto"/>
        <w:jc w:val="center"/>
        <w:textAlignment w:val="auto"/>
        <w:rPr>
          <w:rFonts w:hint="default" w:ascii="Arial" w:hAnsi="Arial" w:cs="Arial"/>
          <w:sz w:val="24"/>
          <w:szCs w:val="24"/>
          <w:lang w:val="en-US" w:eastAsia="zh-CN"/>
        </w:rPr>
      </w:pPr>
      <w:r>
        <w:rPr>
          <w:rFonts w:hint="eastAsia" w:ascii="Arial" w:hAnsi="Arial" w:cs="Arial"/>
          <w:sz w:val="24"/>
          <w:szCs w:val="24"/>
          <w:lang w:val="en-US" w:eastAsia="zh-CN"/>
        </w:rPr>
        <w:t>NAME;Yuxin Ren</w:t>
      </w:r>
    </w:p>
    <w:p>
      <w:pPr>
        <w:pageBreakBefore w:val="0"/>
        <w:widowControl w:val="0"/>
        <w:kinsoku/>
        <w:wordWrap/>
        <w:overflowPunct/>
        <w:topLinePunct w:val="0"/>
        <w:autoSpaceDE/>
        <w:autoSpaceDN/>
        <w:bidi w:val="0"/>
        <w:adjustRightInd w:val="0"/>
        <w:snapToGrid w:val="0"/>
        <w:spacing w:line="480" w:lineRule="auto"/>
        <w:jc w:val="center"/>
        <w:textAlignment w:val="auto"/>
        <w:rPr>
          <w:rFonts w:hint="default" w:ascii="Arial" w:hAnsi="Arial" w:cs="Arial"/>
          <w:sz w:val="24"/>
          <w:szCs w:val="24"/>
          <w:lang w:val="en-US" w:eastAsia="zh-CN"/>
        </w:rPr>
      </w:pPr>
      <w:r>
        <w:rPr>
          <w:rFonts w:hint="eastAsia" w:ascii="Arial" w:hAnsi="Arial" w:cs="Arial"/>
          <w:sz w:val="24"/>
          <w:szCs w:val="24"/>
          <w:lang w:val="en-US" w:eastAsia="zh-CN"/>
        </w:rPr>
        <w:t>ID；2300437</w:t>
      </w:r>
    </w:p>
    <w:p>
      <w:pPr>
        <w:jc w:val="center"/>
        <w:rPr>
          <w:b/>
        </w:rPr>
      </w:pPr>
      <w:bookmarkStart w:id="0" w:name="_GoBack"/>
      <w:bookmarkEnd w:id="0"/>
      <w:r>
        <w:rPr>
          <w:b/>
        </w:rPr>
        <w:br w:type="page"/>
      </w:r>
    </w:p>
    <w:p>
      <w:pPr>
        <w:jc w:val="center"/>
        <w:rPr>
          <w:b/>
        </w:rPr>
      </w:pPr>
      <w:r>
        <w:rPr>
          <w:b/>
        </w:rPr>
        <w:t>Reflective Analysis of International Business Communication: Challenges and Strategies in British Companies' Engagement with Japan</w:t>
      </w:r>
    </w:p>
    <w:p>
      <w:pPr>
        <w:rPr>
          <w:b/>
        </w:rPr>
      </w:pPr>
      <w:r>
        <w:rPr>
          <w:b/>
        </w:rPr>
        <w:t xml:space="preserve">Introduction </w:t>
      </w:r>
    </w:p>
    <w:p>
      <w:r>
        <w:t>Today, in business talk, it's very important to speak well with different people and cultures. This helps make great global teams work well together. In this well thought out writing, we will deeply study the problems that British businesses could face when working with Japan. Japan's business culture is very different. It keeps its old traditions while also welcoming new-age ideas and changes. Additionally, dealing with Japan's complicated communication obstacles needs to be looked at closely. The CIA World Factbook (2023) says Japan is the fourth biggest economy. It does a lot of trade and tries different things to grow their money power. In this matter, foreign firms can take big chances to find important opportunities. Still, it's very important to know all the aspects of different cultures for Japanese business engagements. This is needed if you want success in potential opportunities there.</w:t>
      </w:r>
      <w:r>
        <w:br w:type="textWrapping"/>
      </w:r>
      <w:r>
        <w:t>How British companies talk to Japanese businesses is affected by many things. This includes a big focus on getting along, tiny changes in talking and higher-level ways (Szkudlarek et al., 2020). The essay will look closely at these factors. It wants to think about different cases of global business talk that could happen in teamwork between the United Kingdom and Japan. This article knows that good talking is not just about getting across facts, but also understanding and accepting different viewpoints. It looks at the problems of talking to people from different cultures and gives ways that can help you do it well. This way, British companies can make important links and gain trust. Then they will be able to access the huge chances that Japanese markets have.</w:t>
      </w:r>
    </w:p>
    <w:p/>
    <w:p>
      <w:pPr>
        <w:rPr>
          <w:b/>
        </w:rPr>
      </w:pPr>
      <w:r>
        <w:rPr>
          <w:b/>
        </w:rPr>
        <w:t>IBC Situations</w:t>
      </w:r>
    </w:p>
    <w:p>
      <w:pPr>
        <w:tabs>
          <w:tab w:val="left" w:pos="720"/>
        </w:tabs>
      </w:pPr>
      <w:r>
        <w:drawing>
          <wp:anchor distT="0" distB="0" distL="114300" distR="114300" simplePos="0" relativeHeight="251659264" behindDoc="0" locked="0" layoutInCell="1" allowOverlap="1">
            <wp:simplePos x="0" y="0"/>
            <wp:positionH relativeFrom="margin">
              <wp:posOffset>2743200</wp:posOffset>
            </wp:positionH>
            <wp:positionV relativeFrom="margin">
              <wp:posOffset>2819400</wp:posOffset>
            </wp:positionV>
            <wp:extent cx="3019425" cy="29527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3019425" cy="2952750"/>
                    </a:xfrm>
                    <a:prstGeom prst="rect">
                      <a:avLst/>
                    </a:prstGeom>
                    <a:ln>
                      <a:noFill/>
                    </a:ln>
                  </pic:spPr>
                </pic:pic>
              </a:graphicData>
            </a:graphic>
          </wp:anchor>
        </w:drawing>
      </w:r>
      <w:r>
        <w:t>This reflective essay will consider the Gibbs' Reflective Cycle in exploring diverse scenarios, reflecting on various insights, experiences, and thoughts gathered from the interactions between British firms and their counterparts in Japan. This will therefore provide a framework through which the experiences can be examined, and considering the cyclic nature of the framework, it will present an incisive review of repeated experiences, thus allowing learning and planning from things that either progressed well, or failed to go well (He et al., 2018). There are six stages covered in the Gibbs’ Reflective Cycle, including, description of the experience; feelings and thoughts regarding the experience; evaluation of the experience (positive and negative); analysis to make sense of the situation; a conclusion regarding what was learned and what could have been done differently; and an action plan regarding how, in future, similar situations would be dealt with, or some changes which would be appropriate following the scenarios observed (Adeani et al., 2020).</w:t>
      </w:r>
    </w:p>
    <w:p>
      <w:pPr>
        <w:tabs>
          <w:tab w:val="left" w:pos="720"/>
        </w:tabs>
      </w:pPr>
      <w:r>
        <w:rPr>
          <w:i/>
        </w:rPr>
        <w:t xml:space="preserve">Language Barriers </w:t>
      </w:r>
    </w:p>
    <w:p>
      <w:pPr>
        <w:tabs>
          <w:tab w:val="left" w:pos="720"/>
        </w:tabs>
      </w:pPr>
      <w:r>
        <w:t xml:space="preserve">Business communication between British companies and their counterparts in Japan will face language differences as a primary challenge. Whereas there is a general consideration of English as the international language of business, there is a lot of emphasis placed on Japanese as a native language in Japan. This means that in Japan, the native language will be more pronounced, even dominant, relative to the English language (Aichhorn &amp; Puck, 2017). From a personal reflective standpoint, I acknowledge that language barriers can be a significant course for misinterpretations, misunderstandings, and hindrance to effective communication. In applying the Gibbs’ reflective model, I take note of the fact that assumptions regarding proficiency in a given language can be pivotal to shaping expectations and influencing dynamics around communication. However, this can be addressed through the introduction of language training programs for British employees. This is a step that can help foster a more collaborative and inclusive communication environment (Tenzer et al., 2021). </w:t>
      </w:r>
    </w:p>
    <w:p>
      <w:pPr>
        <w:tabs>
          <w:tab w:val="left" w:pos="720"/>
        </w:tabs>
      </w:pPr>
      <w:r>
        <w:rPr>
          <w:i/>
        </w:rPr>
        <w:t xml:space="preserve">Cultural Differences </w:t>
      </w:r>
    </w:p>
    <w:p>
      <w:pPr>
        <w:tabs>
          <w:tab w:val="left" w:pos="720"/>
        </w:tabs>
      </w:pPr>
      <w:r>
        <w:t>The business culture in Japan is deeply founded on tradition that lays emphasis on harmony, respect, and humility, which is contrary to the business culture in the UK. With such cultural backdrop, the styles and expectations of communication can be significantly affected. Reflecting on previous experiences, I come to the realization that Japanese organizations, and their hierarchical nature, in most cases pose an influence on the processes of decision making, as well as flow of communication. In this regard, insights drawn from this perspective point me towards assessing my initial biases and assumptions, while highlighting the value attached to cultural awareness in navigating these nuances. This challenge can however be overcome by implementing approaches such as programs of cultural immersion. These can help foster an appreciation for the subtleties associated with business etiquette in Japan (Stahl &amp; Tung, 2015). Moreover, Szkudlarek et al. (2020) explain that there are eight dominant research trends in extant literature aimed at resolving the challenge of cultural differences in international business communication. These offer a more comprehensive understanding of communication in international business, enhancing the building of theory, and advancing the industry.</w:t>
      </w:r>
    </w:p>
    <w:p>
      <w:pPr>
        <w:tabs>
          <w:tab w:val="left" w:pos="720"/>
        </w:tabs>
      </w:pPr>
      <w:r>
        <w:rPr>
          <w:i/>
        </w:rPr>
        <w:t xml:space="preserve">Negotiation Styles </w:t>
      </w:r>
    </w:p>
    <w:p>
      <w:pPr>
        <w:tabs>
          <w:tab w:val="left" w:pos="720"/>
        </w:tabs>
      </w:pPr>
      <w:r>
        <w:t xml:space="preserve">There is a need for a different approach to negotiation in Japan compared to the United Kingdom. The interactions of British companies with their Japanese counterparts will call for a combination of these two diverse styles of negotiation to arrive to a mutual ground. Reflecting on experiences of negotiation, I recognize that negotiators in Japan in most case set priority for long-term partnerships and building of relationships, as opposed to immediate gains (Osakwe, 2021). We are urged to examine the manner in which negotiation approaches and expectations are shaped by cultural backgrounds through the lens of Gibbs’ reflective model. Notably, this is a challenge that can be addressed by involving critical strategy. Specifically, the tactics of negotiation can be tailored in line with the values of the Japanese culture. Emphasis can also be laid on building of relationships, thus showcasing patience in the process of negotiation (Nomozova &amp; Jurayeva, 2023). </w:t>
      </w:r>
      <w:r>
        <w:br w:type="textWrapping"/>
      </w:r>
      <w:r>
        <w:rPr>
          <w:i/>
        </w:rPr>
        <w:t>Etiquette in Communication</w:t>
      </w:r>
    </w:p>
    <w:p>
      <w:pPr>
        <w:tabs>
          <w:tab w:val="left" w:pos="720"/>
        </w:tabs>
      </w:pPr>
      <w:r>
        <w:t xml:space="preserve">Characteristically, communication in Japan revolves around the use of a high-context approach in which non-verbal expressions and implicit cues are fundamentally used in business communications (Kobayashi &amp; Viswat, 2011). Closely considered from a reflective angle, I am increasingly wary of the instances in which there have been overlooking of communication subtleties. Dressler et al. (2018) when discussing the Gibbs’ model of reflection points out to the need for analysis of how cultural differences in the styles of communication can impact how messages are transmitted. However, this challenge can be overcome through the use of cross-cultural communication workshops that pay attention to the nuances of etiquette in Japanese communication. Such strategies can be helpful in enhancing how we understand the intricacies of international business communication, thus fostering effective communication (Stahl &amp; Tung, 2015). </w:t>
      </w:r>
    </w:p>
    <w:p>
      <w:r>
        <w:rPr>
          <w:i/>
        </w:rPr>
        <w:t xml:space="preserve">Integration of Technology </w:t>
      </w:r>
    </w:p>
    <w:p>
      <w:r>
        <w:t>Whereas the level of tech advancement in Japan might be considerably high, how technology is integrated into practices of business communication could be different from the case in the UK. A reflective perspective on experience point to the contention that assumptions regarding the use of universal technology can result in challenges in collaboration. Gibbs' reflective model helps me to look closely at how assumptions about technology can affect the effectiveness of talking business in different countries. Guffey &amp; Loewy (2019) suggest that, to keep up their skills with business communication tools used in Japan the best way for British employees is changing how they learn about technology.</w:t>
      </w:r>
      <w:r>
        <w:br w:type="textWrapping"/>
      </w:r>
      <w:r>
        <w:t>When we look at different ways of talking in big business between UK companies and Japanese ones, we find the tricky problems that come from people from two different places working together. A big help in this study is the Gibbs' Reflective Cycle, which gives a great way to cut up these incidents. By thinking hard about our actions, we can carefully study what we think and learn more deeply. Building upon these reflections, we are then prepared to move forward into the next section, where we will carefully select and thoroughly examine strategies for overcoming the challenges that have been identified. Mindful of the complex nature of these international business communication situations, our goal is to develop effective strategies that bridge cultural gaps.</w:t>
      </w:r>
    </w:p>
    <w:p>
      <w:r>
        <w:t xml:space="preserve"> </w:t>
      </w:r>
    </w:p>
    <w:p>
      <w:pPr>
        <w:rPr>
          <w:b/>
        </w:rPr>
      </w:pPr>
      <w:r>
        <w:rPr>
          <w:b/>
        </w:rPr>
        <w:t>Strategies to Overcome</w:t>
      </w:r>
    </w:p>
    <w:p>
      <w:r>
        <w:t xml:space="preserve">Navigating the world of business communication (IBC), between British and Japanese companies calls for customized strategies to address the specific challenges mentioned earlier. In line, with Gibbs Reflective Cycle we will carefully. Assess strategies that aim to overcome language barriers, cultural disparities, negotiation styles and communication etiquette. </w:t>
      </w:r>
    </w:p>
    <w:p>
      <w:r>
        <w:rPr>
          <w:i/>
        </w:rPr>
        <w:t xml:space="preserve">The Challenge of Language Barriers </w:t>
      </w:r>
    </w:p>
    <w:p>
      <w:r>
        <w:t>British companies doing business with Japan might want to think about in-de­pth language training for their teams. This ide­a comes from understanding that being able­ to speak a language well is ke­y to clear communication. By teaching workers the­ Japanese language, companie­s can help them understand me­ssages and share their own thoughts. This e­ncourages a more careful look at how we­ll a person can speak a language. The­ need for continuous training is important because­ the language require­ments in business can change (Rustamov &amp;amp; Mamaziyaye­v, 2022).</w:t>
      </w:r>
    </w:p>
    <w:p>
      <w:r>
        <w:rPr>
          <w:i/>
        </w:rPr>
        <w:t xml:space="preserve">The Challenge of Cultural Differences </w:t>
      </w:r>
    </w:p>
    <w:p>
      <w:r>
        <w:t xml:space="preserve">When de­aling with cultural differences, it's ke­y to use many tools. For example, we­ can use cultural awareness programs to he­lp bridge the gap betwe­en British and Japanese busine­sses. It's important to look at the cultural small details and le­vels of power. Rethinking how we­ communicate is important. By having British workers expe­rience Japanese­ culture firsthand, companies can help the­m better understand the­ fine points of how business is done (Ve­rluyten, 2020). This goes along with the ide­as of Gibbs' model. It promotes constant learning and adjusting to do we­ll in navigating the complex business manne­rs in Japan. </w:t>
      </w:r>
    </w:p>
    <w:p>
      <w:pPr>
        <w:rPr>
          <w:i/>
        </w:rPr>
      </w:pPr>
    </w:p>
    <w:p>
      <w:r>
        <w:rPr>
          <w:i/>
        </w:rPr>
        <w:t>The Challenge of Negotiation Styles</w:t>
      </w:r>
    </w:p>
    <w:p>
      <w:r>
        <w:t>How agree­ments are reache­d in Japan reflects their cultural value­s. To effectively ne­gotiate in Japan, British folks should consider focusing on creating bonds, agre­ement and patience­ in their training courses. Looking back at our negotiation e­xperiences, it be­comes clear. We ne­ed to tweak our strategie­s to work better within the Japane­se setting. The emphasis on long-term relationships and mutual benefits, the negotiation effectiveness of British companies in Japan can be enhanced (Caputo et al., 2019).</w:t>
      </w:r>
    </w:p>
    <w:p>
      <w:r>
        <w:rPr>
          <w:i/>
        </w:rPr>
        <w:t xml:space="preserve">The Challenge of Communication Etiquette </w:t>
      </w:r>
    </w:p>
    <w:p>
      <w:r>
        <w:t xml:space="preserve">Workshops on cross-cultural communication that focus on Japanese communication etiquette can be helpful in overcoming this challenge. In these workshops, emphasis should be placed on implicit messaging, non-verbal cues, as well as the subtleties of Japanese communication. Considering the communication nuances, I believe that non-verbal communication is very imperative in the Japanese context. As such, the focus of training programs should be the development of sensitivity to non-verbal cues to enable an increasingly effective communication and understanding (Stahl &amp; Tung, 2015). </w:t>
      </w:r>
    </w:p>
    <w:p>
      <w:r>
        <w:rPr>
          <w:i/>
        </w:rPr>
        <w:t xml:space="preserve">The Challenge of Integrating Technology </w:t>
      </w:r>
    </w:p>
    <w:p>
      <w:r>
        <w:t>Customized technology training programs should be introduced to familiarize British employees with Japanese-preferred communication tools. Such programs should be covering both the technical aspects as well as cultural nuances and preferences in the use of technology in Japan. Moreover, reflecting on the challenge of tech integration, I acknowledge the need for adapting tools of communication in line with practices in Japan. Through proficiency in particular platforms of communication, British firms can foster communication efficacy and collaboration (Guffey &amp; Loewy, 2019).</w:t>
      </w:r>
    </w:p>
    <w:p>
      <w:r>
        <w:t>We ne­ed to take a hard look at the me­thods used. While immersing in culture­ and language learning are big parts, the­y need regular he­lp and support to last. Workshops on speaking and negotiating nee­d frequent updates to match the­ fast-paced business world. Also, the late­st communication tools should be part of tech education. So, tackling the­ problems of business talk betwe­en UK and Japan requires a fle­xible, all-around plan (Szkudlarek et al., 2020).</w:t>
      </w:r>
    </w:p>
    <w:p>
      <w:r>
        <w:t>As note­d, a multi-sided strategy is key to solving the­ complex problems of UK-Japan business communication. Looking back at me­thod selection, we se­e a need for constant update­s and changes. This makes sure the­ methods work well amidst the processes in the dynamic landscape of cross-cultural business communication. The strategies remain crucial in fostering meaningful connections, understandings, as well as successful collaboration between British firms and their counterparts in Japan.</w:t>
      </w:r>
    </w:p>
    <w:p>
      <w:pPr>
        <w:rPr>
          <w:b/>
        </w:rPr>
      </w:pPr>
      <w:r>
        <w:rPr>
          <w:b/>
        </w:rPr>
        <w:t xml:space="preserve">Conclusion </w:t>
      </w:r>
    </w:p>
    <w:p>
      <w:r>
        <w:t>The world of inte­rnational business talk is always changing. This is clear when we­ look at British businesses working with Japan. This essay has highlighte­d some tough problems and complexitie­s to do with talking between culture­s. We've studied the­ issues of language, ways of bargaining, cultural differe­nces, how technology fits in, and rules about how to communicate­. This has taught us more about the many sides of doing busine­ss in Japan. The way we sele­ct and judge things critically has shown how essential it is to have­ specific strategies that go be­yond surface changes. The Gibbs' Re­flective Cycle he­lps us understand why it's crucial to second-guess assumptions. It's a gre­at tool for growing cultural understanding. Learning should be­ continuous. We recommend spe­cific ways like negotiation tactics, language classe­s, and programs on culture. These can he­lp close communication gaps. British firms that do business in Japan nee­d to adapt to cultural differences. In conclusion, succe­ssful international communication is a process. It involves ongoing change­s and learning. By being sensitive­ to culture and investing in ways to understand it, British firms can cre­ate strong relationships. They can build trust and skillfully handle­ the complex business se­tting in Japan. The recommendations below will distill the insights drawn from the reflective essay into actionable steps that provide a clear roadmap to foster successful and enduring business relationships between British firms and those in Japan, in the continuously dynamic global marketplace.</w:t>
      </w:r>
    </w:p>
    <w:p>
      <w:pPr>
        <w:rPr>
          <w:b/>
        </w:rPr>
      </w:pPr>
      <w:r>
        <w:rPr>
          <w:b/>
        </w:rPr>
        <w:t xml:space="preserve">Recommendations </w:t>
      </w:r>
    </w:p>
    <w:p>
      <w:r>
        <w:t xml:space="preserve">Five challenges have been identified as inherent to business interactions between British firms and their Japanese counterparts, prompting a similar number of suggested strategies. However, among the approaches discussed as viable for enhancing business communication between the UK and Japan, an integrated and holistic approach is believed to be the most ideal for sustained success. The integration of language proficiency initiatives, adaptive negotiation strategies of negotiation, and continuous cultural training emerge as a comprehensive solution to addressing the identified multifaceted challenges. </w:t>
      </w:r>
    </w:p>
    <w:p>
      <w:pPr>
        <w:pStyle w:val="13"/>
        <w:numPr>
          <w:ilvl w:val="0"/>
          <w:numId w:val="1"/>
        </w:numPr>
      </w:pPr>
      <w:r>
        <w:t xml:space="preserve">Firstly, continuously investing in initiatives of language proficiency will help ensure that British employees have the requisite Japanese language skills for effectively navigating the diverse communication situations in the country. This approach directly addresses the challenge of language barriers, thus fostering a nuanced and inclusive exchange of information. </w:t>
      </w:r>
    </w:p>
    <w:p>
      <w:pPr>
        <w:pStyle w:val="13"/>
        <w:numPr>
          <w:ilvl w:val="0"/>
          <w:numId w:val="1"/>
        </w:numPr>
      </w:pPr>
      <w:r>
        <w:t>The second way is by always using programs to teach culture. This will help learn about Japanese work habits, social relationships and ways of talking deeply. Knowing about other cultures well will help you connect and trust with the ideas of Japanese people. This makes it easy to talk smoothly together through shared values.</w:t>
      </w:r>
    </w:p>
    <w:p>
      <w:pPr>
        <w:pStyle w:val="13"/>
        <w:numPr>
          <w:ilvl w:val="0"/>
          <w:numId w:val="1"/>
        </w:numPr>
      </w:pPr>
      <w:r>
        <w:t>The final point is talking tactics that can fit well with culture and languages. British talks people who see the importance of friendships first, realize that decisions in Japan are mostly voted on and require harmony. They can also work out deals with patience successfully here.</w:t>
      </w:r>
    </w:p>
    <w:p>
      <w:r>
        <w:t>In simple words, this teamwork between knowing the right language skills and using flexible conversation tactics along with steady culture learning gives a complete way to handle these problems. The method understands how talking is very important for British-Japanese business communication. It helps British firms to create deep connections with matching companies especially in foreign places where they do things differently and speak different languages.</w:t>
      </w:r>
    </w:p>
    <w:p>
      <w:r>
        <w:br w:type="page"/>
      </w:r>
    </w:p>
    <w:p>
      <w:r>
        <w:rPr>
          <w:b/>
        </w:rPr>
        <w:t xml:space="preserve">References </w:t>
      </w:r>
    </w:p>
    <w:p>
      <w:pPr>
        <w:ind w:left="720" w:hanging="720"/>
      </w:pPr>
      <w:r>
        <w:t>Adeani, I. S., Febriani, R. B., &amp; Syafryadin, S. (2020). Using GIBBS’reflective cycle in making reflections of literary analysis. </w:t>
      </w:r>
      <w:r>
        <w:rPr>
          <w:i/>
          <w:iCs/>
        </w:rPr>
        <w:t>Indonesian EFL Journal</w:t>
      </w:r>
      <w:r>
        <w:t>, </w:t>
      </w:r>
      <w:r>
        <w:rPr>
          <w:i/>
          <w:iCs/>
        </w:rPr>
        <w:t>6</w:t>
      </w:r>
      <w:r>
        <w:t xml:space="preserve">(2), 139-148. </w:t>
      </w:r>
    </w:p>
    <w:p>
      <w:pPr>
        <w:ind w:left="720" w:hanging="720"/>
      </w:pPr>
      <w:r>
        <w:t>Aichhorn, N., &amp; Puck, J. (2017). “I just don’t feel comfortable speaking English”: Foreign language anxiety as a catalyst for spoken-language barriers in MNCs. </w:t>
      </w:r>
      <w:r>
        <w:rPr>
          <w:i/>
          <w:iCs/>
        </w:rPr>
        <w:t>International Business Review</w:t>
      </w:r>
      <w:r>
        <w:t>, </w:t>
      </w:r>
      <w:r>
        <w:rPr>
          <w:i/>
          <w:iCs/>
        </w:rPr>
        <w:t>26</w:t>
      </w:r>
      <w:r>
        <w:t xml:space="preserve">(4), 749-763. </w:t>
      </w:r>
    </w:p>
    <w:p>
      <w:pPr>
        <w:ind w:left="720" w:hanging="720"/>
      </w:pPr>
      <w:r>
        <w:t>Caputo, A., Ayoko, O. B., Amoo, N., &amp; Menke, C. (2019). The relationship between cultural values, cultural intelligence and negotiation styles. </w:t>
      </w:r>
      <w:r>
        <w:rPr>
          <w:i/>
          <w:iCs/>
        </w:rPr>
        <w:t>Journal of Business Research</w:t>
      </w:r>
      <w:r>
        <w:t>, </w:t>
      </w:r>
      <w:r>
        <w:rPr>
          <w:i/>
          <w:iCs/>
        </w:rPr>
        <w:t>99</w:t>
      </w:r>
      <w:r>
        <w:t>, 23-36.</w:t>
      </w:r>
    </w:p>
    <w:p>
      <w:pPr>
        <w:ind w:left="720" w:hanging="720"/>
      </w:pPr>
      <w:r>
        <w:t xml:space="preserve">CIA World Factbook. (2023). </w:t>
      </w:r>
      <w:r>
        <w:rPr>
          <w:i/>
        </w:rPr>
        <w:t>Japan</w:t>
      </w:r>
      <w:r>
        <w:t xml:space="preserve">. </w:t>
      </w:r>
      <w:r>
        <w:fldChar w:fldCharType="begin"/>
      </w:r>
      <w:r>
        <w:instrText xml:space="preserve"> HYPERLINK "https://www.cia.gov/the-world-factbook/countries/japan/" \l "economy" </w:instrText>
      </w:r>
      <w:r>
        <w:fldChar w:fldCharType="separate"/>
      </w:r>
      <w:r>
        <w:rPr>
          <w:rStyle w:val="9"/>
        </w:rPr>
        <w:t>https://www.cia.gov/the-world-factbook/countries/japan/#economy</w:t>
      </w:r>
      <w:r>
        <w:rPr>
          <w:rStyle w:val="9"/>
        </w:rPr>
        <w:fldChar w:fldCharType="end"/>
      </w:r>
      <w:r>
        <w:t xml:space="preserve"> </w:t>
      </w:r>
    </w:p>
    <w:p>
      <w:pPr>
        <w:ind w:left="720" w:hanging="720"/>
      </w:pPr>
      <w:r>
        <w:t>Dressler, R., Becker, S., Kawalilak, C., &amp; Arthur, N. (2018). The cross-cultural reflective model for post-sojourn debriefing. </w:t>
      </w:r>
      <w:r>
        <w:rPr>
          <w:i/>
          <w:iCs/>
        </w:rPr>
        <w:t>Reflective Practice</w:t>
      </w:r>
      <w:r>
        <w:t>, </w:t>
      </w:r>
      <w:r>
        <w:rPr>
          <w:i/>
          <w:iCs/>
        </w:rPr>
        <w:t>19</w:t>
      </w:r>
      <w:r>
        <w:t>(4), 490-504.</w:t>
      </w:r>
    </w:p>
    <w:p>
      <w:pPr>
        <w:ind w:left="720" w:hanging="720"/>
      </w:pPr>
      <w:r>
        <w:t>Guffey, M. E., &amp; Loewy, D. (2019). </w:t>
      </w:r>
      <w:r>
        <w:rPr>
          <w:i/>
          <w:iCs/>
        </w:rPr>
        <w:t>Essentials of business communication</w:t>
      </w:r>
      <w:r>
        <w:t>. Cengage Learning.</w:t>
      </w:r>
    </w:p>
    <w:p>
      <w:pPr>
        <w:ind w:left="720" w:hanging="720"/>
      </w:pPr>
      <w:r>
        <w:t>He, K. N., Parkinson, L., &amp; Doyle, A. K. (2018). Gibbs’ Reflective Cycle.</w:t>
      </w:r>
    </w:p>
    <w:p>
      <w:pPr>
        <w:ind w:left="720" w:hanging="720"/>
      </w:pPr>
      <w:r>
        <w:t>Kobayashi, J., &amp; Viswat, L. (2011). Intercultural communication competence in business: Communication between Japanese and Americans. </w:t>
      </w:r>
      <w:r>
        <w:rPr>
          <w:i/>
          <w:iCs/>
        </w:rPr>
        <w:t>Journal of Intercultural Communication</w:t>
      </w:r>
      <w:r>
        <w:t>, </w:t>
      </w:r>
      <w:r>
        <w:rPr>
          <w:i/>
          <w:iCs/>
        </w:rPr>
        <w:t>11</w:t>
      </w:r>
      <w:r>
        <w:t>(2), 1-06.</w:t>
      </w:r>
    </w:p>
    <w:p>
      <w:pPr>
        <w:ind w:left="720" w:hanging="720"/>
      </w:pPr>
      <w:r>
        <w:t>Nomozova, M., &amp; Jurayeva, M. (2023). The Effect of Culture on International Negotiations: Communication styles, international negotiations, negotiators, significant role, British negotiation techniques, culture. </w:t>
      </w:r>
      <w:r>
        <w:rPr>
          <w:i/>
          <w:iCs/>
        </w:rPr>
        <w:t>Журнал иностранных языков и лингвистики</w:t>
      </w:r>
      <w:r>
        <w:t>, </w:t>
      </w:r>
      <w:r>
        <w:rPr>
          <w:i/>
          <w:iCs/>
        </w:rPr>
        <w:t>6</w:t>
      </w:r>
      <w:r>
        <w:t>(1).</w:t>
      </w:r>
    </w:p>
    <w:p>
      <w:pPr>
        <w:ind w:left="720" w:hanging="720"/>
      </w:pPr>
      <w:r>
        <w:t>Osakwe, M. O. M. (2021). </w:t>
      </w:r>
      <w:r>
        <w:rPr>
          <w:i/>
          <w:iCs/>
        </w:rPr>
        <w:t>The significance factors of business negotiations in Japan</w:t>
      </w:r>
      <w:r>
        <w:t> (Doctoral dissertation, Siam University Bangkok, Thailand).</w:t>
      </w:r>
    </w:p>
    <w:p>
      <w:pPr>
        <w:ind w:left="720" w:hanging="720"/>
      </w:pPr>
      <w:r>
        <w:t>Rustamov, I. T., &amp; Mamaziyayev, Z. X. (2022). Development of speaking comprehension in teaching foreign language for professional purposes. </w:t>
      </w:r>
      <w:r>
        <w:rPr>
          <w:i/>
          <w:iCs/>
        </w:rPr>
        <w:t>Asian Journal of Research in Social Sciences and Humanities</w:t>
      </w:r>
      <w:r>
        <w:t>, </w:t>
      </w:r>
      <w:r>
        <w:rPr>
          <w:i/>
          <w:iCs/>
        </w:rPr>
        <w:t>12</w:t>
      </w:r>
      <w:r>
        <w:t>(2), 227-233.</w:t>
      </w:r>
    </w:p>
    <w:p>
      <w:pPr>
        <w:ind w:left="720" w:hanging="720"/>
      </w:pPr>
      <w:r>
        <w:t>Stahl, G. K., &amp; Tung, R. L. (2015). Towards a more balanced treatment of culture in international business studies: The need for positive cross-cultural scholarship. </w:t>
      </w:r>
      <w:r>
        <w:rPr>
          <w:i/>
          <w:iCs/>
        </w:rPr>
        <w:t>Journal of International Business Studies</w:t>
      </w:r>
      <w:r>
        <w:t>, </w:t>
      </w:r>
      <w:r>
        <w:rPr>
          <w:i/>
          <w:iCs/>
        </w:rPr>
        <w:t>46</w:t>
      </w:r>
      <w:r>
        <w:t>, 391-414.</w:t>
      </w:r>
    </w:p>
    <w:p>
      <w:pPr>
        <w:ind w:left="720" w:hanging="720"/>
      </w:pPr>
      <w:r>
        <w:t>Szkudlarek, B., Osland, J. S., Nardon, L., &amp; Zander, L. (2020). Communication and culture in international business–Moving the field forward. </w:t>
      </w:r>
      <w:r>
        <w:rPr>
          <w:i/>
          <w:iCs/>
        </w:rPr>
        <w:t>Journal of World Business</w:t>
      </w:r>
      <w:r>
        <w:t>, </w:t>
      </w:r>
      <w:r>
        <w:rPr>
          <w:i/>
          <w:iCs/>
        </w:rPr>
        <w:t>55</w:t>
      </w:r>
      <w:r>
        <w:t>(6), 101126.</w:t>
      </w:r>
    </w:p>
    <w:p>
      <w:pPr>
        <w:ind w:left="720" w:hanging="720"/>
      </w:pPr>
      <w:r>
        <w:t>Tenzer, H., Pudelko, M., &amp; Zellmer-Bruhn, M. (2021). The impact of language barriers on knowledge processing in multinational teams. </w:t>
      </w:r>
      <w:r>
        <w:rPr>
          <w:i/>
          <w:iCs/>
        </w:rPr>
        <w:t>Journal of World Business</w:t>
      </w:r>
      <w:r>
        <w:t>, </w:t>
      </w:r>
      <w:r>
        <w:rPr>
          <w:i/>
          <w:iCs/>
        </w:rPr>
        <w:t>56</w:t>
      </w:r>
      <w:r>
        <w:t>(2), 101184.</w:t>
      </w:r>
    </w:p>
    <w:p>
      <w:pPr>
        <w:ind w:left="720" w:hanging="720"/>
      </w:pPr>
      <w:r>
        <w:t>Verluyten, S. P. (2020). Cultural biases in intercultural business communication courses and how to avoid them. In </w:t>
      </w:r>
      <w:r>
        <w:rPr>
          <w:i/>
          <w:iCs/>
        </w:rPr>
        <w:t>Exploring the Rhetoric of International Professional Communication</w:t>
      </w:r>
      <w:r>
        <w:t> (pp. 191-209). Routledge.</w:t>
      </w: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Calibri">
    <w:panose1 w:val="020F0502020204030204"/>
    <w:charset w:val="00"/>
    <w:family w:val="auto"/>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04878241"/>
      <w:docPartObj>
        <w:docPartGallery w:val="autotext"/>
      </w:docPartObj>
    </w:sdtPr>
    <w:sdtContent>
      <w:p>
        <w:pPr>
          <w:pStyle w:val="5"/>
        </w:pPr>
        <w:r>
          <w:t>REFLECTIVE ANALYSIS</w:t>
        </w:r>
        <w:r>
          <w:tab/>
        </w:r>
        <w:r>
          <w:tab/>
        </w:r>
        <w:r>
          <w:fldChar w:fldCharType="begin"/>
        </w:r>
        <w:r>
          <w:instrText xml:space="preserve"> PAGE   \* MERGEFORMAT </w:instrText>
        </w:r>
        <w:r>
          <w:fldChar w:fldCharType="separate"/>
        </w:r>
        <w:r>
          <w:t>2</w:t>
        </w:r>
        <w:r>
          <w:fldChar w:fldCharType="end"/>
        </w:r>
      </w:p>
    </w:sdtContent>
  </w:sdt>
  <w:p>
    <w:pPr>
      <w:pStyle w:val="5"/>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44D277F"/>
    <w:multiLevelType w:val="multilevel"/>
    <w:tmpl w:val="344D277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removePersonalInformation/>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TkzYWJmNjMxMzI2NWRkOTFiMDNhZDkxNjIzMGE5NDgifQ=="/>
  </w:docVars>
  <w:rsids>
    <w:rsidRoot w:val="00F27EB7"/>
    <w:rsid w:val="00020054"/>
    <w:rsid w:val="000A40BA"/>
    <w:rsid w:val="000A6E9B"/>
    <w:rsid w:val="000B02B1"/>
    <w:rsid w:val="000F3CC1"/>
    <w:rsid w:val="00124695"/>
    <w:rsid w:val="00132292"/>
    <w:rsid w:val="00163839"/>
    <w:rsid w:val="001A2655"/>
    <w:rsid w:val="00267FDD"/>
    <w:rsid w:val="002C1309"/>
    <w:rsid w:val="002C3742"/>
    <w:rsid w:val="002F36F2"/>
    <w:rsid w:val="003429CC"/>
    <w:rsid w:val="004A3D69"/>
    <w:rsid w:val="005A09CB"/>
    <w:rsid w:val="005E322E"/>
    <w:rsid w:val="00625635"/>
    <w:rsid w:val="00637F13"/>
    <w:rsid w:val="00642F8B"/>
    <w:rsid w:val="006B49E3"/>
    <w:rsid w:val="006E0EDA"/>
    <w:rsid w:val="0072402E"/>
    <w:rsid w:val="0079473C"/>
    <w:rsid w:val="00831B32"/>
    <w:rsid w:val="008803DE"/>
    <w:rsid w:val="00884F6F"/>
    <w:rsid w:val="008A2A67"/>
    <w:rsid w:val="008F1799"/>
    <w:rsid w:val="00951DB9"/>
    <w:rsid w:val="00966495"/>
    <w:rsid w:val="00984199"/>
    <w:rsid w:val="00995BF2"/>
    <w:rsid w:val="009B7284"/>
    <w:rsid w:val="009C4EE0"/>
    <w:rsid w:val="00A6288E"/>
    <w:rsid w:val="00AD79C3"/>
    <w:rsid w:val="00AE496D"/>
    <w:rsid w:val="00B813E7"/>
    <w:rsid w:val="00B8146F"/>
    <w:rsid w:val="00CA3777"/>
    <w:rsid w:val="00D90FCF"/>
    <w:rsid w:val="00DF3766"/>
    <w:rsid w:val="00E35CF6"/>
    <w:rsid w:val="00F16A19"/>
    <w:rsid w:val="00F27EB7"/>
    <w:rsid w:val="00F57B55"/>
    <w:rsid w:val="38F7054E"/>
    <w:rsid w:val="69595D88"/>
    <w:rsid w:val="7F4C228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480" w:lineRule="auto"/>
    </w:pPr>
    <w:rPr>
      <w:rFonts w:ascii="Times New Roman" w:hAnsi="Times New Roman" w:eastAsiaTheme="minorHAnsi" w:cstheme="minorBidi"/>
      <w:sz w:val="24"/>
      <w:szCs w:val="22"/>
      <w:lang w:val="en-US" w:eastAsia="en-US" w:bidi="ar-SA"/>
    </w:rPr>
  </w:style>
  <w:style w:type="paragraph" w:styleId="2">
    <w:name w:val="heading 1"/>
    <w:basedOn w:val="1"/>
    <w:next w:val="1"/>
    <w:qFormat/>
    <w:uiPriority w:val="9"/>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8">
    <w:name w:val="Default Paragraph Font"/>
    <w:autoRedefine/>
    <w:semiHidden/>
    <w:unhideWhenUsed/>
    <w:uiPriority w:val="1"/>
  </w:style>
  <w:style w:type="table" w:default="1" w:styleId="7">
    <w:name w:val="Normal Table"/>
    <w:semiHidden/>
    <w:unhideWhenUsed/>
    <w:uiPriority w:val="99"/>
    <w:tblPr>
      <w:tblCellMar>
        <w:top w:w="0" w:type="dxa"/>
        <w:left w:w="108" w:type="dxa"/>
        <w:bottom w:w="0" w:type="dxa"/>
        <w:right w:w="108" w:type="dxa"/>
      </w:tblCellMar>
    </w:tblPr>
  </w:style>
  <w:style w:type="paragraph" w:styleId="3">
    <w:name w:val="Balloon Text"/>
    <w:basedOn w:val="1"/>
    <w:link w:val="12"/>
    <w:autoRedefine/>
    <w:semiHidden/>
    <w:unhideWhenUsed/>
    <w:uiPriority w:val="99"/>
    <w:pPr>
      <w:spacing w:after="0" w:line="240" w:lineRule="auto"/>
    </w:pPr>
    <w:rPr>
      <w:rFonts w:ascii="Segoe UI" w:hAnsi="Segoe UI" w:cs="Segoe UI"/>
      <w:sz w:val="18"/>
      <w:szCs w:val="18"/>
    </w:rPr>
  </w:style>
  <w:style w:type="paragraph" w:styleId="4">
    <w:name w:val="footer"/>
    <w:basedOn w:val="1"/>
    <w:link w:val="11"/>
    <w:autoRedefine/>
    <w:unhideWhenUsed/>
    <w:qFormat/>
    <w:uiPriority w:val="99"/>
    <w:pPr>
      <w:tabs>
        <w:tab w:val="center" w:pos="4680"/>
        <w:tab w:val="right" w:pos="9360"/>
      </w:tabs>
      <w:spacing w:after="0" w:line="240" w:lineRule="auto"/>
    </w:pPr>
  </w:style>
  <w:style w:type="paragraph" w:styleId="5">
    <w:name w:val="header"/>
    <w:basedOn w:val="1"/>
    <w:link w:val="10"/>
    <w:autoRedefine/>
    <w:unhideWhenUsed/>
    <w:qFormat/>
    <w:uiPriority w:val="99"/>
    <w:pPr>
      <w:tabs>
        <w:tab w:val="center" w:pos="4680"/>
        <w:tab w:val="right" w:pos="9360"/>
      </w:tabs>
      <w:spacing w:after="0" w:line="240" w:lineRule="auto"/>
    </w:pPr>
  </w:style>
  <w:style w:type="paragraph" w:styleId="6">
    <w:name w:val="Normal (Web)"/>
    <w:basedOn w:val="1"/>
    <w:autoRedefine/>
    <w:semiHidden/>
    <w:unhideWhenUsed/>
    <w:qFormat/>
    <w:uiPriority w:val="99"/>
    <w:rPr>
      <w:rFonts w:cs="Times New Roman"/>
      <w:szCs w:val="24"/>
    </w:rPr>
  </w:style>
  <w:style w:type="character" w:styleId="9">
    <w:name w:val="Hyperlink"/>
    <w:basedOn w:val="8"/>
    <w:autoRedefine/>
    <w:unhideWhenUsed/>
    <w:qFormat/>
    <w:uiPriority w:val="99"/>
    <w:rPr>
      <w:color w:val="0563C1" w:themeColor="hyperlink"/>
      <w:u w:val="single"/>
      <w14:textFill>
        <w14:solidFill>
          <w14:schemeClr w14:val="hlink"/>
        </w14:solidFill>
      </w14:textFill>
    </w:rPr>
  </w:style>
  <w:style w:type="character" w:customStyle="1" w:styleId="10">
    <w:name w:val="Header Char"/>
    <w:basedOn w:val="8"/>
    <w:link w:val="5"/>
    <w:autoRedefine/>
    <w:qFormat/>
    <w:uiPriority w:val="99"/>
  </w:style>
  <w:style w:type="character" w:customStyle="1" w:styleId="11">
    <w:name w:val="Footer Char"/>
    <w:basedOn w:val="8"/>
    <w:link w:val="4"/>
    <w:autoRedefine/>
    <w:qFormat/>
    <w:uiPriority w:val="99"/>
  </w:style>
  <w:style w:type="character" w:customStyle="1" w:styleId="12">
    <w:name w:val="Balloon Text Char"/>
    <w:basedOn w:val="8"/>
    <w:link w:val="3"/>
    <w:autoRedefine/>
    <w:semiHidden/>
    <w:qFormat/>
    <w:uiPriority w:val="99"/>
    <w:rPr>
      <w:rFonts w:ascii="Segoe UI" w:hAnsi="Segoe UI" w:cs="Segoe UI"/>
      <w:sz w:val="18"/>
      <w:szCs w:val="18"/>
    </w:rPr>
  </w:style>
  <w:style w:type="paragraph" w:styleId="13">
    <w:name w:val="List Paragraph"/>
    <w:basedOn w:val="1"/>
    <w:autoRedefine/>
    <w:qFormat/>
    <w:uiPriority w:val="34"/>
    <w:pPr>
      <w:ind w:left="720"/>
      <w:contextualSpacing/>
    </w:pPr>
  </w:style>
  <w:style w:type="paragraph" w:styleId="14">
    <w:name w:val="No Spacing"/>
    <w:autoRedefine/>
    <w:qFormat/>
    <w:uiPriority w:val="1"/>
    <w:rPr>
      <w:rFonts w:asciiTheme="minorHAnsi" w:hAnsiTheme="minorHAnsi" w:eastAsiaTheme="minorEastAsia" w:cstheme="minorBidi"/>
      <w:kern w:val="0"/>
      <w:sz w:val="22"/>
      <w:szCs w:val="22"/>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13</Pages>
  <Words>2944</Words>
  <Characters>16784</Characters>
  <Lines>139</Lines>
  <Paragraphs>39</Paragraphs>
  <TotalTime>1</TotalTime>
  <ScaleCrop>false</ScaleCrop>
  <LinksUpToDate>false</LinksUpToDate>
  <CharactersWithSpaces>19689</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2024-01-02T06:09:00Z</dcterms:created>
  <dcterms:modified xsi:type="dcterms:W3CDTF">2024-01-09T20:19:40Z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40B9DC94898A4E6FA360BE5A94B4DCC9_12</vt:lpwstr>
  </property>
</Properties>
</file>