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910D83" w14:textId="77777777" w:rsidR="00C00916" w:rsidRDefault="00000000">
      <w:pPr>
        <w:jc w:val="center"/>
      </w:pPr>
      <w:r>
        <w:rPr>
          <w:b/>
          <w:sz w:val="36"/>
        </w:rPr>
        <w:br/>
      </w:r>
      <w:r>
        <w:rPr>
          <w:b/>
          <w:sz w:val="36"/>
        </w:rPr>
        <w:br/>
        <w:t>University of Wales Trinity Saint David</w:t>
      </w:r>
      <w:r>
        <w:rPr>
          <w:b/>
          <w:sz w:val="36"/>
        </w:rPr>
        <w:br/>
      </w:r>
      <w:r>
        <w:rPr>
          <w:b/>
          <w:sz w:val="32"/>
        </w:rPr>
        <w:t>BMHP5014 Component 1 Portfolio</w:t>
      </w:r>
      <w:r>
        <w:rPr>
          <w:b/>
          <w:sz w:val="32"/>
        </w:rPr>
        <w:br/>
      </w:r>
      <w:r>
        <w:rPr>
          <w:sz w:val="26"/>
        </w:rPr>
        <w:t>Creativity, Innovation and Value Creation in Health and Social Care</w:t>
      </w:r>
      <w:r>
        <w:rPr>
          <w:sz w:val="26"/>
        </w:rPr>
        <w:br/>
      </w:r>
      <w:r>
        <w:rPr>
          <w:sz w:val="26"/>
        </w:rPr>
        <w:br/>
      </w:r>
    </w:p>
    <w:tbl>
      <w:tblPr>
        <w:tblStyle w:val="TableGrid"/>
        <w:tblW w:w="0" w:type="auto"/>
        <w:jc w:val="center"/>
        <w:tblLook w:val="04A0" w:firstRow="1" w:lastRow="0" w:firstColumn="1" w:lastColumn="0" w:noHBand="0" w:noVBand="1"/>
      </w:tblPr>
      <w:tblGrid>
        <w:gridCol w:w="4896"/>
        <w:gridCol w:w="4896"/>
      </w:tblGrid>
      <w:tr w:rsidR="00C00916" w14:paraId="4E0DEFA3" w14:textId="77777777">
        <w:trPr>
          <w:jc w:val="center"/>
        </w:trPr>
        <w:tc>
          <w:tcPr>
            <w:tcW w:w="4896" w:type="dxa"/>
          </w:tcPr>
          <w:p w14:paraId="3FC01F99" w14:textId="77777777" w:rsidR="00C00916" w:rsidRDefault="00000000">
            <w:r>
              <w:t>Student Name</w:t>
            </w:r>
          </w:p>
        </w:tc>
        <w:tc>
          <w:tcPr>
            <w:tcW w:w="4896" w:type="dxa"/>
          </w:tcPr>
          <w:p w14:paraId="48891596" w14:textId="182BA59F" w:rsidR="00C00916" w:rsidRDefault="00BE2FB4">
            <w:r>
              <w:t>Noshin Gul</w:t>
            </w:r>
          </w:p>
        </w:tc>
      </w:tr>
      <w:tr w:rsidR="00C00916" w14:paraId="7A849ED9" w14:textId="77777777">
        <w:trPr>
          <w:jc w:val="center"/>
        </w:trPr>
        <w:tc>
          <w:tcPr>
            <w:tcW w:w="4896" w:type="dxa"/>
          </w:tcPr>
          <w:p w14:paraId="07AF1962" w14:textId="77777777" w:rsidR="00C00916" w:rsidRDefault="00000000">
            <w:r>
              <w:t>Student ID</w:t>
            </w:r>
          </w:p>
        </w:tc>
        <w:tc>
          <w:tcPr>
            <w:tcW w:w="4896" w:type="dxa"/>
          </w:tcPr>
          <w:p w14:paraId="636D7DEB" w14:textId="4D69B3A4" w:rsidR="00C00916" w:rsidRDefault="00BE2FB4">
            <w:r>
              <w:t>2425431</w:t>
            </w:r>
          </w:p>
        </w:tc>
      </w:tr>
      <w:tr w:rsidR="00C00916" w14:paraId="4987E1AE" w14:textId="77777777">
        <w:trPr>
          <w:jc w:val="center"/>
        </w:trPr>
        <w:tc>
          <w:tcPr>
            <w:tcW w:w="4896" w:type="dxa"/>
          </w:tcPr>
          <w:p w14:paraId="4CCEDC0C" w14:textId="77777777" w:rsidR="00C00916" w:rsidRDefault="00000000">
            <w:r>
              <w:t>Module</w:t>
            </w:r>
          </w:p>
        </w:tc>
        <w:tc>
          <w:tcPr>
            <w:tcW w:w="4896" w:type="dxa"/>
          </w:tcPr>
          <w:p w14:paraId="36DCA3E2" w14:textId="77777777" w:rsidR="00C00916" w:rsidRDefault="00000000">
            <w:r>
              <w:t>BMHP5014</w:t>
            </w:r>
          </w:p>
        </w:tc>
      </w:tr>
      <w:tr w:rsidR="00C00916" w14:paraId="6D60BA6A" w14:textId="77777777">
        <w:trPr>
          <w:jc w:val="center"/>
        </w:trPr>
        <w:tc>
          <w:tcPr>
            <w:tcW w:w="4896" w:type="dxa"/>
          </w:tcPr>
          <w:p w14:paraId="7CE99C1C" w14:textId="77777777" w:rsidR="00C00916" w:rsidRDefault="00000000">
            <w:r>
              <w:t>Assessment</w:t>
            </w:r>
          </w:p>
        </w:tc>
        <w:tc>
          <w:tcPr>
            <w:tcW w:w="4896" w:type="dxa"/>
          </w:tcPr>
          <w:p w14:paraId="2916DE73" w14:textId="77777777" w:rsidR="00C00916" w:rsidRDefault="00000000">
            <w:r>
              <w:t>Component 1 Portfolio</w:t>
            </w:r>
          </w:p>
        </w:tc>
      </w:tr>
      <w:tr w:rsidR="00C00916" w14:paraId="621F122E" w14:textId="77777777">
        <w:trPr>
          <w:jc w:val="center"/>
        </w:trPr>
        <w:tc>
          <w:tcPr>
            <w:tcW w:w="4896" w:type="dxa"/>
          </w:tcPr>
          <w:p w14:paraId="32DC7024" w14:textId="77777777" w:rsidR="00C00916" w:rsidRDefault="00000000">
            <w:r>
              <w:t>Submission Date</w:t>
            </w:r>
          </w:p>
        </w:tc>
        <w:tc>
          <w:tcPr>
            <w:tcW w:w="4896" w:type="dxa"/>
          </w:tcPr>
          <w:p w14:paraId="4DC6E3D4" w14:textId="182B204C" w:rsidR="00C00916" w:rsidRDefault="00BE2FB4">
            <w:r>
              <w:t>June 30,2026</w:t>
            </w:r>
          </w:p>
        </w:tc>
      </w:tr>
    </w:tbl>
    <w:p w14:paraId="5D096A91" w14:textId="77777777" w:rsidR="00C00916" w:rsidRDefault="00000000">
      <w:r>
        <w:br w:type="page"/>
      </w:r>
    </w:p>
    <w:p w14:paraId="4D4A202E" w14:textId="77777777" w:rsidR="00C00916" w:rsidRDefault="00000000">
      <w:pPr>
        <w:pStyle w:val="Heading1"/>
      </w:pPr>
      <w:r>
        <w:rPr>
          <w:rFonts w:ascii="Arial" w:hAnsi="Arial"/>
        </w:rPr>
        <w:lastRenderedPageBreak/>
        <w:t>Task 1 – Concept Map</w:t>
      </w:r>
    </w:p>
    <w:p w14:paraId="2FC166F1" w14:textId="77777777" w:rsidR="00C00916" w:rsidRDefault="00000000">
      <w:r>
        <w:t>Concept map: Relationship between creativity, value creation and health and social care improvement</w:t>
      </w:r>
    </w:p>
    <w:tbl>
      <w:tblPr>
        <w:tblStyle w:val="TableGrid"/>
        <w:tblW w:w="0" w:type="auto"/>
        <w:jc w:val="center"/>
        <w:tblLook w:val="04A0" w:firstRow="1" w:lastRow="0" w:firstColumn="1" w:lastColumn="0" w:noHBand="0" w:noVBand="1"/>
      </w:tblPr>
      <w:tblGrid>
        <w:gridCol w:w="3264"/>
        <w:gridCol w:w="3264"/>
        <w:gridCol w:w="3264"/>
      </w:tblGrid>
      <w:tr w:rsidR="00C00916" w14:paraId="20BB7424" w14:textId="77777777">
        <w:trPr>
          <w:jc w:val="center"/>
        </w:trPr>
        <w:tc>
          <w:tcPr>
            <w:tcW w:w="3264" w:type="dxa"/>
            <w:shd w:val="clear" w:color="auto" w:fill="D9EAF7"/>
            <w:vAlign w:val="center"/>
          </w:tcPr>
          <w:p w14:paraId="29970A69" w14:textId="77777777" w:rsidR="00C00916" w:rsidRDefault="00000000">
            <w:pPr>
              <w:jc w:val="center"/>
            </w:pPr>
            <w:r>
              <w:rPr>
                <w:b/>
                <w:sz w:val="20"/>
              </w:rPr>
              <w:t>CREATIVITY</w:t>
            </w:r>
          </w:p>
        </w:tc>
        <w:tc>
          <w:tcPr>
            <w:tcW w:w="3264" w:type="dxa"/>
            <w:shd w:val="clear" w:color="auto" w:fill="D9EAF7"/>
            <w:vAlign w:val="center"/>
          </w:tcPr>
          <w:p w14:paraId="22773656" w14:textId="77777777" w:rsidR="00C00916" w:rsidRDefault="00000000">
            <w:pPr>
              <w:jc w:val="center"/>
            </w:pPr>
            <w:r>
              <w:rPr>
                <w:b/>
                <w:sz w:val="20"/>
              </w:rPr>
              <w:t>→</w:t>
            </w:r>
          </w:p>
        </w:tc>
        <w:tc>
          <w:tcPr>
            <w:tcW w:w="3264" w:type="dxa"/>
            <w:shd w:val="clear" w:color="auto" w:fill="D9EAF7"/>
            <w:vAlign w:val="center"/>
          </w:tcPr>
          <w:p w14:paraId="526C5310" w14:textId="77777777" w:rsidR="00C00916" w:rsidRDefault="00000000">
            <w:pPr>
              <w:jc w:val="center"/>
            </w:pPr>
            <w:r>
              <w:rPr>
                <w:b/>
                <w:sz w:val="20"/>
              </w:rPr>
              <w:t>INNOVATION</w:t>
            </w:r>
          </w:p>
        </w:tc>
      </w:tr>
      <w:tr w:rsidR="00C00916" w14:paraId="3917BC75" w14:textId="77777777">
        <w:trPr>
          <w:jc w:val="center"/>
        </w:trPr>
        <w:tc>
          <w:tcPr>
            <w:tcW w:w="3264" w:type="dxa"/>
            <w:shd w:val="clear" w:color="auto" w:fill="F2F2F2"/>
            <w:vAlign w:val="center"/>
          </w:tcPr>
          <w:p w14:paraId="52634F0F" w14:textId="77777777" w:rsidR="00C00916" w:rsidRDefault="00000000">
            <w:pPr>
              <w:jc w:val="center"/>
            </w:pPr>
            <w:r>
              <w:rPr>
                <w:sz w:val="20"/>
              </w:rPr>
              <w:t>Divergent thinking</w:t>
            </w:r>
            <w:r>
              <w:rPr>
                <w:sz w:val="20"/>
              </w:rPr>
              <w:br/>
              <w:t>Convergent thinking</w:t>
            </w:r>
            <w:r>
              <w:rPr>
                <w:sz w:val="20"/>
              </w:rPr>
              <w:br/>
              <w:t>Person-centred ideas</w:t>
            </w:r>
            <w:r>
              <w:rPr>
                <w:sz w:val="20"/>
              </w:rPr>
              <w:br/>
              <w:t>Resourcefulness</w:t>
            </w:r>
          </w:p>
        </w:tc>
        <w:tc>
          <w:tcPr>
            <w:tcW w:w="3264" w:type="dxa"/>
            <w:shd w:val="clear" w:color="auto" w:fill="FFFFFF"/>
            <w:vAlign w:val="center"/>
          </w:tcPr>
          <w:p w14:paraId="46DCE550" w14:textId="77777777" w:rsidR="00C00916" w:rsidRDefault="00C00916">
            <w:pPr>
              <w:jc w:val="center"/>
            </w:pPr>
          </w:p>
        </w:tc>
        <w:tc>
          <w:tcPr>
            <w:tcW w:w="3264" w:type="dxa"/>
            <w:shd w:val="clear" w:color="auto" w:fill="F2F2F2"/>
            <w:vAlign w:val="center"/>
          </w:tcPr>
          <w:p w14:paraId="2356195D" w14:textId="77777777" w:rsidR="00C00916" w:rsidRDefault="00000000">
            <w:pPr>
              <w:jc w:val="center"/>
            </w:pPr>
            <w:r>
              <w:rPr>
                <w:sz w:val="20"/>
              </w:rPr>
              <w:t>New services</w:t>
            </w:r>
            <w:r>
              <w:rPr>
                <w:sz w:val="20"/>
              </w:rPr>
              <w:br/>
              <w:t>Digital tools</w:t>
            </w:r>
            <w:r>
              <w:rPr>
                <w:sz w:val="20"/>
              </w:rPr>
              <w:br/>
              <w:t>Redesigned pathways</w:t>
            </w:r>
            <w:r>
              <w:rPr>
                <w:sz w:val="20"/>
              </w:rPr>
              <w:br/>
              <w:t>Collaborative working</w:t>
            </w:r>
          </w:p>
        </w:tc>
      </w:tr>
      <w:tr w:rsidR="00C00916" w14:paraId="2CE3CF10" w14:textId="77777777">
        <w:trPr>
          <w:jc w:val="center"/>
        </w:trPr>
        <w:tc>
          <w:tcPr>
            <w:tcW w:w="3264" w:type="dxa"/>
            <w:shd w:val="clear" w:color="auto" w:fill="F2F2F2"/>
            <w:vAlign w:val="center"/>
          </w:tcPr>
          <w:p w14:paraId="5EA5ACC5" w14:textId="77777777" w:rsidR="00C00916" w:rsidRDefault="00000000">
            <w:pPr>
              <w:jc w:val="center"/>
            </w:pPr>
            <w:r>
              <w:rPr>
                <w:sz w:val="20"/>
              </w:rPr>
              <w:t>↓</w:t>
            </w:r>
          </w:p>
        </w:tc>
        <w:tc>
          <w:tcPr>
            <w:tcW w:w="3264" w:type="dxa"/>
            <w:shd w:val="clear" w:color="auto" w:fill="FFFFFF"/>
            <w:vAlign w:val="center"/>
          </w:tcPr>
          <w:p w14:paraId="14E1DA5C" w14:textId="77777777" w:rsidR="00C00916" w:rsidRDefault="00C00916">
            <w:pPr>
              <w:jc w:val="center"/>
            </w:pPr>
          </w:p>
        </w:tc>
        <w:tc>
          <w:tcPr>
            <w:tcW w:w="3264" w:type="dxa"/>
            <w:shd w:val="clear" w:color="auto" w:fill="F2F2F2"/>
            <w:vAlign w:val="center"/>
          </w:tcPr>
          <w:p w14:paraId="3782B844" w14:textId="77777777" w:rsidR="00C00916" w:rsidRDefault="00000000">
            <w:pPr>
              <w:jc w:val="center"/>
            </w:pPr>
            <w:r>
              <w:rPr>
                <w:sz w:val="20"/>
              </w:rPr>
              <w:t>↓</w:t>
            </w:r>
          </w:p>
        </w:tc>
      </w:tr>
      <w:tr w:rsidR="00C00916" w14:paraId="5A0B733D" w14:textId="77777777">
        <w:trPr>
          <w:jc w:val="center"/>
        </w:trPr>
        <w:tc>
          <w:tcPr>
            <w:tcW w:w="3264" w:type="dxa"/>
            <w:shd w:val="clear" w:color="auto" w:fill="D9EAF7"/>
            <w:vAlign w:val="center"/>
          </w:tcPr>
          <w:p w14:paraId="3A8B61CB" w14:textId="77777777" w:rsidR="00C00916" w:rsidRDefault="00000000">
            <w:pPr>
              <w:jc w:val="center"/>
            </w:pPr>
            <w:r>
              <w:rPr>
                <w:b/>
                <w:sz w:val="20"/>
              </w:rPr>
              <w:t>VALUE CREATION</w:t>
            </w:r>
          </w:p>
        </w:tc>
        <w:tc>
          <w:tcPr>
            <w:tcW w:w="3264" w:type="dxa"/>
            <w:shd w:val="clear" w:color="auto" w:fill="D9EAF7"/>
            <w:vAlign w:val="center"/>
          </w:tcPr>
          <w:p w14:paraId="10337F71" w14:textId="77777777" w:rsidR="00C00916" w:rsidRDefault="00000000">
            <w:pPr>
              <w:jc w:val="center"/>
            </w:pPr>
            <w:r>
              <w:rPr>
                <w:b/>
                <w:sz w:val="20"/>
              </w:rPr>
              <w:t>→</w:t>
            </w:r>
          </w:p>
        </w:tc>
        <w:tc>
          <w:tcPr>
            <w:tcW w:w="3264" w:type="dxa"/>
            <w:shd w:val="clear" w:color="auto" w:fill="D9EAF7"/>
            <w:vAlign w:val="center"/>
          </w:tcPr>
          <w:p w14:paraId="22ACCB99" w14:textId="77777777" w:rsidR="00C00916" w:rsidRDefault="00000000">
            <w:pPr>
              <w:jc w:val="center"/>
            </w:pPr>
            <w:r>
              <w:rPr>
                <w:b/>
                <w:sz w:val="20"/>
              </w:rPr>
              <w:t>H&amp;SC IMPROVEMENT</w:t>
            </w:r>
          </w:p>
        </w:tc>
      </w:tr>
      <w:tr w:rsidR="00C00916" w14:paraId="497B2268" w14:textId="77777777">
        <w:trPr>
          <w:jc w:val="center"/>
        </w:trPr>
        <w:tc>
          <w:tcPr>
            <w:tcW w:w="3264" w:type="dxa"/>
            <w:shd w:val="clear" w:color="auto" w:fill="F2F2F2"/>
            <w:vAlign w:val="center"/>
          </w:tcPr>
          <w:p w14:paraId="0450D005" w14:textId="77777777" w:rsidR="00C00916" w:rsidRDefault="00000000">
            <w:pPr>
              <w:jc w:val="center"/>
            </w:pPr>
            <w:r>
              <w:rPr>
                <w:sz w:val="20"/>
              </w:rPr>
              <w:t>Access</w:t>
            </w:r>
            <w:r>
              <w:rPr>
                <w:sz w:val="20"/>
              </w:rPr>
              <w:br/>
              <w:t>Wellbeing</w:t>
            </w:r>
            <w:r>
              <w:rPr>
                <w:sz w:val="20"/>
              </w:rPr>
              <w:br/>
              <w:t>Efficiency</w:t>
            </w:r>
            <w:r>
              <w:rPr>
                <w:sz w:val="20"/>
              </w:rPr>
              <w:br/>
              <w:t>Safety</w:t>
            </w:r>
            <w:r>
              <w:rPr>
                <w:sz w:val="20"/>
              </w:rPr>
              <w:br/>
              <w:t>Cost-effectiveness</w:t>
            </w:r>
          </w:p>
        </w:tc>
        <w:tc>
          <w:tcPr>
            <w:tcW w:w="3264" w:type="dxa"/>
            <w:shd w:val="clear" w:color="auto" w:fill="FFFFFF"/>
            <w:vAlign w:val="center"/>
          </w:tcPr>
          <w:p w14:paraId="2B48EFAA" w14:textId="77777777" w:rsidR="00C00916" w:rsidRDefault="00C00916">
            <w:pPr>
              <w:jc w:val="center"/>
            </w:pPr>
          </w:p>
        </w:tc>
        <w:tc>
          <w:tcPr>
            <w:tcW w:w="3264" w:type="dxa"/>
            <w:shd w:val="clear" w:color="auto" w:fill="F2F2F2"/>
            <w:vAlign w:val="center"/>
          </w:tcPr>
          <w:p w14:paraId="281F07CE" w14:textId="77777777" w:rsidR="00C00916" w:rsidRDefault="00000000">
            <w:pPr>
              <w:jc w:val="center"/>
            </w:pPr>
            <w:r>
              <w:rPr>
                <w:sz w:val="20"/>
              </w:rPr>
              <w:t>Better outcomes</w:t>
            </w:r>
            <w:r>
              <w:rPr>
                <w:sz w:val="20"/>
              </w:rPr>
              <w:br/>
              <w:t>Better experience</w:t>
            </w:r>
            <w:r>
              <w:rPr>
                <w:sz w:val="20"/>
              </w:rPr>
              <w:br/>
              <w:t>Reduced pressure</w:t>
            </w:r>
            <w:r>
              <w:rPr>
                <w:sz w:val="20"/>
              </w:rPr>
              <w:br/>
              <w:t>Continuous learning</w:t>
            </w:r>
          </w:p>
        </w:tc>
      </w:tr>
    </w:tbl>
    <w:p w14:paraId="166536C6" w14:textId="77777777" w:rsidR="0067679C" w:rsidRDefault="0067679C"/>
    <w:p w14:paraId="2586C141" w14:textId="1AFAD4C5" w:rsidR="00C00916" w:rsidRDefault="0067679C">
      <w:r w:rsidRPr="0067679C">
        <w:t>In this concept map, creativity is the</w:t>
      </w:r>
      <w:r w:rsidRPr="0067679C">
        <w:t> </w:t>
      </w:r>
      <w:r w:rsidRPr="0067679C">
        <w:t>antecedent for health and social care innovation. Creativity: looking at an issue or problem from a different prospective, thinking divergently to generate</w:t>
      </w:r>
      <w:r w:rsidRPr="0067679C">
        <w:t> </w:t>
      </w:r>
      <w:r w:rsidRPr="0067679C">
        <w:t>a quantity of potential solutions, then thinking convergently to find the most workable one. When business in its turn embodies the creative concepts, known as</w:t>
      </w:r>
      <w:r w:rsidRPr="0067679C">
        <w:t> </w:t>
      </w:r>
      <w:r w:rsidRPr="0067679C">
        <w:t>ideas, they become innovation. In health and</w:t>
      </w:r>
      <w:r w:rsidRPr="0067679C">
        <w:t> </w:t>
      </w:r>
      <w:r w:rsidRPr="0067679C">
        <w:t>social care, an innovation is a new service, digital tool, a reorganised pathway, or a alternative mode of working which delivers improved outcomes and experiences (Care Quality Commission, 2021). The creation of value</w:t>
      </w:r>
      <w:r w:rsidRPr="0067679C">
        <w:t> </w:t>
      </w:r>
      <w:r w:rsidRPr="0067679C">
        <w:t>is an innovation well done. Value to users in terms of services</w:t>
      </w:r>
      <w:r w:rsidRPr="0067679C">
        <w:t> </w:t>
      </w:r>
      <w:r w:rsidRPr="0067679C">
        <w:t>may be safer care, better access, greater independence, dignity, trust and enhanced wellbeing. For providers, value can mean reduced pressure on hospitals, improved collaboration, elimination of</w:t>
      </w:r>
      <w:r w:rsidRPr="0067679C">
        <w:t> </w:t>
      </w:r>
      <w:r w:rsidRPr="0067679C">
        <w:t>waste, and better utilization of limited resources. The</w:t>
      </w:r>
      <w:r w:rsidRPr="0067679C">
        <w:t> </w:t>
      </w:r>
      <w:r w:rsidRPr="0067679C">
        <w:t>three concepts overlap. For instance, a hospital-centred system may generate long waiting</w:t>
      </w:r>
      <w:r w:rsidRPr="0067679C">
        <w:t> </w:t>
      </w:r>
      <w:r w:rsidRPr="0067679C">
        <w:t>times and inadequate access. Creative thinking poses</w:t>
      </w:r>
      <w:r w:rsidRPr="0067679C">
        <w:t> </w:t>
      </w:r>
      <w:r w:rsidRPr="0067679C">
        <w:t>to staff and service users the question: “Do we need to provide this care differently?” "Innovation</w:t>
      </w:r>
      <w:r w:rsidRPr="0067679C">
        <w:t> </w:t>
      </w:r>
      <w:r w:rsidRPr="0067679C">
        <w:t>makes that question a practical answer, such as remote monitoring, digital health records, a dementia-friendly environment or a community-based service."” The improvement is</w:t>
      </w:r>
      <w:r w:rsidRPr="0067679C">
        <w:t> </w:t>
      </w:r>
      <w:r w:rsidRPr="0067679C">
        <w:t>evaluated by patient satisfaction, health outcomes, efficiency, cost-effectiveness and equality of access. User and staff response to services then creates further imagined futures so</w:t>
      </w:r>
      <w:r w:rsidRPr="0067679C">
        <w:t> </w:t>
      </w:r>
      <w:r w:rsidRPr="0067679C">
        <w:t>progress is an ongoing process rather than a single-change intervention. Hence, creativity, value creation and health and social care quality improvement are intertwined as creativity conceives the idea, innovation implements it, and value indicates if it has truly enhanced lives.</w:t>
      </w:r>
      <w:r>
        <w:br w:type="page"/>
      </w:r>
    </w:p>
    <w:p w14:paraId="3DB09BF4" w14:textId="77777777" w:rsidR="00C00916" w:rsidRDefault="00000000">
      <w:pPr>
        <w:pStyle w:val="Heading1"/>
      </w:pPr>
      <w:r>
        <w:rPr>
          <w:rFonts w:ascii="Arial" w:hAnsi="Arial"/>
        </w:rPr>
        <w:lastRenderedPageBreak/>
        <w:t>Task 2 – Self-Reflection of Group Activity</w:t>
      </w:r>
    </w:p>
    <w:p w14:paraId="55E9448A" w14:textId="77777777" w:rsidR="0067679C" w:rsidRDefault="0067679C">
      <w:r w:rsidRPr="0067679C">
        <w:t>I used Gibbs’ reflective cycle for the paperclip activity, as it facilitates structured reflection through the phases of description, emotions, evaluation,</w:t>
      </w:r>
      <w:r w:rsidRPr="0067679C">
        <w:t> </w:t>
      </w:r>
      <w:r w:rsidRPr="0067679C">
        <w:t>analysis, conclusion and a plan of action (Gibbs, 1988). During the exercise, my team</w:t>
      </w:r>
      <w:r w:rsidRPr="0067679C">
        <w:t> </w:t>
      </w:r>
      <w:r w:rsidRPr="0067679C">
        <w:t>had to think of the most uses for a paperclip in 10 minutes. We had 18, ranging from a bookmark to</w:t>
      </w:r>
      <w:r w:rsidRPr="0067679C">
        <w:t> </w:t>
      </w:r>
      <w:r w:rsidRPr="0067679C">
        <w:t>a SIM card tool, zip pull, phone stand, hook, keyring, cable organiser, plant support and even as an emergency glasses repair tool.</w:t>
      </w:r>
    </w:p>
    <w:p w14:paraId="2AA0F4C5" w14:textId="77777777" w:rsidR="0067679C" w:rsidRDefault="00000000">
      <w:r>
        <w:br/>
      </w:r>
      <w:r w:rsidR="0067679C" w:rsidRPr="0067679C">
        <w:t>Initially I was a little dubious because the task was much simpler than expected,</w:t>
      </w:r>
      <w:r w:rsidR="0067679C" w:rsidRPr="0067679C">
        <w:t> </w:t>
      </w:r>
      <w:r w:rsidR="0067679C" w:rsidRPr="0067679C">
        <w:t>though unexpected. Yet as the</w:t>
      </w:r>
      <w:r w:rsidR="0067679C" w:rsidRPr="0067679C">
        <w:t> </w:t>
      </w:r>
      <w:r w:rsidR="0067679C" w:rsidRPr="0067679C">
        <w:t>team started to pitch ideas, I became more confident and I suggested a couple of pretty out there ideas before they were ripped apart. We were pretty tolerant of differing opinions and ways of thinking out</w:t>
      </w:r>
      <w:r w:rsidR="0067679C" w:rsidRPr="0067679C">
        <w:t> </w:t>
      </w:r>
      <w:r w:rsidR="0067679C" w:rsidRPr="0067679C">
        <w:t>there, we were meant to come up with as many ideas as possible, not just stick with our first. The good thing was</w:t>
      </w:r>
      <w:r w:rsidR="0067679C" w:rsidRPr="0067679C">
        <w:t> </w:t>
      </w:r>
      <w:r w:rsidR="0067679C" w:rsidRPr="0067679C">
        <w:t>the group got more creative as we fed off one another. One restriction was some of the suggestions were impractical, or dangerous, so in the second stage we had to assess which ones were practical</w:t>
      </w:r>
      <w:r w:rsidR="0067679C" w:rsidRPr="0067679C">
        <w:t> </w:t>
      </w:r>
      <w:r w:rsidR="0067679C" w:rsidRPr="0067679C">
        <w:t>as well.</w:t>
      </w:r>
    </w:p>
    <w:p w14:paraId="45669DB5" w14:textId="73EE0207" w:rsidR="00C00916" w:rsidRDefault="00000000">
      <w:r>
        <w:br/>
      </w:r>
      <w:r w:rsidR="0067679C" w:rsidRPr="0067679C">
        <w:t>So</w:t>
      </w:r>
      <w:r w:rsidR="0067679C" w:rsidRPr="0067679C">
        <w:t> </w:t>
      </w:r>
      <w:r w:rsidR="0067679C" w:rsidRPr="0067679C">
        <w:t>that's how I discerned the difference between convergent and divergent thinking. Divergent thinking helped us to more ideas, and convergent</w:t>
      </w:r>
      <w:r w:rsidR="0067679C" w:rsidRPr="0067679C">
        <w:t> </w:t>
      </w:r>
      <w:r w:rsidR="0067679C" w:rsidRPr="0067679C">
        <w:t>thinking helped us to weed out ideas and choose the safest, most useful solutions. I realised that to be creative in health and social care doesn’t have to be a big invention it can be based on</w:t>
      </w:r>
      <w:r w:rsidR="0067679C" w:rsidRPr="0067679C">
        <w:t> </w:t>
      </w:r>
      <w:r w:rsidR="0067679C" w:rsidRPr="0067679C">
        <w:t>resourcefulness, working with others and problem solving with a small amount of materials. In our next group projects, I plan to encourage open brainstorming (After</w:t>
      </w:r>
      <w:r w:rsidR="0067679C" w:rsidRPr="0067679C">
        <w:t> </w:t>
      </w:r>
      <w:r w:rsidR="0067679C" w:rsidRPr="0067679C">
        <w:t>Safety, Cost, Ease of Use, and Availability before the final decision) more specific guidelines for after the final decision.</w:t>
      </w:r>
      <w:r>
        <w:br w:type="page"/>
      </w:r>
    </w:p>
    <w:p w14:paraId="0CBCEF91" w14:textId="77777777" w:rsidR="00C00916" w:rsidRDefault="00000000">
      <w:pPr>
        <w:pStyle w:val="Heading1"/>
      </w:pPr>
      <w:r>
        <w:rPr>
          <w:rFonts w:ascii="Arial" w:hAnsi="Arial"/>
        </w:rPr>
        <w:lastRenderedPageBreak/>
        <w:t>Task 3 – Case Study of a UK Innovation</w:t>
      </w:r>
    </w:p>
    <w:p w14:paraId="1C3B6527" w14:textId="77777777" w:rsidR="0067679C" w:rsidRDefault="0067679C">
      <w:r w:rsidRPr="0067679C">
        <w:t>NHS at Home is also part of the virtual care model</w:t>
      </w:r>
      <w:r w:rsidRPr="0067679C">
        <w:t> </w:t>
      </w:r>
      <w:r w:rsidRPr="0067679C">
        <w:t>and is a groundbreaking UK healthcare model designed to reduce avoidable hospital admissions and which treats patients at home rather than in hospital. It tackles the huge pressure on the NHS – the spiralling need for hospital beds, the</w:t>
      </w:r>
      <w:r w:rsidRPr="0067679C">
        <w:t> </w:t>
      </w:r>
      <w:r w:rsidRPr="0067679C">
        <w:t>lengthy waiting lists, the staff shortages, and a population increasingly living with chronic illness. NHS</w:t>
      </w:r>
      <w:r w:rsidRPr="0067679C">
        <w:t> </w:t>
      </w:r>
      <w:r w:rsidRPr="0067679C">
        <w:t>England says the aim is virtual wards enable patients to be cared for safely and conveniently in the comfort of their own home, rather than in hospital (NHS England, 2024). Patients and</w:t>
      </w:r>
      <w:r w:rsidRPr="0067679C">
        <w:t> </w:t>
      </w:r>
      <w:r w:rsidRPr="0067679C">
        <w:t>carers, nurses and doctors, digital providers, community teams, and NHS managers are the key stakeholders.</w:t>
      </w:r>
    </w:p>
    <w:p w14:paraId="4ECB57B1" w14:textId="77777777" w:rsidR="0067679C" w:rsidRDefault="00000000">
      <w:r>
        <w:br/>
      </w:r>
      <w:r w:rsidR="0067679C" w:rsidRPr="0067679C">
        <w:t>The transformative nature of the</w:t>
      </w:r>
      <w:r w:rsidR="0067679C" w:rsidRPr="0067679C">
        <w:t> </w:t>
      </w:r>
      <w:r w:rsidR="0067679C" w:rsidRPr="0067679C">
        <w:t>NHS at Home has a bearing on how and where it provides care. The model does not assume that monitoring,</w:t>
      </w:r>
      <w:r w:rsidR="0067679C" w:rsidRPr="0067679C">
        <w:t> </w:t>
      </w:r>
      <w:r w:rsidR="0067679C" w:rsidRPr="0067679C">
        <w:t>assessing, and intervening all must be done inside the hospital building, but uses remote monitoring devices, wearable technology, and other tools to gather clinical information in the patient’s home. It's a service</w:t>
      </w:r>
      <w:r w:rsidR="0067679C" w:rsidRPr="0067679C">
        <w:t> </w:t>
      </w:r>
      <w:r w:rsidR="0067679C" w:rsidRPr="0067679C">
        <w:t>delivery innovation because it combines technology with proactive care. Blood pressure, oxygen</w:t>
      </w:r>
      <w:r w:rsidR="0067679C" w:rsidRPr="0067679C">
        <w:t> </w:t>
      </w:r>
      <w:r w:rsidR="0067679C" w:rsidRPr="0067679C">
        <w:t>levels, heart rate or glucose readings are examples of observations that patients can take while clinical teams remotely monitor the data. Portable devices such as ECG and spirometers can also be taken to the patients’ homes to perform further tests in</w:t>
      </w:r>
      <w:r w:rsidR="0067679C" w:rsidRPr="0067679C">
        <w:t> </w:t>
      </w:r>
      <w:r w:rsidR="0067679C" w:rsidRPr="0067679C">
        <w:t>the field. What's innovative is not only the technology itself, but also evolving the patient pathway to shift care from reactive crisis care to earlier detection</w:t>
      </w:r>
      <w:r w:rsidR="0067679C" w:rsidRPr="0067679C">
        <w:t> </w:t>
      </w:r>
      <w:r w:rsidR="0067679C" w:rsidRPr="0067679C">
        <w:t>of deterioration.</w:t>
      </w:r>
      <w:r>
        <w:br/>
      </w:r>
      <w:r>
        <w:br/>
      </w:r>
      <w:r w:rsidR="0067679C" w:rsidRPr="0067679C">
        <w:t>The Project advances if</w:t>
      </w:r>
      <w:r w:rsidR="0067679C" w:rsidRPr="0067679C">
        <w:t> </w:t>
      </w:r>
      <w:r w:rsidR="0067679C" w:rsidRPr="0067679C">
        <w:t>patient empowerment. Patients who have a better understanding of their readings are more engaged in their care, and if their symptoms</w:t>
      </w:r>
      <w:r w:rsidR="0067679C" w:rsidRPr="0067679C">
        <w:t> </w:t>
      </w:r>
      <w:r w:rsidR="0067679C" w:rsidRPr="0067679C">
        <w:t>change, can act sooner. It redefines the traditional patient-clinician relationship, anchored on the</w:t>
      </w:r>
      <w:r w:rsidR="0067679C" w:rsidRPr="0067679C">
        <w:t> </w:t>
      </w:r>
      <w:r w:rsidR="0067679C" w:rsidRPr="0067679C">
        <w:t>predominance of appointments, to one focused on shared continuous monitoring. AI and predictive analytics could add value in this way by identifying early</w:t>
      </w:r>
      <w:r w:rsidR="0067679C" w:rsidRPr="0067679C">
        <w:t> </w:t>
      </w:r>
      <w:r w:rsidR="0067679C" w:rsidRPr="0067679C">
        <w:t>warnings for intervention by professionals prior to an emergency admission.</w:t>
      </w:r>
    </w:p>
    <w:p w14:paraId="5EB0BDFD" w14:textId="6981EFDD" w:rsidR="00C00916" w:rsidRDefault="00000000">
      <w:r>
        <w:br/>
      </w:r>
      <w:r w:rsidR="0067679C" w:rsidRPr="0067679C">
        <w:t>The added value both</w:t>
      </w:r>
      <w:r w:rsidR="0067679C" w:rsidRPr="0067679C">
        <w:t> </w:t>
      </w:r>
      <w:r w:rsidR="0067679C" w:rsidRPr="0067679C">
        <w:t>works and feels good. For patients, home monitoring could help to reduce travel, increase comfort, maintain</w:t>
      </w:r>
      <w:r w:rsidR="0067679C" w:rsidRPr="0067679C">
        <w:t> </w:t>
      </w:r>
      <w:r w:rsidR="0067679C" w:rsidRPr="0067679C">
        <w:t>family routines, and increase confidence in self-care. It can also relieve bed</w:t>
      </w:r>
      <w:r w:rsidR="0067679C" w:rsidRPr="0067679C">
        <w:t> </w:t>
      </w:r>
      <w:r w:rsidR="0067679C" w:rsidRPr="0067679C">
        <w:t>pressure and enable faster decisions. The trust</w:t>
      </w:r>
      <w:r w:rsidR="0067679C" w:rsidRPr="0067679C">
        <w:t> </w:t>
      </w:r>
      <w:r w:rsidR="0067679C" w:rsidRPr="0067679C">
        <w:t>found telemedicine patients who suffered a heart attack were 76% less likely to be readmitted within six months, and 41% less likely to attend A&amp;E, when compared with patients receiving traditional care (The Imperial College Healthcare NHS Trust, 2024). But</w:t>
      </w:r>
      <w:r w:rsidR="0067679C" w:rsidRPr="0067679C">
        <w:t> </w:t>
      </w:r>
      <w:r w:rsidR="0067679C" w:rsidRPr="0067679C">
        <w:t>the focus must always be on the person. Some patients may be digitally reluctant, or without suitable equipment or support at home, and services will need to be robust around education, safeguarding and escalation routes as</w:t>
      </w:r>
      <w:r w:rsidR="0067679C" w:rsidRPr="0067679C">
        <w:t> </w:t>
      </w:r>
      <w:r w:rsidR="0067679C" w:rsidRPr="0067679C">
        <w:t>well as non-digital options. To conclude, NHS at Home demonstrates that bringing care closer to the</w:t>
      </w:r>
      <w:r w:rsidR="0067679C" w:rsidRPr="0067679C">
        <w:t> </w:t>
      </w:r>
      <w:r w:rsidR="0067679C" w:rsidRPr="0067679C">
        <w:t>patient IP imagination can transform care through accessibility, prevention, independence and system efficiency.</w:t>
      </w:r>
      <w:r>
        <w:br w:type="page"/>
      </w:r>
    </w:p>
    <w:p w14:paraId="3D757511" w14:textId="77777777" w:rsidR="00C00916" w:rsidRDefault="00000000">
      <w:pPr>
        <w:pStyle w:val="Heading1"/>
      </w:pPr>
      <w:r>
        <w:rPr>
          <w:rFonts w:ascii="Arial" w:hAnsi="Arial"/>
        </w:rPr>
        <w:lastRenderedPageBreak/>
        <w:t>Task 4 – Research Task</w:t>
      </w:r>
    </w:p>
    <w:p w14:paraId="50BA3CFD" w14:textId="77777777" w:rsidR="0067679C" w:rsidRDefault="00000000">
      <w:r w:rsidRPr="0067679C">
        <w:rPr>
          <w:b/>
          <w:bCs/>
        </w:rPr>
        <w:t>Current issue: mental health stigma and delayed help-seeking.</w:t>
      </w:r>
      <w:r>
        <w:br/>
      </w:r>
      <w:r>
        <w:br/>
      </w:r>
      <w:r w:rsidR="0067679C" w:rsidRPr="0067679C">
        <w:t>The</w:t>
      </w:r>
      <w:r w:rsidR="0067679C" w:rsidRPr="0067679C">
        <w:t> </w:t>
      </w:r>
      <w:r w:rsidR="0067679C" w:rsidRPr="0067679C">
        <w:t>stigma surrounding mental illness remains a significant issue in health and social care as it can prevent people from seeking help at an early stage. This is especially true for health campaigns because campaigns involve the education of audiences, the challenging of attitudes, and the changing</w:t>
      </w:r>
      <w:r w:rsidR="0067679C" w:rsidRPr="0067679C">
        <w:t> </w:t>
      </w:r>
      <w:r w:rsidR="0067679C" w:rsidRPr="0067679C">
        <w:t>of behaviour. Where</w:t>
      </w:r>
      <w:r w:rsidR="0067679C" w:rsidRPr="0067679C">
        <w:t> </w:t>
      </w:r>
      <w:r w:rsidR="0067679C" w:rsidRPr="0067679C">
        <w:t>stigmas exists around a condition that deters people from speaking on it, its symptoms could worsen before professional help is sought.</w:t>
      </w:r>
    </w:p>
    <w:p w14:paraId="7280410D" w14:textId="2A667B8D" w:rsidR="00930880" w:rsidRDefault="00000000">
      <w:r>
        <w:br/>
      </w:r>
      <w:r w:rsidR="00930880" w:rsidRPr="00930880">
        <w:t>Clement et al. (2015)</w:t>
      </w:r>
      <w:r w:rsidR="00930880" w:rsidRPr="00930880">
        <w:t> </w:t>
      </w:r>
      <w:r w:rsidR="00930880" w:rsidRPr="00930880">
        <w:t>presented a meta-synthesis on qualitative and quantitative research on mental health-related stigma and help-seeking. Their findings suggest that stigma has a small to moderate negative</w:t>
      </w:r>
      <w:r w:rsidR="00930880" w:rsidRPr="00930880">
        <w:t> </w:t>
      </w:r>
      <w:r w:rsidR="00930880" w:rsidRPr="00930880">
        <w:t>effect on help-seeking. The review says “people do not take up services because they fear disclosure, it</w:t>
      </w:r>
      <w:r w:rsidR="00930880" w:rsidRPr="00930880">
        <w:t> </w:t>
      </w:r>
      <w:r w:rsidR="00930880" w:rsidRPr="00930880">
        <w:t>may lead to judgment, they may feel shame, they may be labelled or treated differently by family, employers or professionals”. It</w:t>
      </w:r>
      <w:r w:rsidR="00930880" w:rsidRPr="00930880">
        <w:t> </w:t>
      </w:r>
      <w:r w:rsidR="00930880" w:rsidRPr="00930880">
        <w:t>also warns that "in some quarters at least of the population  perhaps particularly young people and men, but also ethnic minorities and those working in health or military roles</w:t>
      </w:r>
      <w:r w:rsidR="00356355">
        <w:t>,</w:t>
      </w:r>
      <w:r w:rsidR="00930880" w:rsidRPr="00930880">
        <w:t xml:space="preserve"> there could be some heightened vulnerability". That says this is not a matter of people not having enough services; it says something about social</w:t>
      </w:r>
      <w:r w:rsidR="00930880" w:rsidRPr="00930880">
        <w:t> </w:t>
      </w:r>
      <w:r w:rsidR="00930880" w:rsidRPr="00930880">
        <w:t>fear, and about what people think will happen to them if they ever have to say that they need support.</w:t>
      </w:r>
      <w:r>
        <w:br/>
      </w:r>
      <w:r>
        <w:br/>
      </w:r>
      <w:r w:rsidR="00930880" w:rsidRPr="00930880">
        <w:t>Thornicroft et</w:t>
      </w:r>
      <w:r w:rsidR="00930880" w:rsidRPr="00930880">
        <w:t> </w:t>
      </w:r>
      <w:r w:rsidR="00930880" w:rsidRPr="00930880">
        <w:t>al. (2022) argue that stigma and discrimination are barriers at the levels of the personal, the interpersonal, the institutional and the structural. They demonstrate through the Lancet</w:t>
      </w:r>
      <w:r w:rsidR="00930880" w:rsidRPr="00930880">
        <w:t> </w:t>
      </w:r>
      <w:r w:rsidR="00930880" w:rsidRPr="00930880">
        <w:t>Commission that persons with lived experience of mental health problems can be marginalized in work, education, portrayals in the media and in their access to health and social care services. Among the conclusions is that the development of effective stigma reduction</w:t>
      </w:r>
      <w:r w:rsidR="00930880" w:rsidRPr="00930880">
        <w:t> </w:t>
      </w:r>
      <w:r w:rsidR="00930880" w:rsidRPr="00930880">
        <w:t>should not be left entirely with professionals but involve engagement with people with lived experience in co-producing anti-stigma interventions. It shows why the problem endures: negative stereotypes are embedded in the</w:t>
      </w:r>
      <w:r w:rsidR="00930880" w:rsidRPr="00930880">
        <w:t> </w:t>
      </w:r>
      <w:r w:rsidR="00930880" w:rsidRPr="00930880">
        <w:t>whole of society, services and the media, and those who have experienced mental health problems are not always given enough say in coming up with solutions.</w:t>
      </w:r>
    </w:p>
    <w:p w14:paraId="7C18997C" w14:textId="4C9464DD" w:rsidR="00C00916" w:rsidRDefault="00000000">
      <w:r>
        <w:br/>
      </w:r>
      <w:r w:rsidR="00930880" w:rsidRPr="00930880">
        <w:t>The two articles</w:t>
      </w:r>
      <w:r w:rsidR="00930880" w:rsidRPr="00930880">
        <w:t> </w:t>
      </w:r>
      <w:r w:rsidR="00930880" w:rsidRPr="00930880">
        <w:t>suggest that a successful health campaign is one that is grounded in fact, is sponsored by individuals with whom the target group can identify, incorporates personal narratives and social interaction, utilizes trusted messengers, and possesses clear indications of support. The</w:t>
      </w:r>
      <w:r w:rsidR="00930880" w:rsidRPr="00930880">
        <w:t> </w:t>
      </w:r>
      <w:r w:rsidR="00930880" w:rsidRPr="00930880">
        <w:t>campaign must be culturally sensitive, and be able to be evaluated to assess whether it affects behavior and not just awareness.</w:t>
      </w:r>
      <w:r>
        <w:br w:type="page"/>
      </w:r>
    </w:p>
    <w:p w14:paraId="60AC6207" w14:textId="7F4BAD2B" w:rsidR="00C00916" w:rsidRDefault="00000000" w:rsidP="00685DCE">
      <w:pPr>
        <w:pStyle w:val="Heading1"/>
        <w:rPr>
          <w:rFonts w:ascii="Arial" w:hAnsi="Arial"/>
        </w:rPr>
      </w:pPr>
      <w:r>
        <w:rPr>
          <w:rFonts w:ascii="Arial" w:hAnsi="Arial"/>
        </w:rPr>
        <w:lastRenderedPageBreak/>
        <w:t>Task 5 – Podcast</w:t>
      </w:r>
    </w:p>
    <w:p w14:paraId="34FE96D1" w14:textId="77777777" w:rsidR="00685DCE" w:rsidRDefault="00685DCE" w:rsidP="00685DCE"/>
    <w:p w14:paraId="00905488" w14:textId="04A47629" w:rsidR="00685DCE" w:rsidRPr="00685DCE" w:rsidRDefault="00685DCE" w:rsidP="00685DCE">
      <w:r w:rsidRPr="00685DCE">
        <w:t>https://1drv.ms/v/c/a193e2271456f832/IQBBlgdXkoJSSJ1SdXQ66zvjARLdfhZCa8_Z8U2Jr3UFOck?e=7MKmQw</w:t>
      </w:r>
    </w:p>
    <w:p w14:paraId="5039A3D3" w14:textId="77777777" w:rsidR="00C00916" w:rsidRDefault="00000000">
      <w:r>
        <w:br w:type="page"/>
      </w:r>
    </w:p>
    <w:p w14:paraId="4E4EA41A" w14:textId="77777777" w:rsidR="00C00916" w:rsidRDefault="00000000">
      <w:pPr>
        <w:pStyle w:val="Heading1"/>
      </w:pPr>
      <w:r>
        <w:rPr>
          <w:rFonts w:ascii="Arial" w:hAnsi="Arial"/>
        </w:rPr>
        <w:lastRenderedPageBreak/>
        <w:t>Task 6 – NHS Leadership Framework Analysis</w:t>
      </w:r>
    </w:p>
    <w:p w14:paraId="39FA5A1A" w14:textId="77777777" w:rsidR="00C00916" w:rsidRDefault="00000000">
      <w:pPr>
        <w:pStyle w:val="Heading2"/>
      </w:pPr>
      <w:r>
        <w:rPr>
          <w:rFonts w:ascii="Arial" w:hAnsi="Arial"/>
        </w:rPr>
        <w:t>Summary of the NHS Leadership Framework</w:t>
      </w:r>
    </w:p>
    <w:p w14:paraId="26676478" w14:textId="77777777" w:rsidR="00930880" w:rsidRDefault="00930880">
      <w:r w:rsidRPr="00930880">
        <w:t>The NHS Healthcare</w:t>
      </w:r>
      <w:r w:rsidRPr="00930880">
        <w:t> </w:t>
      </w:r>
      <w:r w:rsidRPr="00930880">
        <w:t>Leadership model describes effective leadership behaviours across the health and care system. It’s not</w:t>
      </w:r>
      <w:r w:rsidRPr="00930880">
        <w:t> </w:t>
      </w:r>
      <w:r w:rsidRPr="00930880">
        <w:t>just for senior leaders – anyone who works in a clinical, social care, administrative or support role can access it. The dimensions</w:t>
      </w:r>
      <w:r w:rsidRPr="00930880">
        <w:t> </w:t>
      </w:r>
      <w:r w:rsidRPr="00930880">
        <w:t>are positioned relative to purpose led leadership, care led leadership, data led scrutiny, our shared service, communicating vision, people led motivation, being answerable, the capacity of leadership and results led (NHS Leadership Academy, 2013). NHS England also relates these attributes to service delivery, stating that “leadership makes way for change, measurement, collaboration and a shared aim”</w:t>
      </w:r>
      <w:r w:rsidRPr="00930880">
        <w:t> </w:t>
      </w:r>
      <w:r w:rsidRPr="00930880">
        <w:t>(NHS England, 2018).</w:t>
      </w:r>
    </w:p>
    <w:p w14:paraId="3ADF392D" w14:textId="77777777" w:rsidR="00930880" w:rsidRDefault="00930880">
      <w:pPr>
        <w:pStyle w:val="Heading2"/>
        <w:rPr>
          <w:rFonts w:ascii="Arial" w:eastAsiaTheme="minorEastAsia" w:hAnsi="Arial" w:cstheme="minorBidi"/>
          <w:b w:val="0"/>
          <w:bCs w:val="0"/>
          <w:color w:val="auto"/>
          <w:sz w:val="22"/>
          <w:szCs w:val="22"/>
        </w:rPr>
      </w:pPr>
      <w:r w:rsidRPr="00930880">
        <w:rPr>
          <w:rFonts w:ascii="Arial" w:eastAsiaTheme="minorEastAsia" w:hAnsi="Arial" w:cstheme="minorBidi"/>
          <w:b w:val="0"/>
          <w:bCs w:val="0"/>
          <w:color w:val="auto"/>
          <w:sz w:val="22"/>
          <w:szCs w:val="22"/>
        </w:rPr>
        <w:t>The framework is useful in that it</w:t>
      </w:r>
      <w:r w:rsidRPr="00930880">
        <w:rPr>
          <w:rFonts w:ascii="Arial" w:eastAsiaTheme="minorEastAsia" w:hAnsi="Arial" w:cstheme="minorBidi"/>
          <w:b w:val="0"/>
          <w:bCs w:val="0"/>
          <w:color w:val="auto"/>
          <w:sz w:val="22"/>
          <w:szCs w:val="22"/>
        </w:rPr>
        <w:t> </w:t>
      </w:r>
      <w:r w:rsidRPr="00930880">
        <w:rPr>
          <w:rFonts w:ascii="Arial" w:eastAsiaTheme="minorEastAsia" w:hAnsi="Arial" w:cstheme="minorBidi"/>
          <w:b w:val="0"/>
          <w:bCs w:val="0"/>
          <w:color w:val="auto"/>
          <w:sz w:val="22"/>
          <w:szCs w:val="22"/>
        </w:rPr>
        <w:t>connects leadership with patient experience. For example, “leading with care” implies that leaders</w:t>
      </w:r>
      <w:r w:rsidRPr="00930880">
        <w:rPr>
          <w:rFonts w:ascii="Arial" w:eastAsiaTheme="minorEastAsia" w:hAnsi="Arial" w:cstheme="minorBidi"/>
          <w:b w:val="0"/>
          <w:bCs w:val="0"/>
          <w:color w:val="auto"/>
          <w:sz w:val="22"/>
          <w:szCs w:val="22"/>
        </w:rPr>
        <w:t> </w:t>
      </w:r>
      <w:r w:rsidRPr="00930880">
        <w:rPr>
          <w:rFonts w:ascii="Arial" w:eastAsiaTheme="minorEastAsia" w:hAnsi="Arial" w:cstheme="minorBidi"/>
          <w:b w:val="0"/>
          <w:bCs w:val="0"/>
          <w:color w:val="auto"/>
          <w:sz w:val="22"/>
          <w:szCs w:val="22"/>
        </w:rPr>
        <w:t>should be empathetic and mindful of the concerns of staff and patients. “Making sense</w:t>
      </w:r>
      <w:r w:rsidRPr="00930880">
        <w:rPr>
          <w:rFonts w:ascii="Arial" w:eastAsiaTheme="minorEastAsia" w:hAnsi="Arial" w:cstheme="minorBidi"/>
          <w:b w:val="0"/>
          <w:bCs w:val="0"/>
          <w:color w:val="auto"/>
          <w:sz w:val="22"/>
          <w:szCs w:val="22"/>
        </w:rPr>
        <w:t> </w:t>
      </w:r>
      <w:r w:rsidRPr="00930880">
        <w:rPr>
          <w:rFonts w:ascii="Arial" w:eastAsiaTheme="minorEastAsia" w:hAnsi="Arial" w:cstheme="minorBidi"/>
          <w:b w:val="0"/>
          <w:bCs w:val="0"/>
          <w:color w:val="auto"/>
          <w:sz w:val="22"/>
          <w:szCs w:val="22"/>
        </w:rPr>
        <w:t>of things” influences decision-making</w:t>
      </w:r>
      <w:r>
        <w:rPr>
          <w:rFonts w:ascii="Arial" w:eastAsiaTheme="minorEastAsia" w:hAnsi="Arial" w:cstheme="minorBidi"/>
          <w:b w:val="0"/>
          <w:bCs w:val="0"/>
          <w:color w:val="auto"/>
          <w:sz w:val="22"/>
          <w:szCs w:val="22"/>
        </w:rPr>
        <w:t xml:space="preserve"> </w:t>
      </w:r>
      <w:r w:rsidRPr="00930880">
        <w:rPr>
          <w:rFonts w:ascii="Arial" w:eastAsiaTheme="minorEastAsia" w:hAnsi="Arial" w:cstheme="minorBidi"/>
          <w:b w:val="0"/>
          <w:bCs w:val="0"/>
          <w:color w:val="auto"/>
          <w:sz w:val="22"/>
          <w:szCs w:val="22"/>
        </w:rPr>
        <w:t>which should be based on data and not guesswork. “Bringing our services together” fosters collaboration</w:t>
      </w:r>
      <w:r w:rsidRPr="00930880">
        <w:rPr>
          <w:rFonts w:ascii="Arial" w:eastAsiaTheme="minorEastAsia" w:hAnsi="Arial" w:cstheme="minorBidi"/>
          <w:b w:val="0"/>
          <w:bCs w:val="0"/>
          <w:color w:val="auto"/>
          <w:sz w:val="22"/>
          <w:szCs w:val="22"/>
        </w:rPr>
        <w:t> </w:t>
      </w:r>
      <w:r w:rsidRPr="00930880">
        <w:rPr>
          <w:rFonts w:ascii="Arial" w:eastAsiaTheme="minorEastAsia" w:hAnsi="Arial" w:cstheme="minorBidi"/>
          <w:b w:val="0"/>
          <w:bCs w:val="0"/>
          <w:color w:val="auto"/>
          <w:sz w:val="22"/>
          <w:szCs w:val="22"/>
        </w:rPr>
        <w:t>between teams and agencies. ‘Developing competence’ relates to learning and development for</w:t>
      </w:r>
      <w:r w:rsidRPr="00930880">
        <w:rPr>
          <w:rFonts w:ascii="Arial" w:eastAsiaTheme="minorEastAsia" w:hAnsi="Arial" w:cstheme="minorBidi"/>
          <w:b w:val="0"/>
          <w:bCs w:val="0"/>
          <w:color w:val="auto"/>
          <w:sz w:val="22"/>
          <w:szCs w:val="22"/>
        </w:rPr>
        <w:t> </w:t>
      </w:r>
      <w:r w:rsidRPr="00930880">
        <w:rPr>
          <w:rFonts w:ascii="Arial" w:eastAsiaTheme="minorEastAsia" w:hAnsi="Arial" w:cstheme="minorBidi"/>
          <w:b w:val="0"/>
          <w:bCs w:val="0"/>
          <w:color w:val="auto"/>
          <w:sz w:val="22"/>
          <w:szCs w:val="22"/>
        </w:rPr>
        <w:t>service users, and ‘making sense of’ contributes to the realisation of improvement. Put simply, the model shows us that high-quality NHS care is not</w:t>
      </w:r>
      <w:r w:rsidRPr="00930880">
        <w:rPr>
          <w:rFonts w:ascii="Arial" w:eastAsiaTheme="minorEastAsia" w:hAnsi="Arial" w:cstheme="minorBidi"/>
          <w:b w:val="0"/>
          <w:bCs w:val="0"/>
          <w:color w:val="auto"/>
          <w:sz w:val="22"/>
          <w:szCs w:val="22"/>
        </w:rPr>
        <w:t> </w:t>
      </w:r>
      <w:r w:rsidRPr="00930880">
        <w:rPr>
          <w:rFonts w:ascii="Arial" w:eastAsiaTheme="minorEastAsia" w:hAnsi="Arial" w:cstheme="minorBidi"/>
          <w:b w:val="0"/>
          <w:bCs w:val="0"/>
          <w:color w:val="auto"/>
          <w:sz w:val="22"/>
          <w:szCs w:val="22"/>
        </w:rPr>
        <w:t xml:space="preserve">just about control; it is also about values, collaboration, evidence, being answerable to people and continuous improvement. “I think you can make a huge difference as a leader in a tough health system </w:t>
      </w:r>
      <w:r>
        <w:rPr>
          <w:rFonts w:ascii="Arial" w:eastAsiaTheme="minorEastAsia" w:hAnsi="Arial" w:cstheme="minorBidi"/>
          <w:b w:val="0"/>
          <w:bCs w:val="0"/>
          <w:color w:val="auto"/>
          <w:sz w:val="22"/>
          <w:szCs w:val="22"/>
        </w:rPr>
        <w:t>,</w:t>
      </w:r>
      <w:r w:rsidRPr="00930880">
        <w:rPr>
          <w:rFonts w:ascii="Arial" w:eastAsiaTheme="minorEastAsia" w:hAnsi="Arial" w:cstheme="minorBidi"/>
          <w:b w:val="0"/>
          <w:bCs w:val="0"/>
          <w:color w:val="auto"/>
          <w:sz w:val="22"/>
          <w:szCs w:val="22"/>
        </w:rPr>
        <w:t>you enable safer, more innovative, more person-centered care.”</w:t>
      </w:r>
    </w:p>
    <w:p w14:paraId="6E5B7A3D" w14:textId="43FF795A" w:rsidR="00C00916" w:rsidRDefault="00000000">
      <w:pPr>
        <w:pStyle w:val="Heading2"/>
      </w:pPr>
      <w:r>
        <w:rPr>
          <w:rFonts w:ascii="Arial" w:hAnsi="Arial"/>
        </w:rPr>
        <w:t>Chosen component: Engaging the team</w:t>
      </w:r>
    </w:p>
    <w:p w14:paraId="6E013AF2" w14:textId="45A4DFAE" w:rsidR="00C00916" w:rsidRDefault="00930880">
      <w:r w:rsidRPr="00930880">
        <w:t>A leader might apply “engaging the team” to unleash creativity by setting the stage</w:t>
      </w:r>
      <w:r w:rsidRPr="00930880">
        <w:t> </w:t>
      </w:r>
      <w:r w:rsidRPr="00930880">
        <w:t>for the team members to feel safe sharing ideas without judgement. In practice, this might include brief improvement huddles, suggestion boards, reflective dialogues</w:t>
      </w:r>
      <w:r w:rsidRPr="00930880">
        <w:t> </w:t>
      </w:r>
      <w:r w:rsidRPr="00930880">
        <w:t>and co-design workshops with patients and carers. Different groups of staff would be invited by the leader eg nurses, healthcare assistants,administrators and allied health professionals as each group identifies different issues</w:t>
      </w:r>
      <w:r w:rsidRPr="00930880">
        <w:t> </w:t>
      </w:r>
      <w:r w:rsidRPr="00930880">
        <w:t>in the care pathway. They can then employ divergent thinking to produce multiple ideas, and convergent thinking to select</w:t>
      </w:r>
      <w:r w:rsidRPr="00930880">
        <w:t> </w:t>
      </w:r>
      <w:r w:rsidRPr="00930880">
        <w:t>the best one. For instance, if patients are taking too long to receive discharge information, the team might revamp the discharge</w:t>
      </w:r>
      <w:r w:rsidRPr="00930880">
        <w:t> </w:t>
      </w:r>
      <w:r w:rsidRPr="00930880">
        <w:t>checklist or write clearer patient leaflets. By listening and providing feedback and valuing input, group leaders can</w:t>
      </w:r>
      <w:r w:rsidRPr="00930880">
        <w:t> </w:t>
      </w:r>
      <w:r w:rsidRPr="00930880">
        <w:t>increase motivation and ownership. Leading to better care because staff are more inclined to back changes</w:t>
      </w:r>
      <w:r w:rsidRPr="00930880">
        <w:t> </w:t>
      </w:r>
      <w:r w:rsidRPr="00930880">
        <w:t>they have helped create.</w:t>
      </w:r>
      <w:r>
        <w:br w:type="page"/>
      </w:r>
    </w:p>
    <w:p w14:paraId="403F53F2" w14:textId="77777777" w:rsidR="00C00916" w:rsidRDefault="00000000">
      <w:pPr>
        <w:pStyle w:val="Heading1"/>
      </w:pPr>
      <w:r>
        <w:rPr>
          <w:rFonts w:ascii="Arial" w:hAnsi="Arial"/>
        </w:rPr>
        <w:lastRenderedPageBreak/>
        <w:t>Task 7 – Self-Reflection Journal Entry</w:t>
      </w:r>
    </w:p>
    <w:p w14:paraId="61E44561" w14:textId="77777777" w:rsidR="00930880" w:rsidRDefault="00930880">
      <w:r w:rsidRPr="00930880">
        <w:t>This module</w:t>
      </w:r>
      <w:r w:rsidRPr="00930880">
        <w:t> </w:t>
      </w:r>
      <w:r w:rsidRPr="00930880">
        <w:t>has changed the way I view the creativity and generation of value in health and social care. Previously, I associated creativity primarily with art, design, or new</w:t>
      </w:r>
      <w:r w:rsidRPr="00930880">
        <w:t> </w:t>
      </w:r>
      <w:r w:rsidRPr="00930880">
        <w:t>inventions. I have also come to understand that creativity involves coming up with better answers to day-to-day care dilemmas, especially in services</w:t>
      </w:r>
      <w:r w:rsidRPr="00930880">
        <w:t> </w:t>
      </w:r>
      <w:r w:rsidRPr="00930880">
        <w:t>stretched by little time, money or people. Creativity matters, because the problems in health and social care are complex, and are not necessarily fixed just by doing more of the</w:t>
      </w:r>
      <w:r w:rsidRPr="00930880">
        <w:t> </w:t>
      </w:r>
      <w:r w:rsidRPr="00930880">
        <w:t>same.</w:t>
      </w:r>
    </w:p>
    <w:p w14:paraId="62911157" w14:textId="1DFCA2BE" w:rsidR="00C00916" w:rsidRDefault="00000000">
      <w:r>
        <w:br/>
      </w:r>
      <w:r w:rsidR="00930880" w:rsidRPr="00930880">
        <w:t>I also came to realize that creating value is not only</w:t>
      </w:r>
      <w:r w:rsidR="00930880" w:rsidRPr="00930880">
        <w:t> </w:t>
      </w:r>
      <w:r w:rsidR="00930880" w:rsidRPr="00930880">
        <w:t>about spending less. That involves improving the service users' experience, supporting them to be more independent, treating them with dignity, reducing inequalities and allowing staff to deliver their best</w:t>
      </w:r>
      <w:r w:rsidR="00930880" w:rsidRPr="00930880">
        <w:t> </w:t>
      </w:r>
      <w:r w:rsidR="00930880" w:rsidRPr="00930880">
        <w:t>work. “If they</w:t>
      </w:r>
      <w:r w:rsidR="00930880" w:rsidRPr="00930880">
        <w:t> </w:t>
      </w:r>
      <w:r w:rsidR="00930880" w:rsidRPr="00930880">
        <w:t>are person-centred and accessible, for instance, remote monitoring, dementia-friendly environments and mental health programmes can all contribute add value.”</w:t>
      </w:r>
      <w:r>
        <w:br/>
      </w:r>
      <w:r>
        <w:br/>
      </w:r>
      <w:r w:rsidR="00BE2FB4" w:rsidRPr="00BE2FB4">
        <w:t>The module has also changed my way of thinking about</w:t>
      </w:r>
      <w:r w:rsidR="00BE2FB4" w:rsidRPr="00BE2FB4">
        <w:t> </w:t>
      </w:r>
      <w:r w:rsidR="00BE2FB4" w:rsidRPr="00BE2FB4">
        <w:t>professional practice. I have a new</w:t>
      </w:r>
      <w:r w:rsidR="00BE2FB4" w:rsidRPr="00BE2FB4">
        <w:t> </w:t>
      </w:r>
      <w:r w:rsidR="00BE2FB4" w:rsidRPr="00BE2FB4">
        <w:t>appreciation for the value of listening to service users, drawing on evidence, collaborating with others and finding out whether an idea really does enhance care. Innovation shouldn’t substitute for human care, I have learned; it should buttress stronger relationships, safer decisions and more reactive</w:t>
      </w:r>
      <w:r w:rsidR="00BE2FB4" w:rsidRPr="00BE2FB4">
        <w:t> </w:t>
      </w:r>
      <w:r w:rsidR="00BE2FB4" w:rsidRPr="00BE2FB4">
        <w:t>services. In my future practice I will strive to be more resourceful: to make better use of</w:t>
      </w:r>
      <w:r w:rsidR="00BE2FB4" w:rsidRPr="00BE2FB4">
        <w:t> </w:t>
      </w:r>
      <w:r w:rsidR="00BE2FB4" w:rsidRPr="00BE2FB4">
        <w:t>what is available, to bring on board those affected by the problem, and to balance imaginative thinking with realistic appraisal.</w:t>
      </w:r>
      <w:r>
        <w:br w:type="page"/>
      </w:r>
    </w:p>
    <w:p w14:paraId="72531816" w14:textId="77777777" w:rsidR="00C00916" w:rsidRDefault="00000000">
      <w:pPr>
        <w:pStyle w:val="Heading1"/>
      </w:pPr>
      <w:r>
        <w:rPr>
          <w:rFonts w:ascii="Arial" w:hAnsi="Arial"/>
        </w:rPr>
        <w:lastRenderedPageBreak/>
        <w:t>Reference List</w:t>
      </w:r>
    </w:p>
    <w:p w14:paraId="78CFE9E4" w14:textId="77777777" w:rsidR="00C00916" w:rsidRDefault="00000000">
      <w:pPr>
        <w:spacing w:after="120"/>
        <w:ind w:left="360" w:hanging="360"/>
      </w:pPr>
      <w:r>
        <w:rPr>
          <w:sz w:val="21"/>
        </w:rPr>
        <w:t>Care Quality Commission (2021) Enabling innovation and adoption in health and social care: Developing a shared view. Available at: https://www.cqc.org.uk/sites/default/files/20210208_InnovationPrinciples_report.pdf (Accessed: 30 June 2026).</w:t>
      </w:r>
    </w:p>
    <w:p w14:paraId="5B4CD13A" w14:textId="77777777" w:rsidR="00C00916" w:rsidRDefault="00000000">
      <w:pPr>
        <w:spacing w:after="120"/>
        <w:ind w:left="360" w:hanging="360"/>
      </w:pPr>
      <w:r>
        <w:rPr>
          <w:sz w:val="21"/>
        </w:rPr>
        <w:t>Clement, S., Schauman, O., Graham, T., Maggioni, F., Evans-Lacko, S., Bezborodovs, N., Morgan, C., Rüsch, N., Brown, J.S.L. and Thornicroft, G. (2015) ‘What is the impact of mental health-related stigma on help-seeking? A systematic review of quantitative and qualitative studies’, Psychological Medicine, 45(1), pp. 11–27. doi: 10.1017/S0033291714000129.</w:t>
      </w:r>
    </w:p>
    <w:p w14:paraId="2D039296" w14:textId="77777777" w:rsidR="00C00916" w:rsidRDefault="00000000">
      <w:pPr>
        <w:spacing w:after="120"/>
        <w:ind w:left="360" w:hanging="360"/>
      </w:pPr>
      <w:r>
        <w:rPr>
          <w:sz w:val="21"/>
        </w:rPr>
        <w:t>Gibbs, G. (1988) Learning by Doing: A Guide to Teaching and Learning Methods. Oxford: Oxford Polytechnic.</w:t>
      </w:r>
    </w:p>
    <w:p w14:paraId="7D1B4946" w14:textId="77777777" w:rsidR="00C00916" w:rsidRDefault="00000000">
      <w:pPr>
        <w:spacing w:after="120"/>
        <w:ind w:left="360" w:hanging="360"/>
      </w:pPr>
      <w:r>
        <w:rPr>
          <w:sz w:val="21"/>
        </w:rPr>
        <w:t>Imperial College Healthcare NHS Trust (2024) Remote monitoring of heart attack patients significantly reduced hospital readmissions. Available at: https://www.imperial.nhs.uk/about-us/news/remote-monitoring-of-heart-attack-patients-significantly-reduced-hospital-readmissions (Accessed: 30 June 2026).</w:t>
      </w:r>
    </w:p>
    <w:p w14:paraId="1AD6F8E5" w14:textId="77777777" w:rsidR="00C00916" w:rsidRDefault="00000000">
      <w:pPr>
        <w:spacing w:after="120"/>
        <w:ind w:left="360" w:hanging="360"/>
      </w:pPr>
      <w:r>
        <w:rPr>
          <w:sz w:val="21"/>
        </w:rPr>
        <w:t>NHS England (2018) The Change Model Guide. Available at: https://www.england.nhs.uk/wp-content/uploads/2018/04/change-model-guide-v5.pdf (Accessed: 30 June 2026).</w:t>
      </w:r>
    </w:p>
    <w:p w14:paraId="44172369" w14:textId="77777777" w:rsidR="00C00916" w:rsidRDefault="00000000">
      <w:pPr>
        <w:spacing w:after="120"/>
        <w:ind w:left="360" w:hanging="360"/>
      </w:pPr>
      <w:r>
        <w:rPr>
          <w:sz w:val="21"/>
        </w:rPr>
        <w:t>NHS England (2024) Virtual wards operational framework. Available at: https://www.england.nhs.uk/long-read/virtual-wards-operational-framework/ (Accessed: 30 June 2026).</w:t>
      </w:r>
    </w:p>
    <w:p w14:paraId="46B65227" w14:textId="77777777" w:rsidR="00C00916" w:rsidRDefault="00000000">
      <w:pPr>
        <w:spacing w:after="120"/>
        <w:ind w:left="360" w:hanging="360"/>
      </w:pPr>
      <w:r>
        <w:rPr>
          <w:sz w:val="21"/>
        </w:rPr>
        <w:t>NHS Leadership Academy (2013) Healthcare Leadership Model: The nine dimensions of leadership behaviour. Available at: https://www.leadershipacademy.nhs.uk/wp-content/uploads/dlm_uploads/2014/10/NHSLeadership-LeadershipModel-colour.pdf (Accessed: 30 June 2026).</w:t>
      </w:r>
    </w:p>
    <w:p w14:paraId="5B7A884B" w14:textId="77777777" w:rsidR="00C00916" w:rsidRDefault="00000000">
      <w:pPr>
        <w:spacing w:after="120"/>
        <w:ind w:left="360" w:hanging="360"/>
      </w:pPr>
      <w:r>
        <w:rPr>
          <w:sz w:val="21"/>
        </w:rPr>
        <w:t>NHS Leadership Academy (no date) Explore the Healthcare Leadership Model. Available at: https://www.leadershipacademy.nhs.uk/healthcare-leadership-model/explore-the-healthcare-leadership-model/ (Accessed: 30 June 2026).</w:t>
      </w:r>
    </w:p>
    <w:p w14:paraId="06CB9531" w14:textId="77777777" w:rsidR="00C00916" w:rsidRDefault="00000000">
      <w:pPr>
        <w:spacing w:after="120"/>
        <w:ind w:left="360" w:hanging="360"/>
      </w:pPr>
      <w:r>
        <w:rPr>
          <w:sz w:val="21"/>
        </w:rPr>
        <w:t>Rice, R.E. and Atkin, C.K. (2009) ‘Public communication campaigns: Theoretical principles and practical applications’, in Bryant, J. and Oliver, M.B. (eds.) Media Effects: Advances in Theory and Research. 3rd edn. New York: Routledge.</w:t>
      </w:r>
    </w:p>
    <w:p w14:paraId="4B273A83" w14:textId="77777777" w:rsidR="00C00916" w:rsidRDefault="00000000">
      <w:pPr>
        <w:spacing w:after="120"/>
        <w:ind w:left="360" w:hanging="360"/>
      </w:pPr>
      <w:r>
        <w:rPr>
          <w:sz w:val="21"/>
        </w:rPr>
        <w:t>Thornicroft, G., Sunkel, C., Alikhon Aliev, A., Baker, S., Brohan, E., el Chammay, R., Davies, K., Demissie, M., Duncan, J., Fekadu, W., Gronholm, P.C. et al. (2022) ‘The Lancet Commission on ending stigma and discrimination in mental health’, The Lancet, 400(10361), pp. 1438–1480. doi: 10.1016/S0140-6736(22)01470-2.</w:t>
      </w:r>
    </w:p>
    <w:sectPr w:rsidR="00C00916" w:rsidSect="00034616">
      <w:pgSz w:w="12240" w:h="15840"/>
      <w:pgMar w:top="1080" w:right="1224" w:bottom="1080" w:left="122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38927772">
    <w:abstractNumId w:val="8"/>
  </w:num>
  <w:num w:numId="2" w16cid:durableId="519466236">
    <w:abstractNumId w:val="6"/>
  </w:num>
  <w:num w:numId="3" w16cid:durableId="1315067042">
    <w:abstractNumId w:val="5"/>
  </w:num>
  <w:num w:numId="4" w16cid:durableId="1306738240">
    <w:abstractNumId w:val="4"/>
  </w:num>
  <w:num w:numId="5" w16cid:durableId="862060612">
    <w:abstractNumId w:val="7"/>
  </w:num>
  <w:num w:numId="6" w16cid:durableId="55520363">
    <w:abstractNumId w:val="3"/>
  </w:num>
  <w:num w:numId="7" w16cid:durableId="2073045229">
    <w:abstractNumId w:val="2"/>
  </w:num>
  <w:num w:numId="8" w16cid:durableId="1051659778">
    <w:abstractNumId w:val="1"/>
  </w:num>
  <w:num w:numId="9" w16cid:durableId="1174034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90BE8"/>
    <w:rsid w:val="0015074B"/>
    <w:rsid w:val="0024353F"/>
    <w:rsid w:val="0029639D"/>
    <w:rsid w:val="00326F90"/>
    <w:rsid w:val="00356355"/>
    <w:rsid w:val="0067679C"/>
    <w:rsid w:val="00685DCE"/>
    <w:rsid w:val="00816C9D"/>
    <w:rsid w:val="00930880"/>
    <w:rsid w:val="00954C50"/>
    <w:rsid w:val="00AA1D8D"/>
    <w:rsid w:val="00B47730"/>
    <w:rsid w:val="00BE2FB4"/>
    <w:rsid w:val="00C00916"/>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DDFDDC5"/>
  <w14:defaultImageDpi w14:val="300"/>
  <w15:docId w15:val="{8AC1CEC6-352D-466A-BCC5-7B1A2F05F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F4E79"/>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F4E79"/>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1F4E79"/>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2512</Words>
  <Characters>14321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16800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Qurratulain Zafar</cp:lastModifiedBy>
  <cp:revision>2</cp:revision>
  <dcterms:created xsi:type="dcterms:W3CDTF">2026-07-01T13:55:00Z</dcterms:created>
  <dcterms:modified xsi:type="dcterms:W3CDTF">2026-07-01T13:55:00Z</dcterms:modified>
  <cp:category/>
</cp:coreProperties>
</file>