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43439531"/>
        <w:docPartObj>
          <w:docPartGallery w:val="Cover Pages"/>
          <w:docPartUnique/>
        </w:docPartObj>
      </w:sdtPr>
      <w:sdtEndPr>
        <w:rPr>
          <w:sz w:val="24"/>
          <w:szCs w:val="24"/>
          <w:u w:val="single"/>
        </w:rPr>
      </w:sdtEndPr>
      <w:sdtContent>
        <w:p w14:paraId="0BC4E1F5" w14:textId="0B1CBDF1" w:rsidR="006A30E4" w:rsidRDefault="006A30E4">
          <w:r>
            <w:rPr>
              <w:noProof/>
            </w:rPr>
            <mc:AlternateContent>
              <mc:Choice Requires="wps">
                <w:drawing>
                  <wp:anchor distT="0" distB="0" distL="114300" distR="114300" simplePos="0" relativeHeight="251659264" behindDoc="0" locked="0" layoutInCell="1" allowOverlap="1" wp14:anchorId="06C1FA39" wp14:editId="2CA1AA78">
                    <wp:simplePos x="0" y="0"/>
                    <wp:positionH relativeFrom="margin">
                      <wp:posOffset>5162550</wp:posOffset>
                    </wp:positionH>
                    <wp:positionV relativeFrom="page">
                      <wp:posOffset>97874</wp:posOffset>
                    </wp:positionV>
                    <wp:extent cx="657225" cy="1192446"/>
                    <wp:effectExtent l="0" t="0" r="9525" b="8255"/>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57225" cy="1192446"/>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13AA9DD1" w14:textId="4558B717" w:rsidR="006A30E4" w:rsidRDefault="006A30E4">
                                    <w:pPr>
                                      <w:pStyle w:val="NoSpacing"/>
                                      <w:jc w:val="right"/>
                                      <w:rPr>
                                        <w:color w:val="FFFFFF" w:themeColor="background1"/>
                                        <w:sz w:val="24"/>
                                        <w:szCs w:val="24"/>
                                      </w:rPr>
                                    </w:pPr>
                                    <w:r>
                                      <w:rPr>
                                        <w:color w:val="FFFFFF" w:themeColor="background1"/>
                                        <w:sz w:val="24"/>
                                        <w:szCs w:val="24"/>
                                      </w:rPr>
                                      <w:t>Masters</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6C1FA39" id="Rectangle 132" o:spid="_x0000_s1026" style="position:absolute;margin-left:406.5pt;margin-top:7.7pt;width:51.75pt;height:93.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" fillcolor="#4f81bd [3204]" stroked="f" strokeweight="2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13AA9DD1" w14:textId="4558B717" w:rsidR="006A30E4" w:rsidRDefault="006A30E4">
                              <w:pPr>
                                <w:pStyle w:val="NoSpacing"/>
                                <w:jc w:val="right"/>
                                <w:rPr>
                                  <w:color w:val="FFFFFF" w:themeColor="background1"/>
                                  <w:sz w:val="24"/>
                                  <w:szCs w:val="24"/>
                                </w:rPr>
                              </w:pPr>
                              <w:r>
                                <w:rPr>
                                  <w:color w:val="FFFFFF" w:themeColor="background1"/>
                                  <w:sz w:val="24"/>
                                  <w:szCs w:val="24"/>
                                </w:rPr>
                                <w:t>Masters</w:t>
                              </w:r>
                            </w:p>
                          </w:sdtContent>
                        </w:sdt>
                      </w:txbxContent>
                    </v:textbox>
                    <w10:wrap anchorx="margin" anchory="page"/>
                  </v:rect>
                </w:pict>
              </mc:Fallback>
            </mc:AlternateContent>
          </w:r>
        </w:p>
        <w:p w14:paraId="290317BE" w14:textId="3E865967" w:rsidR="006A30E4" w:rsidRDefault="005F5ACF">
          <w:pPr>
            <w:rPr>
              <w:sz w:val="24"/>
              <w:szCs w:val="24"/>
              <w:u w:val="single"/>
            </w:rPr>
          </w:pPr>
          <w:r>
            <w:rPr>
              <w:noProof/>
              <w:sz w:val="24"/>
              <w:szCs w:val="24"/>
              <w:u w:val="single"/>
            </w:rPr>
            <w:drawing>
              <wp:anchor distT="0" distB="0" distL="114300" distR="114300" simplePos="0" relativeHeight="251661312" behindDoc="0" locked="0" layoutInCell="1" allowOverlap="1" wp14:anchorId="4333F33E" wp14:editId="49ECB918">
                <wp:simplePos x="0" y="0"/>
                <wp:positionH relativeFrom="margin">
                  <wp:align>center</wp:align>
                </wp:positionH>
                <wp:positionV relativeFrom="paragraph">
                  <wp:posOffset>1691640</wp:posOffset>
                </wp:positionV>
                <wp:extent cx="5108575" cy="1685925"/>
                <wp:effectExtent l="0" t="0" r="0" b="9525"/>
                <wp:wrapSquare wrapText="bothSides"/>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5108575" cy="1685925"/>
                        </a:xfrm>
                        <a:prstGeom prst="rect">
                          <a:avLst/>
                        </a:prstGeom>
                      </pic:spPr>
                    </pic:pic>
                  </a:graphicData>
                </a:graphic>
                <wp14:sizeRelH relativeFrom="margin">
                  <wp14:pctWidth>0</wp14:pctWidth>
                </wp14:sizeRelH>
                <wp14:sizeRelV relativeFrom="margin">
                  <wp14:pctHeight>0</wp14:pctHeight>
                </wp14:sizeRelV>
              </wp:anchor>
            </w:drawing>
          </w:r>
          <w:r w:rsidR="006A30E4">
            <w:rPr>
              <w:noProof/>
            </w:rPr>
            <mc:AlternateContent>
              <mc:Choice Requires="wps">
                <w:drawing>
                  <wp:anchor distT="0" distB="0" distL="182880" distR="182880" simplePos="0" relativeHeight="251660288" behindDoc="0" locked="0" layoutInCell="1" allowOverlap="1" wp14:anchorId="4891AA94" wp14:editId="3ACF10E5">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5772150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977911" w14:textId="5B6345C6" w:rsidR="006A30E4" w:rsidRDefault="006A30E4">
                                <w:pPr>
                                  <w:pStyle w:val="NoSpacing"/>
                                  <w:spacing w:before="40" w:after="560" w:line="216" w:lineRule="auto"/>
                                  <w:rPr>
                                    <w:color w:val="4F81BD" w:themeColor="accent1"/>
                                    <w:sz w:val="72"/>
                                    <w:szCs w:val="72"/>
                                  </w:rPr>
                                </w:pPr>
                                <w:sdt>
                                  <w:sdtPr>
                                    <w:rPr>
                                      <w:color w:val="4F81BD" w:themeColor="accent1"/>
                                      <w:sz w:val="72"/>
                                      <w:szCs w:val="72"/>
                                      <w:lang w:val="en-GB"/>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3E730D">
                                      <w:rPr>
                                        <w:color w:val="4F81BD" w:themeColor="accent1"/>
                                        <w:sz w:val="72"/>
                                        <w:szCs w:val="72"/>
                                        <w:lang w:val="en-GB"/>
                                      </w:rPr>
                                      <w:t xml:space="preserve">Discuss to What Extent has Criminal Justice Systems Around the World </w:t>
                                    </w:r>
                                    <w:r w:rsidR="003E730D" w:rsidRPr="003E730D">
                                      <w:rPr>
                                        <w:color w:val="4F81BD" w:themeColor="accent1"/>
                                        <w:sz w:val="72"/>
                                        <w:szCs w:val="72"/>
                                        <w:lang w:val="en-GB"/>
                                      </w:rPr>
                                      <w:t>Been Impacted by the Globalisation of Human Rights?</w:t>
                                    </w:r>
                                  </w:sdtContent>
                                </w:sdt>
                              </w:p>
                              <w:sdt>
                                <w:sdtPr>
                                  <w:rPr>
                                    <w:caps/>
                                    <w:color w:val="215868"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3D0C5938" w14:textId="371429DC" w:rsidR="006A30E4" w:rsidRDefault="00C80B0B">
                                    <w:pPr>
                                      <w:pStyle w:val="NoSpacing"/>
                                      <w:spacing w:before="40" w:after="40"/>
                                      <w:rPr>
                                        <w:caps/>
                                        <w:color w:val="215868" w:themeColor="accent5" w:themeShade="80"/>
                                        <w:sz w:val="28"/>
                                        <w:szCs w:val="28"/>
                                      </w:rPr>
                                    </w:pPr>
                                    <w:r>
                                      <w:rPr>
                                        <w:caps/>
                                        <w:color w:val="215868" w:themeColor="accent5" w:themeShade="80"/>
                                        <w:sz w:val="28"/>
                                        <w:szCs w:val="28"/>
                                      </w:rPr>
                                      <w:t>Jane Thomas</w:t>
                                    </w:r>
                                  </w:p>
                                </w:sdtContent>
                              </w:sdt>
                              <w:p w14:paraId="1DC77D3B" w14:textId="0AF6621E" w:rsidR="006A30E4" w:rsidRDefault="00C80B0B">
                                <w:pPr>
                                  <w:pStyle w:val="NoSpacing"/>
                                  <w:spacing w:before="80" w:after="40"/>
                                  <w:rPr>
                                    <w:caps/>
                                    <w:color w:val="4BACC6" w:themeColor="accent5"/>
                                    <w:sz w:val="24"/>
                                    <w:szCs w:val="24"/>
                                  </w:rPr>
                                </w:pPr>
                                <w:sdt>
                                  <w:sdtPr>
                                    <w:rPr>
                                      <w:caps/>
                                      <w:color w:val="4BACC6"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r>
                                      <w:rPr>
                                        <w:caps/>
                                        <w:color w:val="4BACC6" w:themeColor="accent5"/>
                                        <w:sz w:val="24"/>
                                        <w:szCs w:val="24"/>
                                      </w:rPr>
                                      <w:t xml:space="preserve">Andrew James – 1700591 </w:t>
                                    </w:r>
                                    <w:r w:rsidR="005F5ACF">
                                      <w:rPr>
                                        <w:caps/>
                                        <w:color w:val="4BACC6" w:themeColor="accent5"/>
                                        <w:sz w:val="24"/>
                                        <w:szCs w:val="24"/>
                                      </w:rPr>
                                      <w:t>–</w:t>
                                    </w:r>
                                    <w:r>
                                      <w:rPr>
                                        <w:caps/>
                                        <w:color w:val="4BACC6" w:themeColor="accent5"/>
                                        <w:sz w:val="24"/>
                                        <w:szCs w:val="24"/>
                                      </w:rPr>
                                      <w:t xml:space="preserve"> </w:t>
                                    </w:r>
                                    <w:r w:rsidR="005F5ACF">
                                      <w:rPr>
                                        <w:caps/>
                                        <w:color w:val="4BACC6" w:themeColor="accent5"/>
                                        <w:sz w:val="24"/>
                                        <w:szCs w:val="24"/>
                                      </w:rPr>
                                      <w:t xml:space="preserve">5/5/22 – Word Count- </w:t>
                                    </w:r>
                                  </w:sdtContent>
                                </w:sdt>
                                <w:r w:rsidR="00F05987">
                                  <w:rPr>
                                    <w:caps/>
                                    <w:color w:val="4BACC6" w:themeColor="accent5"/>
                                    <w:sz w:val="24"/>
                                    <w:szCs w:val="24"/>
                                  </w:rPr>
                                  <w:t>1652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4891AA94" id="_x0000_t202" coordsize="21600,21600" o:spt="202" path="m,l,21600r21600,l21600,xe">
                    <v:stroke joinstyle="miter"/>
                    <v:path gradientshapeok="t" o:connecttype="rect"/>
                  </v:shapetype>
                  <v:shape id="Text Box 131" o:spid="_x0000_s1027"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" filled="f" stroked="f" strokeweight=".5pt">
                    <v:textbox style="mso-fit-shape-to-text:t" inset="0,0,0,0">
                      <w:txbxContent>
                        <w:p w14:paraId="3B977911" w14:textId="5B6345C6" w:rsidR="006A30E4" w:rsidRDefault="006A30E4">
                          <w:pPr>
                            <w:pStyle w:val="NoSpacing"/>
                            <w:spacing w:before="40" w:after="560" w:line="216" w:lineRule="auto"/>
                            <w:rPr>
                              <w:color w:val="4F81BD" w:themeColor="accent1"/>
                              <w:sz w:val="72"/>
                              <w:szCs w:val="72"/>
                            </w:rPr>
                          </w:pPr>
                          <w:sdt>
                            <w:sdtPr>
                              <w:rPr>
                                <w:color w:val="4F81BD" w:themeColor="accent1"/>
                                <w:sz w:val="72"/>
                                <w:szCs w:val="72"/>
                                <w:lang w:val="en-GB"/>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3E730D">
                                <w:rPr>
                                  <w:color w:val="4F81BD" w:themeColor="accent1"/>
                                  <w:sz w:val="72"/>
                                  <w:szCs w:val="72"/>
                                  <w:lang w:val="en-GB"/>
                                </w:rPr>
                                <w:t xml:space="preserve">Discuss to What Extent has Criminal Justice Systems Around the World </w:t>
                              </w:r>
                              <w:r w:rsidR="003E730D" w:rsidRPr="003E730D">
                                <w:rPr>
                                  <w:color w:val="4F81BD" w:themeColor="accent1"/>
                                  <w:sz w:val="72"/>
                                  <w:szCs w:val="72"/>
                                  <w:lang w:val="en-GB"/>
                                </w:rPr>
                                <w:t>Been Impacted by the Globalisation of Human Rights?</w:t>
                              </w:r>
                            </w:sdtContent>
                          </w:sdt>
                        </w:p>
                        <w:sdt>
                          <w:sdtPr>
                            <w:rPr>
                              <w:caps/>
                              <w:color w:val="215868"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3D0C5938" w14:textId="371429DC" w:rsidR="006A30E4" w:rsidRDefault="00C80B0B">
                              <w:pPr>
                                <w:pStyle w:val="NoSpacing"/>
                                <w:spacing w:before="40" w:after="40"/>
                                <w:rPr>
                                  <w:caps/>
                                  <w:color w:val="215868" w:themeColor="accent5" w:themeShade="80"/>
                                  <w:sz w:val="28"/>
                                  <w:szCs w:val="28"/>
                                </w:rPr>
                              </w:pPr>
                              <w:r>
                                <w:rPr>
                                  <w:caps/>
                                  <w:color w:val="215868" w:themeColor="accent5" w:themeShade="80"/>
                                  <w:sz w:val="28"/>
                                  <w:szCs w:val="28"/>
                                </w:rPr>
                                <w:t>Jane Thomas</w:t>
                              </w:r>
                            </w:p>
                          </w:sdtContent>
                        </w:sdt>
                        <w:p w14:paraId="1DC77D3B" w14:textId="0AF6621E" w:rsidR="006A30E4" w:rsidRDefault="00C80B0B">
                          <w:pPr>
                            <w:pStyle w:val="NoSpacing"/>
                            <w:spacing w:before="80" w:after="40"/>
                            <w:rPr>
                              <w:caps/>
                              <w:color w:val="4BACC6" w:themeColor="accent5"/>
                              <w:sz w:val="24"/>
                              <w:szCs w:val="24"/>
                            </w:rPr>
                          </w:pPr>
                          <w:sdt>
                            <w:sdtPr>
                              <w:rPr>
                                <w:caps/>
                                <w:color w:val="4BACC6"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r>
                                <w:rPr>
                                  <w:caps/>
                                  <w:color w:val="4BACC6" w:themeColor="accent5"/>
                                  <w:sz w:val="24"/>
                                  <w:szCs w:val="24"/>
                                </w:rPr>
                                <w:t xml:space="preserve">Andrew James – 1700591 </w:t>
                              </w:r>
                              <w:r w:rsidR="005F5ACF">
                                <w:rPr>
                                  <w:caps/>
                                  <w:color w:val="4BACC6" w:themeColor="accent5"/>
                                  <w:sz w:val="24"/>
                                  <w:szCs w:val="24"/>
                                </w:rPr>
                                <w:t>–</w:t>
                              </w:r>
                              <w:r>
                                <w:rPr>
                                  <w:caps/>
                                  <w:color w:val="4BACC6" w:themeColor="accent5"/>
                                  <w:sz w:val="24"/>
                                  <w:szCs w:val="24"/>
                                </w:rPr>
                                <w:t xml:space="preserve"> </w:t>
                              </w:r>
                              <w:r w:rsidR="005F5ACF">
                                <w:rPr>
                                  <w:caps/>
                                  <w:color w:val="4BACC6" w:themeColor="accent5"/>
                                  <w:sz w:val="24"/>
                                  <w:szCs w:val="24"/>
                                </w:rPr>
                                <w:t xml:space="preserve">5/5/22 – Word Count- </w:t>
                              </w:r>
                            </w:sdtContent>
                          </w:sdt>
                          <w:r w:rsidR="00F05987">
                            <w:rPr>
                              <w:caps/>
                              <w:color w:val="4BACC6" w:themeColor="accent5"/>
                              <w:sz w:val="24"/>
                              <w:szCs w:val="24"/>
                            </w:rPr>
                            <w:t>1652</w:t>
                          </w:r>
                        </w:p>
                      </w:txbxContent>
                    </v:textbox>
                    <w10:wrap type="square" anchorx="margin" anchory="page"/>
                  </v:shape>
                </w:pict>
              </mc:Fallback>
            </mc:AlternateContent>
          </w:r>
          <w:r w:rsidR="006A30E4">
            <w:rPr>
              <w:sz w:val="24"/>
              <w:szCs w:val="24"/>
              <w:u w:val="single"/>
            </w:rPr>
            <w:br w:type="page"/>
          </w:r>
        </w:p>
      </w:sdtContent>
    </w:sdt>
    <w:p w14:paraId="00000001" w14:textId="79E032A0" w:rsidR="00324EA6" w:rsidRDefault="00E51631" w:rsidP="00B95A21">
      <w:pPr>
        <w:spacing w:line="480" w:lineRule="auto"/>
        <w:jc w:val="center"/>
        <w:rPr>
          <w:sz w:val="24"/>
          <w:szCs w:val="24"/>
          <w:u w:val="single"/>
        </w:rPr>
      </w:pPr>
      <w:r>
        <w:rPr>
          <w:sz w:val="24"/>
          <w:szCs w:val="24"/>
          <w:u w:val="single"/>
        </w:rPr>
        <w:lastRenderedPageBreak/>
        <w:t>Discuss to what extent has criminal justice systems around the world been impacted by the globalisation of human rights?</w:t>
      </w:r>
    </w:p>
    <w:p w14:paraId="00000002" w14:textId="09C02BEF" w:rsidR="00324EA6" w:rsidRDefault="00E51631" w:rsidP="00B95A21">
      <w:pPr>
        <w:spacing w:line="480" w:lineRule="auto"/>
        <w:rPr>
          <w:sz w:val="24"/>
          <w:szCs w:val="24"/>
        </w:rPr>
      </w:pPr>
      <w:r>
        <w:rPr>
          <w:sz w:val="24"/>
          <w:szCs w:val="24"/>
        </w:rPr>
        <w:t>Since the end of the Second World War, there has been more emphasis on protecting people’s human rights. But is there an impact on the criminal justice system?. The initial thesis of this work is that an offender has a lot of access to human rights through</w:t>
      </w:r>
      <w:r>
        <w:rPr>
          <w:sz w:val="24"/>
          <w:szCs w:val="24"/>
        </w:rPr>
        <w:t xml:space="preserve">out their time in the criminal justice process, this is from their first interaction which is mostly done by the police and depending on the crime they have committed they may spend time in prison. But is this thesis correct and is true </w:t>
      </w:r>
      <w:r w:rsidR="00220765">
        <w:rPr>
          <w:sz w:val="24"/>
          <w:szCs w:val="24"/>
        </w:rPr>
        <w:t>in regard to</w:t>
      </w:r>
      <w:r>
        <w:rPr>
          <w:sz w:val="24"/>
          <w:szCs w:val="24"/>
        </w:rPr>
        <w:t xml:space="preserve"> other</w:t>
      </w:r>
      <w:r>
        <w:rPr>
          <w:sz w:val="24"/>
          <w:szCs w:val="24"/>
        </w:rPr>
        <w:t xml:space="preserve"> countries?. To answer this question, there will be a definition and a look at the different laws regarding human rights, a look how the police and</w:t>
      </w:r>
      <w:r>
        <w:rPr>
          <w:sz w:val="24"/>
          <w:szCs w:val="24"/>
        </w:rPr>
        <w:t xml:space="preserve"> prison deal with human rights and lastly looking at selected countries and what impact </w:t>
      </w:r>
      <w:r w:rsidR="00927E2F">
        <w:rPr>
          <w:sz w:val="24"/>
          <w:szCs w:val="24"/>
        </w:rPr>
        <w:t>human rights has</w:t>
      </w:r>
      <w:r>
        <w:rPr>
          <w:sz w:val="24"/>
          <w:szCs w:val="24"/>
        </w:rPr>
        <w:t xml:space="preserve"> on their criminal justice system. </w:t>
      </w:r>
    </w:p>
    <w:p w14:paraId="00000003" w14:textId="4CDF3494" w:rsidR="00324EA6" w:rsidRDefault="00E51631" w:rsidP="00B95A21">
      <w:pPr>
        <w:spacing w:line="480" w:lineRule="auto"/>
        <w:rPr>
          <w:sz w:val="24"/>
          <w:szCs w:val="24"/>
        </w:rPr>
      </w:pPr>
      <w:r>
        <w:rPr>
          <w:sz w:val="24"/>
          <w:szCs w:val="24"/>
        </w:rPr>
        <w:t xml:space="preserve">The first definition of what are human rights was created in 1948 and was known as the Universal Declaration of Human Rights (UDHR), this has now become a central part of international public policy (Mertus, 2010). </w:t>
      </w:r>
      <w:r>
        <w:rPr>
          <w:sz w:val="24"/>
          <w:szCs w:val="24"/>
        </w:rPr>
        <w:t xml:space="preserve">Some of the articles are listed by the United Nations (UN) (2022), these are all human beings are born </w:t>
      </w:r>
      <w:r w:rsidR="000905C1">
        <w:rPr>
          <w:sz w:val="24"/>
          <w:szCs w:val="24"/>
        </w:rPr>
        <w:t>equal and</w:t>
      </w:r>
      <w:r>
        <w:rPr>
          <w:sz w:val="24"/>
          <w:szCs w:val="24"/>
        </w:rPr>
        <w:t xml:space="preserve"> no one should be held in slavery. Important articles in the UDHR that have an impact on the criminal justice system are that </w:t>
      </w:r>
      <w:r w:rsidR="000905C1">
        <w:rPr>
          <w:sz w:val="24"/>
          <w:szCs w:val="24"/>
        </w:rPr>
        <w:t>no one</w:t>
      </w:r>
      <w:r>
        <w:rPr>
          <w:sz w:val="24"/>
          <w:szCs w:val="24"/>
        </w:rPr>
        <w:t xml:space="preserve"> should be sub</w:t>
      </w:r>
      <w:r>
        <w:rPr>
          <w:sz w:val="24"/>
          <w:szCs w:val="24"/>
        </w:rPr>
        <w:t>jected to cruel treatment or punishment, a person should be subjected to random arrest, everyone should have a fair trial and that a possible offender should be presumed innocent until proven guilty (UN, 2022).</w:t>
      </w:r>
    </w:p>
    <w:p w14:paraId="00000004" w14:textId="7D3FAFDA" w:rsidR="00324EA6" w:rsidRDefault="00E51631" w:rsidP="00B95A21">
      <w:pPr>
        <w:spacing w:line="480" w:lineRule="auto"/>
        <w:rPr>
          <w:sz w:val="24"/>
          <w:szCs w:val="24"/>
        </w:rPr>
      </w:pPr>
      <w:r>
        <w:rPr>
          <w:sz w:val="24"/>
          <w:szCs w:val="24"/>
        </w:rPr>
        <w:t>Most of Europe adhere to the European Convent</w:t>
      </w:r>
      <w:r>
        <w:rPr>
          <w:sz w:val="24"/>
          <w:szCs w:val="24"/>
        </w:rPr>
        <w:t xml:space="preserve">ion on Human Rights (ECHR), this entered into force in 1953 and it not only created well defined list of human </w:t>
      </w:r>
      <w:r w:rsidR="00927E2F">
        <w:rPr>
          <w:sz w:val="24"/>
          <w:szCs w:val="24"/>
        </w:rPr>
        <w:t>rights,</w:t>
      </w:r>
      <w:r>
        <w:rPr>
          <w:sz w:val="24"/>
          <w:szCs w:val="24"/>
        </w:rPr>
        <w:t xml:space="preserve"> but it also created a system that monitor compliance with the convention, this </w:t>
      </w:r>
      <w:r w:rsidR="00927E2F">
        <w:rPr>
          <w:sz w:val="24"/>
          <w:szCs w:val="24"/>
        </w:rPr>
        <w:t>led</w:t>
      </w:r>
      <w:r>
        <w:rPr>
          <w:sz w:val="24"/>
          <w:szCs w:val="24"/>
        </w:rPr>
        <w:t xml:space="preserve"> to the creation of the European Court of Human Rights </w:t>
      </w:r>
      <w:r>
        <w:rPr>
          <w:sz w:val="24"/>
          <w:szCs w:val="24"/>
        </w:rPr>
        <w:t xml:space="preserve">(ECtHR) (Gerards, 2019). The </w:t>
      </w:r>
      <w:r>
        <w:rPr>
          <w:sz w:val="24"/>
          <w:szCs w:val="24"/>
        </w:rPr>
        <w:lastRenderedPageBreak/>
        <w:t>court in the opinion of Gerards (2019) is regarded as one of the most influential and effective institutions and she adds that the court receives between 40,000 and 60,000 cases each year, she believes this shows that individua</w:t>
      </w:r>
      <w:r>
        <w:rPr>
          <w:sz w:val="24"/>
          <w:szCs w:val="24"/>
        </w:rPr>
        <w:t xml:space="preserve">ls have belief in the court. Her argument is further supported when she says that many judgements that come from the court are eventually complied with. </w:t>
      </w:r>
    </w:p>
    <w:p w14:paraId="00000005" w14:textId="2AE487DC" w:rsidR="00324EA6" w:rsidRDefault="00E51631" w:rsidP="00B95A21">
      <w:pPr>
        <w:spacing w:line="480" w:lineRule="auto"/>
        <w:rPr>
          <w:sz w:val="24"/>
          <w:szCs w:val="24"/>
        </w:rPr>
      </w:pPr>
      <w:r>
        <w:rPr>
          <w:sz w:val="24"/>
          <w:szCs w:val="24"/>
        </w:rPr>
        <w:t>The United Kingdom (UK) also has its own law on human rights, the Human Rights Act 1998 is based on th</w:t>
      </w:r>
      <w:r>
        <w:rPr>
          <w:sz w:val="24"/>
          <w:szCs w:val="24"/>
        </w:rPr>
        <w:t xml:space="preserve">e </w:t>
      </w:r>
      <w:r w:rsidR="00927E2F">
        <w:rPr>
          <w:sz w:val="24"/>
          <w:szCs w:val="24"/>
        </w:rPr>
        <w:t>ECHR,</w:t>
      </w:r>
      <w:r>
        <w:rPr>
          <w:sz w:val="24"/>
          <w:szCs w:val="24"/>
        </w:rPr>
        <w:t xml:space="preserve"> and it allows a person who believes that </w:t>
      </w:r>
      <w:r w:rsidR="00927E2F">
        <w:rPr>
          <w:sz w:val="24"/>
          <w:szCs w:val="24"/>
        </w:rPr>
        <w:t>their</w:t>
      </w:r>
      <w:r>
        <w:rPr>
          <w:sz w:val="24"/>
          <w:szCs w:val="24"/>
        </w:rPr>
        <w:t xml:space="preserve"> human rights may be violated to take their case to the UK courts (Citizens Advice, 2022), if they do not get an acceptable result then they could also send </w:t>
      </w:r>
      <w:r w:rsidR="00927E2F">
        <w:rPr>
          <w:sz w:val="24"/>
          <w:szCs w:val="24"/>
        </w:rPr>
        <w:t>their</w:t>
      </w:r>
      <w:r>
        <w:rPr>
          <w:sz w:val="24"/>
          <w:szCs w:val="24"/>
        </w:rPr>
        <w:t xml:space="preserve"> case to the European Court of Human Righ</w:t>
      </w:r>
      <w:r>
        <w:rPr>
          <w:sz w:val="24"/>
          <w:szCs w:val="24"/>
        </w:rPr>
        <w:t>ts.</w:t>
      </w:r>
    </w:p>
    <w:p w14:paraId="00000006" w14:textId="77777777" w:rsidR="00324EA6" w:rsidRDefault="00E51631" w:rsidP="00B95A21">
      <w:pPr>
        <w:spacing w:line="480" w:lineRule="auto"/>
        <w:rPr>
          <w:sz w:val="24"/>
          <w:szCs w:val="24"/>
        </w:rPr>
      </w:pPr>
      <w:r>
        <w:rPr>
          <w:sz w:val="24"/>
          <w:szCs w:val="24"/>
        </w:rPr>
        <w:t>How an offender should be treated by the police is presented by the Police and Criminal Evidence Act 1984 or more commonly known as PACE (Ozin and Norton, 2019). Two parts of PACE that supports an offender’s human rights are explained by Ozin and Norto</w:t>
      </w:r>
      <w:r>
        <w:rPr>
          <w:sz w:val="24"/>
          <w:szCs w:val="24"/>
        </w:rPr>
        <w:t>n (2019), the first part describes the treatment of when a person is being detained, these are that they should be informed why they are being arrested, have access to legal advice and be allowed to consult with the codes of practice. A second part that Oz</w:t>
      </w:r>
      <w:r>
        <w:rPr>
          <w:sz w:val="24"/>
          <w:szCs w:val="24"/>
        </w:rPr>
        <w:t>in and Norton (2019) describe is the detention and treatment of people who could be vulnerable, in PACE they describe a vulnerable person as someone who is young, has a mental disability or issues with communication. The writers give an example that a youn</w:t>
      </w:r>
      <w:r>
        <w:rPr>
          <w:sz w:val="24"/>
          <w:szCs w:val="24"/>
        </w:rPr>
        <w:t xml:space="preserve">g person should have access to an appropriate adult. </w:t>
      </w:r>
    </w:p>
    <w:p w14:paraId="00000007" w14:textId="3693427E" w:rsidR="00324EA6" w:rsidRDefault="00E51631" w:rsidP="00B95A21">
      <w:pPr>
        <w:spacing w:line="480" w:lineRule="auto"/>
        <w:rPr>
          <w:sz w:val="24"/>
          <w:szCs w:val="24"/>
        </w:rPr>
      </w:pPr>
      <w:r>
        <w:rPr>
          <w:sz w:val="24"/>
          <w:szCs w:val="24"/>
        </w:rPr>
        <w:t>When an offender is in police detention, PACE stipulates that they should not be held for more than 24 hours, the time can be extended to up to 36 hours if it has been authorised by a superintendent and</w:t>
      </w:r>
      <w:r>
        <w:rPr>
          <w:sz w:val="24"/>
          <w:szCs w:val="24"/>
        </w:rPr>
        <w:t xml:space="preserve"> can lastly been increased to another 96 hours if an application is accepted by the magistrate (Ozin and Norton, 2019). </w:t>
      </w:r>
      <w:r w:rsidR="00927E2F">
        <w:rPr>
          <w:sz w:val="24"/>
          <w:szCs w:val="24"/>
        </w:rPr>
        <w:lastRenderedPageBreak/>
        <w:t>However,</w:t>
      </w:r>
      <w:r>
        <w:rPr>
          <w:sz w:val="24"/>
          <w:szCs w:val="24"/>
        </w:rPr>
        <w:t xml:space="preserve"> these detention rules are different if a person is being detained for terrorism offences, in these types of offences an offender</w:t>
      </w:r>
      <w:r>
        <w:rPr>
          <w:sz w:val="24"/>
          <w:szCs w:val="24"/>
        </w:rPr>
        <w:t xml:space="preserve"> can be held in detention for a maximum of 28 days under the Terrorism Act 2006 (Justice, 2022). The reason that Justice (2022) says that an offender has to stay in detention longer is because there are more complexities in those types of investigations. </w:t>
      </w:r>
    </w:p>
    <w:p w14:paraId="00000008" w14:textId="77777777" w:rsidR="00324EA6" w:rsidRDefault="00E51631" w:rsidP="00B95A21">
      <w:pPr>
        <w:spacing w:line="480" w:lineRule="auto"/>
        <w:rPr>
          <w:sz w:val="24"/>
          <w:szCs w:val="24"/>
        </w:rPr>
      </w:pPr>
      <w:r>
        <w:rPr>
          <w:sz w:val="24"/>
          <w:szCs w:val="24"/>
        </w:rPr>
        <w:t>In their article Justice (2022) acknowledge that the duration that an offender is detained for possible terrorism charges could be breaching their human rights, they refer to an ECtHR ruling in 1988 where it said that Irish Republican Army (IRA) suspects h</w:t>
      </w:r>
      <w:r>
        <w:rPr>
          <w:sz w:val="24"/>
          <w:szCs w:val="24"/>
        </w:rPr>
        <w:t>ad been held up to four days should have seen a judge, the reasoning behind this ruling was that a judge has the power to order that a suspect is released, this ruling was also backed by another ruling made by the court in 2005. It should also be mentioned</w:t>
      </w:r>
      <w:r>
        <w:rPr>
          <w:sz w:val="24"/>
          <w:szCs w:val="24"/>
        </w:rPr>
        <w:t xml:space="preserve"> that under current terrorism laws an extension of a person being detained can only be granted by a judge (Justice 2022).</w:t>
      </w:r>
    </w:p>
    <w:p w14:paraId="00000009" w14:textId="77777777" w:rsidR="00324EA6" w:rsidRDefault="00E51631" w:rsidP="00B95A21">
      <w:pPr>
        <w:spacing w:line="480" w:lineRule="auto"/>
        <w:rPr>
          <w:sz w:val="24"/>
          <w:szCs w:val="24"/>
        </w:rPr>
      </w:pPr>
      <w:r>
        <w:rPr>
          <w:sz w:val="24"/>
          <w:szCs w:val="24"/>
        </w:rPr>
        <w:t>Even though the PACE act is meant to support an offender’s human rights by detailing what the police have to do, it could also be fail</w:t>
      </w:r>
      <w:r>
        <w:rPr>
          <w:sz w:val="24"/>
          <w:szCs w:val="24"/>
        </w:rPr>
        <w:t>ing in this aspect that is according to the Equality and Human Rights Commission (2013). In their report they mention that police using stop and search powers were more likely to stop someone from a minority ethnicity than white people, this would be break</w:t>
      </w:r>
      <w:r>
        <w:rPr>
          <w:sz w:val="24"/>
          <w:szCs w:val="24"/>
        </w:rPr>
        <w:t>ing a person's human right as mentioned earlier by the UN (2022) that everyone should not be treated unfairly by the law and should be the subject of random arrest or detention. Ozin and Norton (2019) say that PACE instructs police officers that they shoul</w:t>
      </w:r>
      <w:r>
        <w:rPr>
          <w:sz w:val="24"/>
          <w:szCs w:val="24"/>
        </w:rPr>
        <w:t>d be able to demonstrate the reasoning behind why they were performing a stop and search.</w:t>
      </w:r>
    </w:p>
    <w:p w14:paraId="0000000A" w14:textId="46C0E3AE" w:rsidR="00324EA6" w:rsidRDefault="00E51631" w:rsidP="00B95A21">
      <w:pPr>
        <w:spacing w:line="480" w:lineRule="auto"/>
        <w:rPr>
          <w:sz w:val="24"/>
          <w:szCs w:val="24"/>
        </w:rPr>
      </w:pPr>
      <w:r>
        <w:rPr>
          <w:sz w:val="24"/>
          <w:szCs w:val="24"/>
        </w:rPr>
        <w:t>The traditional concept of prison in the Western countries according to Coyle (2003) is that prison is a place where an offender is sent to as punishment not to be pu</w:t>
      </w:r>
      <w:r>
        <w:rPr>
          <w:sz w:val="24"/>
          <w:szCs w:val="24"/>
        </w:rPr>
        <w:t xml:space="preserve">nished. </w:t>
      </w:r>
      <w:r w:rsidR="00927E2F">
        <w:rPr>
          <w:sz w:val="24"/>
          <w:szCs w:val="24"/>
        </w:rPr>
        <w:t>So,</w:t>
      </w:r>
      <w:r>
        <w:rPr>
          <w:sz w:val="24"/>
          <w:szCs w:val="24"/>
        </w:rPr>
        <w:t xml:space="preserve"> when a person is sent to prison, the Emby (2014) says that some </w:t>
      </w:r>
      <w:r>
        <w:rPr>
          <w:sz w:val="24"/>
          <w:szCs w:val="24"/>
        </w:rPr>
        <w:lastRenderedPageBreak/>
        <w:t xml:space="preserve">human rights are either limited or removed, examples they give are the right to liberty and for some prisoners the right to vote. </w:t>
      </w:r>
      <w:r w:rsidR="00927E2F">
        <w:rPr>
          <w:sz w:val="24"/>
          <w:szCs w:val="24"/>
        </w:rPr>
        <w:t>However,</w:t>
      </w:r>
      <w:r>
        <w:rPr>
          <w:sz w:val="24"/>
          <w:szCs w:val="24"/>
        </w:rPr>
        <w:t xml:space="preserve"> the Justice Inspectors (2017) add that the </w:t>
      </w:r>
      <w:r>
        <w:rPr>
          <w:sz w:val="24"/>
          <w:szCs w:val="24"/>
        </w:rPr>
        <w:t>ECtHR ruled that a blanket ban on prisoners voting in elections violated article 3 of the European Convention on Human Rights. The Justice Inspectors (2017) add that if a further restriction has to be placed on a prisoner than this would have to proportion</w:t>
      </w:r>
      <w:r>
        <w:rPr>
          <w:sz w:val="24"/>
          <w:szCs w:val="24"/>
        </w:rPr>
        <w:t xml:space="preserve">ate and also lawful, it </w:t>
      </w:r>
      <w:r w:rsidR="00927E2F">
        <w:rPr>
          <w:sz w:val="24"/>
          <w:szCs w:val="24"/>
        </w:rPr>
        <w:t>will</w:t>
      </w:r>
      <w:r>
        <w:rPr>
          <w:sz w:val="24"/>
          <w:szCs w:val="24"/>
        </w:rPr>
        <w:t xml:space="preserve"> have to be necessary and also should not be discriminatory.</w:t>
      </w:r>
    </w:p>
    <w:p w14:paraId="0000000B" w14:textId="77777777" w:rsidR="00324EA6" w:rsidRDefault="00E51631" w:rsidP="00B95A21">
      <w:pPr>
        <w:spacing w:line="480" w:lineRule="auto"/>
        <w:rPr>
          <w:sz w:val="24"/>
          <w:szCs w:val="24"/>
        </w:rPr>
      </w:pPr>
      <w:r>
        <w:rPr>
          <w:sz w:val="24"/>
          <w:szCs w:val="24"/>
        </w:rPr>
        <w:t>Many European countries including Scotland are progressively adopting a more human rights led penal system (Armstrong, 2018). Even though Scotland are trying this met</w:t>
      </w:r>
      <w:r>
        <w:rPr>
          <w:sz w:val="24"/>
          <w:szCs w:val="24"/>
        </w:rPr>
        <w:t>hod Armstrong (2018) says that it is still common for a prisoner to be kept in a cell 22 hours per day and is also becoming increasingly common for long term prisoners to remain in detention for years or decades past their initial sentence, she also adds t</w:t>
      </w:r>
      <w:r>
        <w:rPr>
          <w:sz w:val="24"/>
          <w:szCs w:val="24"/>
        </w:rPr>
        <w:t xml:space="preserve">hat in 2013 that out of 24 deaths in prison 7 was due to suicide, she does add that this is a lower figure than England and Wales. Lastly Armstrong (2018) says that a human right focus penal system aims to keep prisoners active and healthy but also should </w:t>
      </w:r>
      <w:r>
        <w:rPr>
          <w:sz w:val="24"/>
          <w:szCs w:val="24"/>
        </w:rPr>
        <w:t>limit the use of prisons.</w:t>
      </w:r>
    </w:p>
    <w:p w14:paraId="0000000C" w14:textId="77777777" w:rsidR="00324EA6" w:rsidRDefault="00E51631" w:rsidP="00B95A21">
      <w:pPr>
        <w:spacing w:line="480" w:lineRule="auto"/>
        <w:rPr>
          <w:sz w:val="24"/>
          <w:szCs w:val="24"/>
        </w:rPr>
      </w:pPr>
      <w:r>
        <w:rPr>
          <w:sz w:val="24"/>
          <w:szCs w:val="24"/>
        </w:rPr>
        <w:t>Current statistics from Inquest (2022) which call suicide as self-inflicted deaths in prison in England and Wales is at 16 out 82, figures from 2021 there were 85 out of 371. A possibility for these deaths could be standards in pr</w:t>
      </w:r>
      <w:r>
        <w:rPr>
          <w:sz w:val="24"/>
          <w:szCs w:val="24"/>
        </w:rPr>
        <w:t>isons, one prison known for poor standards was Peterhead Prison, which was also known as The Hate Factory, the prison was so poor that it did not have toilets in the cells, it eventually led to a riot in 1987 (BBC News, 2017). Though Western Countries have</w:t>
      </w:r>
      <w:r>
        <w:rPr>
          <w:sz w:val="24"/>
          <w:szCs w:val="24"/>
        </w:rPr>
        <w:t xml:space="preserve"> tried to change standards in prisons this has mostly failed due in part to their not being a combined framework, mainly they are working through trial and error (Coyle, 2003).</w:t>
      </w:r>
    </w:p>
    <w:p w14:paraId="0000000D" w14:textId="77777777" w:rsidR="00324EA6" w:rsidRDefault="00E51631" w:rsidP="00B95A21">
      <w:pPr>
        <w:spacing w:line="480" w:lineRule="auto"/>
        <w:rPr>
          <w:sz w:val="24"/>
          <w:szCs w:val="24"/>
        </w:rPr>
      </w:pPr>
      <w:r>
        <w:rPr>
          <w:sz w:val="24"/>
          <w:szCs w:val="24"/>
        </w:rPr>
        <w:lastRenderedPageBreak/>
        <w:t xml:space="preserve">How does the UK compare to other countries with human rights in prison, in the </w:t>
      </w:r>
      <w:r>
        <w:rPr>
          <w:sz w:val="24"/>
          <w:szCs w:val="24"/>
        </w:rPr>
        <w:t xml:space="preserve">opinion of Vasiliades (2005) the United States (US) prison system is failing compared to global standards, she supports her opinion by saying that many prisoners spend long time in solitary confinement, it should be noted that her work is 17 years old and </w:t>
      </w:r>
      <w:r>
        <w:rPr>
          <w:sz w:val="24"/>
          <w:szCs w:val="24"/>
        </w:rPr>
        <w:t>this narrative might have changed, yet on the tv show 60 days in a contestant was forced to be her cell practically naked due to the guard not giving her clean clothes (A and E, 2021). In Russia, the opinion of Katz and Piacentini (2017) is that human righ</w:t>
      </w:r>
      <w:r>
        <w:rPr>
          <w:sz w:val="24"/>
          <w:szCs w:val="24"/>
        </w:rPr>
        <w:t>ts are used as a lever for legal and penal control, the authors point out that human rights in Russia are different than to Western countries mainly due to the populace being more obedient and the state having more social control.</w:t>
      </w:r>
    </w:p>
    <w:p w14:paraId="0000000E" w14:textId="0F36B1BF" w:rsidR="00324EA6" w:rsidRDefault="00E51631" w:rsidP="00B95A21">
      <w:pPr>
        <w:spacing w:line="480" w:lineRule="auto"/>
        <w:rPr>
          <w:sz w:val="24"/>
          <w:szCs w:val="24"/>
        </w:rPr>
      </w:pPr>
      <w:r>
        <w:rPr>
          <w:sz w:val="24"/>
          <w:szCs w:val="24"/>
        </w:rPr>
        <w:t>To conclude, human rights</w:t>
      </w:r>
      <w:r>
        <w:rPr>
          <w:sz w:val="24"/>
          <w:szCs w:val="24"/>
        </w:rPr>
        <w:t xml:space="preserve"> has had a major impact on the criminal justice systems not just in the UK but in other countries. In the UK we see this more with the introduction of PACE which instructs the police on the treatment of detaining suspects as well as in other factors, yet t</w:t>
      </w:r>
      <w:r>
        <w:rPr>
          <w:sz w:val="24"/>
          <w:szCs w:val="24"/>
        </w:rPr>
        <w:t>he police have not always been successful and there has been times where they have breached human rights an example who be with the use of stop and search. For prisons it is hard to find the correct level ground in determining what human rights should be k</w:t>
      </w:r>
      <w:r>
        <w:rPr>
          <w:sz w:val="24"/>
          <w:szCs w:val="24"/>
        </w:rPr>
        <w:t xml:space="preserve">ept and which ones should not be. The initial thesis of this supporting paper was that offenders have a lot of access to human </w:t>
      </w:r>
      <w:r w:rsidR="00927E2F">
        <w:rPr>
          <w:sz w:val="24"/>
          <w:szCs w:val="24"/>
        </w:rPr>
        <w:t>rights;</w:t>
      </w:r>
      <w:r>
        <w:rPr>
          <w:sz w:val="24"/>
          <w:szCs w:val="24"/>
        </w:rPr>
        <w:t xml:space="preserve"> this work has shown that an offender does have access to human rights but this only if the process is done correctly or i</w:t>
      </w:r>
      <w:r>
        <w:rPr>
          <w:sz w:val="24"/>
          <w:szCs w:val="24"/>
        </w:rPr>
        <w:t xml:space="preserve">f the standards in a prison are correct. </w:t>
      </w:r>
    </w:p>
    <w:p w14:paraId="0000000F" w14:textId="77777777" w:rsidR="00324EA6" w:rsidRDefault="00E51631">
      <w:pPr>
        <w:spacing w:line="480" w:lineRule="auto"/>
        <w:rPr>
          <w:sz w:val="24"/>
          <w:szCs w:val="24"/>
        </w:rPr>
      </w:pPr>
      <w:r>
        <w:rPr>
          <w:sz w:val="24"/>
          <w:szCs w:val="24"/>
        </w:rPr>
        <w:t xml:space="preserve"> </w:t>
      </w:r>
    </w:p>
    <w:p w14:paraId="00000010" w14:textId="77777777" w:rsidR="00324EA6" w:rsidRDefault="00324EA6">
      <w:pPr>
        <w:spacing w:line="480" w:lineRule="auto"/>
        <w:rPr>
          <w:sz w:val="24"/>
          <w:szCs w:val="24"/>
        </w:rPr>
      </w:pPr>
    </w:p>
    <w:p w14:paraId="00000011" w14:textId="77777777" w:rsidR="00324EA6" w:rsidRDefault="00324EA6">
      <w:pPr>
        <w:spacing w:line="480" w:lineRule="auto"/>
        <w:rPr>
          <w:sz w:val="24"/>
          <w:szCs w:val="24"/>
        </w:rPr>
      </w:pPr>
    </w:p>
    <w:p w14:paraId="00000014" w14:textId="77777777" w:rsidR="00324EA6" w:rsidRDefault="00324EA6">
      <w:pPr>
        <w:spacing w:line="480" w:lineRule="auto"/>
        <w:rPr>
          <w:sz w:val="24"/>
          <w:szCs w:val="24"/>
        </w:rPr>
      </w:pPr>
    </w:p>
    <w:p w14:paraId="00000015" w14:textId="77777777" w:rsidR="00324EA6" w:rsidRDefault="00E51631">
      <w:pPr>
        <w:spacing w:line="480" w:lineRule="auto"/>
        <w:jc w:val="center"/>
        <w:rPr>
          <w:sz w:val="24"/>
          <w:szCs w:val="24"/>
          <w:u w:val="single"/>
        </w:rPr>
      </w:pPr>
      <w:r>
        <w:rPr>
          <w:sz w:val="24"/>
          <w:szCs w:val="24"/>
          <w:u w:val="single"/>
        </w:rPr>
        <w:lastRenderedPageBreak/>
        <w:t>Reference List</w:t>
      </w:r>
    </w:p>
    <w:p w14:paraId="00000016" w14:textId="77777777" w:rsidR="00324EA6" w:rsidRDefault="00E51631">
      <w:pPr>
        <w:rPr>
          <w:sz w:val="24"/>
          <w:szCs w:val="24"/>
        </w:rPr>
      </w:pPr>
      <w:r>
        <w:rPr>
          <w:sz w:val="24"/>
          <w:szCs w:val="24"/>
        </w:rPr>
        <w:t xml:space="preserve">A and E (2021) </w:t>
      </w:r>
      <w:r>
        <w:rPr>
          <w:i/>
          <w:sz w:val="24"/>
          <w:szCs w:val="24"/>
        </w:rPr>
        <w:t>60 Days In: Officer Forgets Ashley, Leaving Her Pantless</w:t>
      </w:r>
      <w:r>
        <w:rPr>
          <w:sz w:val="24"/>
          <w:szCs w:val="24"/>
        </w:rPr>
        <w:t xml:space="preserve"> [Video]. Available at </w:t>
      </w:r>
      <w:hyperlink r:id="rId9">
        <w:r>
          <w:rPr>
            <w:color w:val="1155CC"/>
            <w:sz w:val="24"/>
            <w:szCs w:val="24"/>
            <w:u w:val="single"/>
          </w:rPr>
          <w:t>https://www.youtube.com/watch?v=qk5</w:t>
        </w:r>
        <w:r>
          <w:rPr>
            <w:color w:val="1155CC"/>
            <w:sz w:val="24"/>
            <w:szCs w:val="24"/>
            <w:u w:val="single"/>
          </w:rPr>
          <w:t>WSxw3Nq8</w:t>
        </w:r>
      </w:hyperlink>
      <w:r>
        <w:rPr>
          <w:sz w:val="24"/>
          <w:szCs w:val="24"/>
        </w:rPr>
        <w:t>. (Accessed: Thursday 28th April 2022)</w:t>
      </w:r>
    </w:p>
    <w:p w14:paraId="00000017" w14:textId="77777777" w:rsidR="00324EA6" w:rsidRDefault="00324EA6">
      <w:pPr>
        <w:rPr>
          <w:sz w:val="24"/>
          <w:szCs w:val="24"/>
        </w:rPr>
      </w:pPr>
    </w:p>
    <w:p w14:paraId="00000018" w14:textId="77777777" w:rsidR="00324EA6" w:rsidRDefault="00E51631">
      <w:pPr>
        <w:rPr>
          <w:sz w:val="24"/>
          <w:szCs w:val="24"/>
        </w:rPr>
      </w:pPr>
      <w:r>
        <w:rPr>
          <w:sz w:val="24"/>
          <w:szCs w:val="24"/>
        </w:rPr>
        <w:t xml:space="preserve">Armstrong (2018) ‘Securing Prison Through Human Rights: Unanticipated Implications of Rights-Based Penal Governance’, </w:t>
      </w:r>
      <w:r>
        <w:rPr>
          <w:i/>
          <w:sz w:val="24"/>
          <w:szCs w:val="24"/>
        </w:rPr>
        <w:t>The Howard Journal</w:t>
      </w:r>
      <w:r>
        <w:rPr>
          <w:sz w:val="24"/>
          <w:szCs w:val="24"/>
        </w:rPr>
        <w:t>, 57 (3), pp. 401-421. DOI:10.1111/hojo.12270</w:t>
      </w:r>
    </w:p>
    <w:p w14:paraId="00000019" w14:textId="77777777" w:rsidR="00324EA6" w:rsidRDefault="00324EA6">
      <w:pPr>
        <w:rPr>
          <w:sz w:val="24"/>
          <w:szCs w:val="24"/>
        </w:rPr>
      </w:pPr>
    </w:p>
    <w:p w14:paraId="0000001A" w14:textId="77777777" w:rsidR="00324EA6" w:rsidRDefault="00E51631">
      <w:pPr>
        <w:rPr>
          <w:sz w:val="24"/>
          <w:szCs w:val="24"/>
        </w:rPr>
      </w:pPr>
      <w:r>
        <w:rPr>
          <w:sz w:val="24"/>
          <w:szCs w:val="24"/>
        </w:rPr>
        <w:t>BBC News (2017) ‘The Pris</w:t>
      </w:r>
      <w:r>
        <w:rPr>
          <w:sz w:val="24"/>
          <w:szCs w:val="24"/>
        </w:rPr>
        <w:t>on Riot That Ended With The SAS’,</w:t>
      </w:r>
      <w:r>
        <w:rPr>
          <w:i/>
          <w:sz w:val="24"/>
          <w:szCs w:val="24"/>
        </w:rPr>
        <w:t xml:space="preserve"> BBC News</w:t>
      </w:r>
      <w:r>
        <w:rPr>
          <w:sz w:val="24"/>
          <w:szCs w:val="24"/>
        </w:rPr>
        <w:t xml:space="preserve">, 27th September. Available at </w:t>
      </w:r>
      <w:hyperlink r:id="rId10">
        <w:r>
          <w:rPr>
            <w:color w:val="1155CC"/>
            <w:sz w:val="24"/>
            <w:szCs w:val="24"/>
            <w:u w:val="single"/>
          </w:rPr>
          <w:t>https://www.bbc.co.uk/news/uk-scotland-41397881</w:t>
        </w:r>
      </w:hyperlink>
      <w:r>
        <w:rPr>
          <w:sz w:val="24"/>
          <w:szCs w:val="24"/>
        </w:rPr>
        <w:t>. (Accessed: Thursday 28th April 2022)</w:t>
      </w:r>
    </w:p>
    <w:p w14:paraId="0000001B" w14:textId="77777777" w:rsidR="00324EA6" w:rsidRDefault="00324EA6">
      <w:pPr>
        <w:rPr>
          <w:sz w:val="24"/>
          <w:szCs w:val="24"/>
        </w:rPr>
      </w:pPr>
    </w:p>
    <w:p w14:paraId="0000001C" w14:textId="77777777" w:rsidR="00324EA6" w:rsidRDefault="00E51631">
      <w:pPr>
        <w:rPr>
          <w:sz w:val="24"/>
          <w:szCs w:val="24"/>
        </w:rPr>
      </w:pPr>
      <w:r>
        <w:rPr>
          <w:sz w:val="24"/>
          <w:szCs w:val="24"/>
        </w:rPr>
        <w:t xml:space="preserve">Citizens Advice (2022) </w:t>
      </w:r>
      <w:r>
        <w:rPr>
          <w:i/>
          <w:sz w:val="24"/>
          <w:szCs w:val="24"/>
        </w:rPr>
        <w:t>What are Human Rights?</w:t>
      </w:r>
      <w:r>
        <w:rPr>
          <w:sz w:val="24"/>
          <w:szCs w:val="24"/>
        </w:rPr>
        <w:t xml:space="preserve">. Available at </w:t>
      </w:r>
      <w:hyperlink r:id="rId11" w:anchor=":~:text=In%20the%20UK%2C%20human%20rights,Act%20in%20the%20UK%20courts">
        <w:r>
          <w:rPr>
            <w:color w:val="1155CC"/>
            <w:sz w:val="24"/>
            <w:szCs w:val="24"/>
            <w:u w:val="single"/>
          </w:rPr>
          <w:t>htt</w:t>
        </w:r>
        <w:r>
          <w:rPr>
            <w:color w:val="1155CC"/>
            <w:sz w:val="24"/>
            <w:szCs w:val="24"/>
            <w:u w:val="single"/>
          </w:rPr>
          <w:t>ps://www.citizensadvice.org.uk/law-and-courts/civil-rights/human-rights/what-are-human-rights/#:~:text=In%20the%20UK%2C%20human%20rights,Act%20in%20the%20UK%20courts</w:t>
        </w:r>
      </w:hyperlink>
      <w:r>
        <w:rPr>
          <w:sz w:val="24"/>
          <w:szCs w:val="24"/>
        </w:rPr>
        <w:t>. (Accessed: Thursday 21st April 2022)</w:t>
      </w:r>
    </w:p>
    <w:p w14:paraId="0000001D" w14:textId="77777777" w:rsidR="00324EA6" w:rsidRDefault="00324EA6">
      <w:pPr>
        <w:rPr>
          <w:sz w:val="24"/>
          <w:szCs w:val="24"/>
        </w:rPr>
      </w:pPr>
    </w:p>
    <w:p w14:paraId="0000001E" w14:textId="222CBEE8" w:rsidR="00324EA6" w:rsidRDefault="00E51631">
      <w:pPr>
        <w:rPr>
          <w:sz w:val="24"/>
          <w:szCs w:val="24"/>
        </w:rPr>
      </w:pPr>
      <w:r>
        <w:rPr>
          <w:sz w:val="24"/>
          <w:szCs w:val="24"/>
        </w:rPr>
        <w:t xml:space="preserve">Coyle, A. (2003) ‘Editorial: A Human </w:t>
      </w:r>
      <w:r w:rsidR="00220765">
        <w:rPr>
          <w:sz w:val="24"/>
          <w:szCs w:val="24"/>
        </w:rPr>
        <w:t>Rights Approach</w:t>
      </w:r>
      <w:r>
        <w:rPr>
          <w:sz w:val="24"/>
          <w:szCs w:val="24"/>
        </w:rPr>
        <w:t xml:space="preserve"> to Prison Management’, </w:t>
      </w:r>
      <w:r>
        <w:rPr>
          <w:i/>
          <w:sz w:val="24"/>
          <w:szCs w:val="24"/>
        </w:rPr>
        <w:t>Criminal Behaviour and Mental Health</w:t>
      </w:r>
      <w:r>
        <w:rPr>
          <w:sz w:val="24"/>
          <w:szCs w:val="24"/>
        </w:rPr>
        <w:t>, 13, pp. 77-80.</w:t>
      </w:r>
    </w:p>
    <w:p w14:paraId="0000001F" w14:textId="77777777" w:rsidR="00324EA6" w:rsidRDefault="00324EA6">
      <w:pPr>
        <w:rPr>
          <w:sz w:val="24"/>
          <w:szCs w:val="24"/>
        </w:rPr>
      </w:pPr>
    </w:p>
    <w:p w14:paraId="00000020" w14:textId="77777777" w:rsidR="00324EA6" w:rsidRDefault="00E51631">
      <w:pPr>
        <w:rPr>
          <w:sz w:val="24"/>
          <w:szCs w:val="24"/>
        </w:rPr>
      </w:pPr>
      <w:r>
        <w:rPr>
          <w:sz w:val="24"/>
          <w:szCs w:val="24"/>
        </w:rPr>
        <w:t xml:space="preserve">Emby, A. (2014) </w:t>
      </w:r>
      <w:r>
        <w:rPr>
          <w:i/>
          <w:sz w:val="24"/>
          <w:szCs w:val="24"/>
        </w:rPr>
        <w:t>Human Rights Information Booklet for Prisoners</w:t>
      </w:r>
      <w:r>
        <w:rPr>
          <w:sz w:val="24"/>
          <w:szCs w:val="24"/>
        </w:rPr>
        <w:t>. London: Prison Reform Trust.</w:t>
      </w:r>
    </w:p>
    <w:p w14:paraId="00000021" w14:textId="77777777" w:rsidR="00324EA6" w:rsidRDefault="00324EA6">
      <w:pPr>
        <w:rPr>
          <w:sz w:val="24"/>
          <w:szCs w:val="24"/>
        </w:rPr>
      </w:pPr>
    </w:p>
    <w:p w14:paraId="00000022" w14:textId="77777777" w:rsidR="00324EA6" w:rsidRDefault="00E51631">
      <w:pPr>
        <w:rPr>
          <w:sz w:val="24"/>
          <w:szCs w:val="24"/>
        </w:rPr>
      </w:pPr>
      <w:r>
        <w:rPr>
          <w:sz w:val="24"/>
          <w:szCs w:val="24"/>
        </w:rPr>
        <w:t xml:space="preserve">Equality and Human Rights Commission (2013) </w:t>
      </w:r>
      <w:r>
        <w:rPr>
          <w:i/>
          <w:sz w:val="24"/>
          <w:szCs w:val="24"/>
        </w:rPr>
        <w:t>Stop and Think Again: Towards Race Equal</w:t>
      </w:r>
      <w:r>
        <w:rPr>
          <w:i/>
          <w:sz w:val="24"/>
          <w:szCs w:val="24"/>
        </w:rPr>
        <w:t xml:space="preserve">ity in Police PACE Stop and Search. </w:t>
      </w:r>
      <w:r>
        <w:rPr>
          <w:sz w:val="24"/>
          <w:szCs w:val="24"/>
        </w:rPr>
        <w:t>Equality and Human Rights Commission.</w:t>
      </w:r>
    </w:p>
    <w:p w14:paraId="00000023" w14:textId="77777777" w:rsidR="00324EA6" w:rsidRDefault="00324EA6">
      <w:pPr>
        <w:rPr>
          <w:sz w:val="24"/>
          <w:szCs w:val="24"/>
        </w:rPr>
      </w:pPr>
    </w:p>
    <w:p w14:paraId="00000024" w14:textId="77777777" w:rsidR="00324EA6" w:rsidRDefault="00E51631">
      <w:pPr>
        <w:rPr>
          <w:i/>
          <w:sz w:val="24"/>
          <w:szCs w:val="24"/>
        </w:rPr>
      </w:pPr>
      <w:r>
        <w:rPr>
          <w:sz w:val="24"/>
          <w:szCs w:val="24"/>
        </w:rPr>
        <w:t xml:space="preserve">Gerards, J. (2019) </w:t>
      </w:r>
      <w:r>
        <w:rPr>
          <w:i/>
          <w:sz w:val="24"/>
          <w:szCs w:val="24"/>
        </w:rPr>
        <w:t xml:space="preserve">General Principles of the European Convention on Human Rights. </w:t>
      </w:r>
      <w:r>
        <w:rPr>
          <w:sz w:val="24"/>
          <w:szCs w:val="24"/>
        </w:rPr>
        <w:t>Cambridge: Cambridge University Press.</w:t>
      </w:r>
      <w:r>
        <w:rPr>
          <w:i/>
          <w:sz w:val="24"/>
          <w:szCs w:val="24"/>
        </w:rPr>
        <w:t xml:space="preserve"> </w:t>
      </w:r>
    </w:p>
    <w:p w14:paraId="00000025" w14:textId="77777777" w:rsidR="00324EA6" w:rsidRDefault="00324EA6">
      <w:pPr>
        <w:rPr>
          <w:i/>
          <w:sz w:val="24"/>
          <w:szCs w:val="24"/>
        </w:rPr>
      </w:pPr>
    </w:p>
    <w:p w14:paraId="00000026" w14:textId="77777777" w:rsidR="00324EA6" w:rsidRDefault="00E51631">
      <w:pPr>
        <w:rPr>
          <w:sz w:val="24"/>
          <w:szCs w:val="24"/>
        </w:rPr>
      </w:pPr>
      <w:r>
        <w:rPr>
          <w:sz w:val="24"/>
          <w:szCs w:val="24"/>
        </w:rPr>
        <w:t xml:space="preserve">Inquest (2022) </w:t>
      </w:r>
      <w:r>
        <w:rPr>
          <w:i/>
          <w:sz w:val="24"/>
          <w:szCs w:val="24"/>
        </w:rPr>
        <w:t>Deaths in Prison</w:t>
      </w:r>
      <w:r>
        <w:rPr>
          <w:sz w:val="24"/>
          <w:szCs w:val="24"/>
        </w:rPr>
        <w:t xml:space="preserve">. Available at </w:t>
      </w:r>
      <w:hyperlink r:id="rId12">
        <w:r>
          <w:rPr>
            <w:color w:val="1155CC"/>
            <w:sz w:val="24"/>
            <w:szCs w:val="24"/>
            <w:u w:val="single"/>
          </w:rPr>
          <w:t>https://www.inquest.org.uk/deaths-in-prison</w:t>
        </w:r>
      </w:hyperlink>
      <w:r>
        <w:rPr>
          <w:sz w:val="24"/>
          <w:szCs w:val="24"/>
        </w:rPr>
        <w:t>. (Accessed: Tuesday 3rd March 2022)</w:t>
      </w:r>
    </w:p>
    <w:p w14:paraId="00000027" w14:textId="77777777" w:rsidR="00324EA6" w:rsidRDefault="00324EA6">
      <w:pPr>
        <w:rPr>
          <w:i/>
          <w:sz w:val="24"/>
          <w:szCs w:val="24"/>
        </w:rPr>
      </w:pPr>
    </w:p>
    <w:p w14:paraId="00000028" w14:textId="77777777" w:rsidR="00324EA6" w:rsidRDefault="00E51631">
      <w:pPr>
        <w:rPr>
          <w:sz w:val="24"/>
          <w:szCs w:val="24"/>
        </w:rPr>
      </w:pPr>
      <w:r>
        <w:rPr>
          <w:sz w:val="24"/>
          <w:szCs w:val="24"/>
        </w:rPr>
        <w:t xml:space="preserve">Justice (2022) </w:t>
      </w:r>
      <w:r>
        <w:rPr>
          <w:i/>
          <w:sz w:val="24"/>
          <w:szCs w:val="24"/>
        </w:rPr>
        <w:t xml:space="preserve">Pre-Charge Detention in Terrorism Cases. </w:t>
      </w:r>
      <w:r>
        <w:rPr>
          <w:sz w:val="24"/>
          <w:szCs w:val="24"/>
        </w:rPr>
        <w:t xml:space="preserve">Available at </w:t>
      </w:r>
      <w:hyperlink r:id="rId13">
        <w:r>
          <w:rPr>
            <w:color w:val="1155CC"/>
            <w:sz w:val="24"/>
            <w:szCs w:val="24"/>
            <w:u w:val="single"/>
          </w:rPr>
          <w:t>https://justice.org.uk/pre-charge-detention-terrorism-cases/</w:t>
        </w:r>
      </w:hyperlink>
      <w:r>
        <w:rPr>
          <w:sz w:val="24"/>
          <w:szCs w:val="24"/>
        </w:rPr>
        <w:t>. (Accessed: Tuesday 26th April 2022)</w:t>
      </w:r>
    </w:p>
    <w:p w14:paraId="00000029" w14:textId="77777777" w:rsidR="00324EA6" w:rsidRDefault="00324EA6">
      <w:pPr>
        <w:rPr>
          <w:sz w:val="24"/>
          <w:szCs w:val="24"/>
        </w:rPr>
      </w:pPr>
    </w:p>
    <w:p w14:paraId="0000002A" w14:textId="77777777" w:rsidR="00324EA6" w:rsidRDefault="00E51631">
      <w:pPr>
        <w:rPr>
          <w:sz w:val="24"/>
          <w:szCs w:val="24"/>
        </w:rPr>
      </w:pPr>
      <w:r>
        <w:rPr>
          <w:sz w:val="24"/>
          <w:szCs w:val="24"/>
        </w:rPr>
        <w:t xml:space="preserve">Mertus, J. (2010) </w:t>
      </w:r>
      <w:r>
        <w:rPr>
          <w:i/>
          <w:sz w:val="24"/>
          <w:szCs w:val="24"/>
        </w:rPr>
        <w:t>The United Nations and Human Rights: A Guide for a New Era</w:t>
      </w:r>
      <w:r>
        <w:rPr>
          <w:sz w:val="24"/>
          <w:szCs w:val="24"/>
        </w:rPr>
        <w:t>. 2nd edn. New York: Routledg</w:t>
      </w:r>
      <w:r>
        <w:rPr>
          <w:sz w:val="24"/>
          <w:szCs w:val="24"/>
        </w:rPr>
        <w:t xml:space="preserve">e.  </w:t>
      </w:r>
    </w:p>
    <w:p w14:paraId="0000002B" w14:textId="77777777" w:rsidR="00324EA6" w:rsidRDefault="00324EA6">
      <w:pPr>
        <w:rPr>
          <w:sz w:val="24"/>
          <w:szCs w:val="24"/>
        </w:rPr>
      </w:pPr>
    </w:p>
    <w:p w14:paraId="0000002C" w14:textId="77777777" w:rsidR="00324EA6" w:rsidRDefault="00E51631">
      <w:pPr>
        <w:rPr>
          <w:sz w:val="24"/>
          <w:szCs w:val="24"/>
        </w:rPr>
      </w:pPr>
      <w:r>
        <w:rPr>
          <w:sz w:val="24"/>
          <w:szCs w:val="24"/>
        </w:rPr>
        <w:lastRenderedPageBreak/>
        <w:t xml:space="preserve">Ozin, P. and Norton, H. (2019) </w:t>
      </w:r>
      <w:r>
        <w:rPr>
          <w:i/>
          <w:sz w:val="24"/>
          <w:szCs w:val="24"/>
        </w:rPr>
        <w:t>PACE: A Practical Guide to the Police and Criminal Evidence Act 1984</w:t>
      </w:r>
      <w:r>
        <w:rPr>
          <w:sz w:val="24"/>
          <w:szCs w:val="24"/>
        </w:rPr>
        <w:t xml:space="preserve">. 5th edn. Oxford: Oxford University Press.  </w:t>
      </w:r>
    </w:p>
    <w:p w14:paraId="0000002D" w14:textId="77777777" w:rsidR="00324EA6" w:rsidRDefault="00324EA6">
      <w:pPr>
        <w:rPr>
          <w:sz w:val="24"/>
          <w:szCs w:val="24"/>
        </w:rPr>
      </w:pPr>
    </w:p>
    <w:p w14:paraId="0000002E" w14:textId="77777777" w:rsidR="00324EA6" w:rsidRDefault="00E51631">
      <w:pPr>
        <w:rPr>
          <w:sz w:val="24"/>
          <w:szCs w:val="24"/>
        </w:rPr>
      </w:pPr>
      <w:r>
        <w:rPr>
          <w:sz w:val="24"/>
          <w:szCs w:val="24"/>
        </w:rPr>
        <w:t xml:space="preserve">Piacentini, L. and Katz, E. (2017) ‘Carceral Framing of Human Rights in Russian Prisons’, </w:t>
      </w:r>
      <w:r>
        <w:rPr>
          <w:i/>
          <w:sz w:val="24"/>
          <w:szCs w:val="24"/>
        </w:rPr>
        <w:t>Punishment and</w:t>
      </w:r>
      <w:r>
        <w:rPr>
          <w:i/>
          <w:sz w:val="24"/>
          <w:szCs w:val="24"/>
        </w:rPr>
        <w:t xml:space="preserve"> Society, </w:t>
      </w:r>
      <w:r>
        <w:rPr>
          <w:sz w:val="24"/>
          <w:szCs w:val="24"/>
        </w:rPr>
        <w:t>19 (2), pp. 221-239.</w:t>
      </w:r>
      <w:r>
        <w:rPr>
          <w:i/>
          <w:sz w:val="24"/>
          <w:szCs w:val="24"/>
        </w:rPr>
        <w:t xml:space="preserve"> </w:t>
      </w:r>
      <w:r>
        <w:rPr>
          <w:sz w:val="24"/>
          <w:szCs w:val="24"/>
        </w:rPr>
        <w:t>DOI:10.1177/1462474516665609</w:t>
      </w:r>
    </w:p>
    <w:p w14:paraId="0000002F" w14:textId="77777777" w:rsidR="00324EA6" w:rsidRDefault="00324EA6">
      <w:pPr>
        <w:rPr>
          <w:sz w:val="24"/>
          <w:szCs w:val="24"/>
        </w:rPr>
      </w:pPr>
    </w:p>
    <w:p w14:paraId="00000030" w14:textId="77777777" w:rsidR="00324EA6" w:rsidRDefault="00E51631">
      <w:pPr>
        <w:rPr>
          <w:sz w:val="24"/>
          <w:szCs w:val="24"/>
        </w:rPr>
      </w:pPr>
      <w:r>
        <w:rPr>
          <w:sz w:val="24"/>
          <w:szCs w:val="24"/>
        </w:rPr>
        <w:t xml:space="preserve">United Nations (2022) </w:t>
      </w:r>
      <w:r>
        <w:rPr>
          <w:i/>
          <w:sz w:val="24"/>
          <w:szCs w:val="24"/>
        </w:rPr>
        <w:t xml:space="preserve">Universal Declaration of Human Rights. </w:t>
      </w:r>
      <w:r>
        <w:rPr>
          <w:sz w:val="24"/>
          <w:szCs w:val="24"/>
        </w:rPr>
        <w:t xml:space="preserve">Available at </w:t>
      </w:r>
      <w:hyperlink r:id="rId14">
        <w:r>
          <w:rPr>
            <w:color w:val="1155CC"/>
            <w:sz w:val="24"/>
            <w:szCs w:val="24"/>
            <w:u w:val="single"/>
          </w:rPr>
          <w:t>https://www.un.org/en/about-us/un</w:t>
        </w:r>
        <w:r>
          <w:rPr>
            <w:color w:val="1155CC"/>
            <w:sz w:val="24"/>
            <w:szCs w:val="24"/>
            <w:u w:val="single"/>
          </w:rPr>
          <w:t>iversal-declaration-of-human-rights</w:t>
        </w:r>
      </w:hyperlink>
      <w:r>
        <w:rPr>
          <w:sz w:val="24"/>
          <w:szCs w:val="24"/>
        </w:rPr>
        <w:t xml:space="preserve">. (Accessed: Thursday 21st April 2022) </w:t>
      </w:r>
    </w:p>
    <w:p w14:paraId="00000031" w14:textId="77777777" w:rsidR="00324EA6" w:rsidRDefault="00324EA6">
      <w:pPr>
        <w:rPr>
          <w:sz w:val="24"/>
          <w:szCs w:val="24"/>
        </w:rPr>
      </w:pPr>
    </w:p>
    <w:p w14:paraId="00000032" w14:textId="77777777" w:rsidR="00324EA6" w:rsidRDefault="00E51631">
      <w:pPr>
        <w:rPr>
          <w:sz w:val="24"/>
          <w:szCs w:val="24"/>
        </w:rPr>
      </w:pPr>
      <w:r>
        <w:rPr>
          <w:sz w:val="24"/>
          <w:szCs w:val="24"/>
        </w:rPr>
        <w:t>Vasiliades, E. (2005) ‘Solitary Confinement and International Human Rights: Why the U.S. Prison System Fails Global Standards’,</w:t>
      </w:r>
      <w:r>
        <w:rPr>
          <w:i/>
          <w:sz w:val="24"/>
          <w:szCs w:val="24"/>
        </w:rPr>
        <w:t xml:space="preserve"> American University International Law Review</w:t>
      </w:r>
      <w:r>
        <w:rPr>
          <w:sz w:val="24"/>
          <w:szCs w:val="24"/>
        </w:rPr>
        <w:t>, 21 (1)</w:t>
      </w:r>
      <w:r>
        <w:rPr>
          <w:sz w:val="24"/>
          <w:szCs w:val="24"/>
        </w:rPr>
        <w:t>, pp. 71-99.</w:t>
      </w:r>
    </w:p>
    <w:p w14:paraId="00000033" w14:textId="77777777" w:rsidR="00324EA6" w:rsidRDefault="00E51631">
      <w:pPr>
        <w:spacing w:line="480" w:lineRule="auto"/>
        <w:rPr>
          <w:sz w:val="24"/>
          <w:szCs w:val="24"/>
        </w:rPr>
      </w:pPr>
      <w:r>
        <w:rPr>
          <w:sz w:val="24"/>
          <w:szCs w:val="24"/>
        </w:rPr>
        <w:t xml:space="preserve">    </w:t>
      </w:r>
    </w:p>
    <w:p w14:paraId="00000034" w14:textId="77777777" w:rsidR="00324EA6" w:rsidRDefault="00324EA6">
      <w:pPr>
        <w:spacing w:line="480" w:lineRule="auto"/>
        <w:rPr>
          <w:sz w:val="24"/>
          <w:szCs w:val="24"/>
        </w:rPr>
      </w:pPr>
    </w:p>
    <w:sectPr w:rsidR="00324EA6" w:rsidSect="006A30E4">
      <w:headerReference w:type="default" r:id="rId15"/>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0E3A6" w14:textId="77777777" w:rsidR="00E51631" w:rsidRDefault="00E51631">
      <w:pPr>
        <w:spacing w:line="240" w:lineRule="auto"/>
      </w:pPr>
      <w:r>
        <w:separator/>
      </w:r>
    </w:p>
  </w:endnote>
  <w:endnote w:type="continuationSeparator" w:id="0">
    <w:p w14:paraId="7D3E8173" w14:textId="77777777" w:rsidR="00E51631" w:rsidRDefault="00E516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F1D3F" w14:textId="77777777" w:rsidR="00E51631" w:rsidRDefault="00E51631">
      <w:pPr>
        <w:spacing w:line="240" w:lineRule="auto"/>
      </w:pPr>
      <w:r>
        <w:separator/>
      </w:r>
    </w:p>
  </w:footnote>
  <w:footnote w:type="continuationSeparator" w:id="0">
    <w:p w14:paraId="795C5C44" w14:textId="77777777" w:rsidR="00E51631" w:rsidRDefault="00E5163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5" w14:textId="77777777" w:rsidR="00324EA6" w:rsidRDefault="00E51631">
    <w:r>
      <w:t>Andrew James</w:t>
    </w:r>
    <w:r>
      <w:tab/>
    </w:r>
    <w:r>
      <w:tab/>
    </w:r>
    <w:r>
      <w:tab/>
      <w:t>Contemporary Issues</w:t>
    </w:r>
    <w:r>
      <w:tab/>
    </w:r>
    <w:r>
      <w:tab/>
    </w:r>
    <w:r>
      <w:tab/>
      <w:t>Jane Thomas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4EA6"/>
    <w:rsid w:val="000905C1"/>
    <w:rsid w:val="00220765"/>
    <w:rsid w:val="00324EA6"/>
    <w:rsid w:val="003E730D"/>
    <w:rsid w:val="004F1CF4"/>
    <w:rsid w:val="005F5ACF"/>
    <w:rsid w:val="006A30E4"/>
    <w:rsid w:val="00927E2F"/>
    <w:rsid w:val="00B95A21"/>
    <w:rsid w:val="00C80B0B"/>
    <w:rsid w:val="00E51631"/>
    <w:rsid w:val="00F059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D0C25"/>
  <w15:docId w15:val="{1ACE98E4-280D-4CDF-BCAE-FA1735DE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link w:val="NoSpacingChar"/>
    <w:uiPriority w:val="1"/>
    <w:qFormat/>
    <w:rsid w:val="006A30E4"/>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6A30E4"/>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ustice.org.uk/pre-charge-detention-terrorism-cas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quest.org.uk/deaths-in-pris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tizensadvice.org.uk/law-and-courts/civil-rights/human-rights/what-are-human-right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bbc.co.uk/news/uk-scotland-41397881" TargetMode="External"/><Relationship Id="rId4" Type="http://schemas.openxmlformats.org/officeDocument/2006/relationships/settings" Target="settings.xml"/><Relationship Id="rId9" Type="http://schemas.openxmlformats.org/officeDocument/2006/relationships/hyperlink" Target="https://www.youtube.com/watch?v=qk5WSxw3Nq8" TargetMode="External"/><Relationship Id="rId14" Type="http://schemas.openxmlformats.org/officeDocument/2006/relationships/hyperlink" Target="https://www.un.org/en/about-us/universal-declaration-of-human-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Masters</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87FF92-B3A2-4FDC-A473-EF2C6C993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1846</Words>
  <Characters>10527</Characters>
  <Application>Microsoft Office Word</Application>
  <DocSecurity>0</DocSecurity>
  <Lines>87</Lines>
  <Paragraphs>24</Paragraphs>
  <ScaleCrop>false</ScaleCrop>
  <Company/>
  <LinksUpToDate>false</LinksUpToDate>
  <CharactersWithSpaces>12349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Discuss to What Extent has Criminal Justice Systems Around the World Been Impacted by the Globalisation of Human Rights?</dc:title>
  <dc:subject>Jane Thomas</dc:subject>
  <dc:creator>Andrew James – 1700591 – 5/5/22 – Word Count-</dc:creator>
  <cp:lastModifiedBy>Andrew James</cp:lastModifiedBy>
  <cp:revision>11</cp:revision>
  <dcterms:created xsi:type="dcterms:W3CDTF">2022-05-05T10:29:00Z</dcterms:created>
  <dcterms:modified xsi:type="dcterms:W3CDTF">2022-05-05T10:37:00Z</dcterms:modified>
</cp:coreProperties>
</file>