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3031686"/>
        <w:docPartObj>
          <w:docPartGallery w:val="Cover Pages"/>
          <w:docPartUnique/>
        </w:docPartObj>
      </w:sdtPr>
      <w:sdtEndPr>
        <w:rPr>
          <w:rFonts w:ascii="Arial" w:eastAsia="Times New Roman" w:hAnsi="Arial" w:cs="Arial"/>
          <w:b/>
          <w:bCs/>
          <w:kern w:val="0"/>
          <w:lang w:eastAsia="en-GB"/>
        </w:rPr>
      </w:sdtEndPr>
      <w:sdtContent>
        <w:p w14:paraId="11CEC8AA" w14:textId="7AF95716" w:rsidR="00077736" w:rsidRDefault="00077736">
          <w:r>
            <w:rPr>
              <w:noProof/>
            </w:rPr>
            <w:drawing>
              <wp:inline distT="0" distB="0" distL="0" distR="0" wp14:anchorId="7E4EA053" wp14:editId="7DB2B89F">
                <wp:extent cx="5731510" cy="1539240"/>
                <wp:effectExtent l="0" t="0" r="2540" b="3810"/>
                <wp:docPr id="161956555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65559" name="Picture 1"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153924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44F4EFC2" wp14:editId="039EC2B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0693" w:type="dxa"/>
                                    <w:tblInd w:w="-8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693"/>
                                  </w:tblGrid>
                                  <w:tr w:rsidR="0050273C" w14:paraId="507720D3" w14:textId="77777777" w:rsidTr="004A288D">
                                    <w:trPr>
                                      <w:trHeight w:val="794"/>
                                    </w:trPr>
                                    <w:tc>
                                      <w:tcPr>
                                        <w:tcW w:w="10693" w:type="dxa"/>
                                      </w:tcPr>
                                      <w:p w14:paraId="52097916" w14:textId="062B7E4C"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Name:</w:t>
                                        </w:r>
                                        <w:r w:rsidR="0050273C" w:rsidRPr="004A288D">
                                          <w:rPr>
                                            <w:rFonts w:ascii="Arial" w:hAnsi="Arial" w:cs="Arial"/>
                                            <w:color w:val="FFFFFF" w:themeColor="background1"/>
                                            <w:sz w:val="32"/>
                                            <w:szCs w:val="32"/>
                                          </w:rPr>
                                          <w:t xml:space="preserve"> Ionel Stefanita</w:t>
                                        </w:r>
                                      </w:p>
                                    </w:tc>
                                  </w:tr>
                                  <w:tr w:rsidR="0050273C" w14:paraId="1613F65E" w14:textId="77777777" w:rsidTr="004A288D">
                                    <w:trPr>
                                      <w:trHeight w:val="783"/>
                                    </w:trPr>
                                    <w:tc>
                                      <w:tcPr>
                                        <w:tcW w:w="10693" w:type="dxa"/>
                                      </w:tcPr>
                                      <w:p w14:paraId="053324B5" w14:textId="4D98D392"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Student number:</w:t>
                                        </w:r>
                                        <w:r w:rsidR="0050273C" w:rsidRPr="004A288D">
                                          <w:rPr>
                                            <w:rFonts w:ascii="Arial" w:hAnsi="Arial" w:cs="Arial"/>
                                            <w:color w:val="FFFFFF" w:themeColor="background1"/>
                                            <w:sz w:val="32"/>
                                            <w:szCs w:val="32"/>
                                          </w:rPr>
                                          <w:t xml:space="preserve"> </w:t>
                                        </w:r>
                                        <w:r w:rsidR="0050273C" w:rsidRPr="004A288D">
                                          <w:rPr>
                                            <w:rFonts w:ascii="Arial" w:hAnsi="Arial" w:cs="Arial"/>
                                            <w:sz w:val="32"/>
                                            <w:szCs w:val="32"/>
                                          </w:rPr>
                                          <w:t>2408392</w:t>
                                        </w:r>
                                      </w:p>
                                    </w:tc>
                                  </w:tr>
                                  <w:tr w:rsidR="0050273C" w14:paraId="0CC0371E" w14:textId="77777777" w:rsidTr="004A288D">
                                    <w:trPr>
                                      <w:trHeight w:val="783"/>
                                    </w:trPr>
                                    <w:tc>
                                      <w:tcPr>
                                        <w:tcW w:w="10693" w:type="dxa"/>
                                      </w:tcPr>
                                      <w:p w14:paraId="28E55F7A" w14:textId="4A8ED908" w:rsidR="004A288D" w:rsidRPr="004A288D" w:rsidRDefault="004A288D" w:rsidP="004A288D">
                                        <w:pPr>
                                          <w:pStyle w:val="Heading1"/>
                                          <w:spacing w:before="0" w:after="0"/>
                                          <w:rPr>
                                            <w:rFonts w:ascii="Segoe UI" w:hAnsi="Segoe UI" w:cs="Segoe UI"/>
                                            <w:b/>
                                            <w:bCs/>
                                            <w:color w:val="FFFFFF"/>
                                            <w:kern w:val="36"/>
                                            <w:sz w:val="32"/>
                                            <w:szCs w:val="32"/>
                                            <w:lang w:eastAsia="en-GB"/>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Module name:</w:t>
                                        </w:r>
                                        <w:r w:rsidR="0050273C" w:rsidRPr="004A288D">
                                          <w:rPr>
                                            <w:rFonts w:ascii="Arial" w:hAnsi="Arial" w:cs="Arial"/>
                                            <w:color w:val="FFFFFF" w:themeColor="background1"/>
                                            <w:sz w:val="32"/>
                                            <w:szCs w:val="32"/>
                                          </w:rPr>
                                          <w:t xml:space="preserve"> </w:t>
                                        </w:r>
                                        <w:r w:rsidRPr="004A288D">
                                          <w:rPr>
                                            <w:rFonts w:ascii="Arial" w:hAnsi="Arial" w:cs="Arial"/>
                                            <w:color w:val="FFFFFF"/>
                                            <w:kern w:val="36"/>
                                            <w:sz w:val="32"/>
                                            <w:szCs w:val="32"/>
                                            <w:lang w:eastAsia="en-GB"/>
                                          </w:rPr>
                                          <w:t>Developing and Managing Individuals and Teams</w:t>
                                        </w:r>
                                      </w:p>
                                      <w:p w14:paraId="16DF39FC" w14:textId="028CA64A" w:rsidR="0050273C" w:rsidRPr="004A288D" w:rsidRDefault="0050273C" w:rsidP="0050273C">
                                        <w:pPr>
                                          <w:pStyle w:val="NoSpacing"/>
                                          <w:spacing w:before="120"/>
                                          <w:rPr>
                                            <w:rFonts w:ascii="Arial" w:hAnsi="Arial" w:cs="Arial"/>
                                            <w:color w:val="FFFFFF" w:themeColor="background1"/>
                                            <w:sz w:val="32"/>
                                            <w:szCs w:val="32"/>
                                          </w:rPr>
                                        </w:pPr>
                                      </w:p>
                                    </w:tc>
                                  </w:tr>
                                  <w:tr w:rsidR="0050273C" w14:paraId="7066C366" w14:textId="77777777" w:rsidTr="004A288D">
                                    <w:trPr>
                                      <w:trHeight w:val="783"/>
                                    </w:trPr>
                                    <w:tc>
                                      <w:tcPr>
                                        <w:tcW w:w="10693" w:type="dxa"/>
                                      </w:tcPr>
                                      <w:p w14:paraId="64233D28" w14:textId="46A2BA4D" w:rsidR="004A288D" w:rsidRPr="004A288D" w:rsidRDefault="004A288D" w:rsidP="004A288D">
                                        <w:pPr>
                                          <w:pStyle w:val="Heading1"/>
                                          <w:spacing w:before="0" w:after="0"/>
                                          <w:rPr>
                                            <w:rFonts w:ascii="Segoe UI" w:hAnsi="Segoe UI" w:cs="Segoe UI"/>
                                            <w:b/>
                                            <w:bCs/>
                                            <w:color w:val="FFFFFF"/>
                                            <w:kern w:val="36"/>
                                            <w:sz w:val="48"/>
                                            <w:szCs w:val="48"/>
                                            <w:lang w:eastAsia="en-GB"/>
                                          </w:rPr>
                                        </w:pPr>
                                        <w:r>
                                          <w:rPr>
                                            <w:rFonts w:ascii="Arial" w:hAnsi="Arial" w:cs="Arial"/>
                                            <w:sz w:val="32"/>
                                            <w:szCs w:val="32"/>
                                          </w:rPr>
                                          <w:t xml:space="preserve"> </w:t>
                                        </w:r>
                                        <w:r w:rsidR="0050273C" w:rsidRPr="004A288D">
                                          <w:rPr>
                                            <w:rFonts w:ascii="Arial" w:hAnsi="Arial" w:cs="Arial"/>
                                            <w:b/>
                                            <w:bCs/>
                                            <w:color w:val="FFFFFF" w:themeColor="background1"/>
                                            <w:sz w:val="32"/>
                                            <w:szCs w:val="32"/>
                                          </w:rPr>
                                          <w:t>Module code:</w:t>
                                        </w:r>
                                        <w:r w:rsidRPr="004A288D">
                                          <w:rPr>
                                            <w:rFonts w:ascii="Arial" w:hAnsi="Arial" w:cs="Arial"/>
                                            <w:color w:val="FFFFFF" w:themeColor="background1"/>
                                            <w:kern w:val="36"/>
                                            <w:sz w:val="32"/>
                                            <w:szCs w:val="32"/>
                                            <w:lang w:eastAsia="en-GB"/>
                                          </w:rPr>
                                          <w:t xml:space="preserve"> </w:t>
                                        </w:r>
                                        <w:r w:rsidRPr="004A288D">
                                          <w:rPr>
                                            <w:rFonts w:ascii="Arial" w:hAnsi="Arial" w:cs="Arial"/>
                                            <w:color w:val="FFFFFF"/>
                                            <w:kern w:val="36"/>
                                            <w:sz w:val="32"/>
                                            <w:szCs w:val="32"/>
                                            <w:lang w:eastAsia="en-GB"/>
                                          </w:rPr>
                                          <w:t>LCLM5002</w:t>
                                        </w:r>
                                      </w:p>
                                      <w:p w14:paraId="450F20B6" w14:textId="36EE154D" w:rsidR="0050273C" w:rsidRPr="004A288D" w:rsidRDefault="0050273C" w:rsidP="0050273C">
                                        <w:pPr>
                                          <w:pStyle w:val="NoSpacing"/>
                                          <w:spacing w:before="120"/>
                                          <w:rPr>
                                            <w:rFonts w:ascii="Arial" w:hAnsi="Arial" w:cs="Arial"/>
                                            <w:color w:val="FFFFFF" w:themeColor="background1"/>
                                            <w:sz w:val="32"/>
                                            <w:szCs w:val="32"/>
                                          </w:rPr>
                                        </w:pPr>
                                      </w:p>
                                    </w:tc>
                                  </w:tr>
                                  <w:tr w:rsidR="0050273C" w14:paraId="43AB2C35" w14:textId="77777777" w:rsidTr="004A288D">
                                    <w:trPr>
                                      <w:trHeight w:val="783"/>
                                    </w:trPr>
                                    <w:tc>
                                      <w:tcPr>
                                        <w:tcW w:w="10693" w:type="dxa"/>
                                      </w:tcPr>
                                      <w:p w14:paraId="316325BA" w14:textId="4610D4B1"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Lecture:</w:t>
                                        </w:r>
                                        <w:r>
                                          <w:rPr>
                                            <w:rFonts w:ascii="Arial" w:hAnsi="Arial" w:cs="Arial"/>
                                            <w:color w:val="FFFFFF" w:themeColor="background1"/>
                                            <w:sz w:val="32"/>
                                            <w:szCs w:val="32"/>
                                          </w:rPr>
                                          <w:t xml:space="preserve"> Mudassar Hasan                    </w:t>
                                        </w:r>
                                        <w:r>
                                          <w:rPr>
                                            <w:rFonts w:ascii="Segoe UI" w:hAnsi="Segoe UI" w:cs="Segoe UI"/>
                                            <w:color w:val="1D2125"/>
                                            <w:sz w:val="23"/>
                                            <w:szCs w:val="23"/>
                                            <w:shd w:val="clear" w:color="auto" w:fill="FFFFFF"/>
                                          </w:rPr>
                                          <w:t xml:space="preserve"> </w:t>
                                        </w:r>
                                      </w:p>
                                    </w:tc>
                                  </w:tr>
                                </w:tbl>
                                <w:p w14:paraId="57BDD217" w14:textId="0774875A" w:rsidR="00077736" w:rsidRDefault="00077736" w:rsidP="0050273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19932" w14:textId="6374C8C1" w:rsidR="00077736" w:rsidRPr="0050273C" w:rsidRDefault="00000000">
                                  <w:pPr>
                                    <w:pStyle w:val="NoSpacing"/>
                                    <w:jc w:val="center"/>
                                    <w:rPr>
                                      <w:rFonts w:ascii="Arial" w:eastAsiaTheme="majorEastAsia" w:hAnsi="Arial" w:cs="Arial"/>
                                      <w:b/>
                                      <w:bCs/>
                                      <w:caps/>
                                      <w:color w:val="156082" w:themeColor="accent1"/>
                                      <w:sz w:val="48"/>
                                      <w:szCs w:val="48"/>
                                    </w:rPr>
                                  </w:pPr>
                                  <w:sdt>
                                    <w:sdtPr>
                                      <w:rPr>
                                        <w:rFonts w:ascii="Arial" w:eastAsiaTheme="majorEastAsia" w:hAnsi="Arial" w:cs="Arial"/>
                                        <w:b/>
                                        <w:bCs/>
                                        <w:caps/>
                                        <w:color w:val="156082" w:themeColor="accent1"/>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50273C" w:rsidRPr="0050273C">
                                        <w:rPr>
                                          <w:rFonts w:ascii="Arial" w:eastAsiaTheme="majorEastAsia" w:hAnsi="Arial" w:cs="Arial"/>
                                          <w:b/>
                                          <w:bCs/>
                                          <w:caps/>
                                          <w:color w:val="156082" w:themeColor="accent1"/>
                                          <w:sz w:val="48"/>
                                          <w:szCs w:val="48"/>
                                        </w:rPr>
                                        <w:t xml:space="preserve">     </w:t>
                                      </w:r>
                                    </w:sdtContent>
                                  </w:sdt>
                                  <w:proofErr w:type="spellStart"/>
                                  <w:r w:rsidR="0050273C" w:rsidRPr="0050273C">
                                    <w:rPr>
                                      <w:rFonts w:ascii="Arial" w:hAnsi="Arial" w:cs="Arial"/>
                                      <w:b/>
                                      <w:bCs/>
                                      <w:sz w:val="48"/>
                                      <w:szCs w:val="48"/>
                                    </w:rPr>
                                    <w:t>Unicrimp</w:t>
                                  </w:r>
                                  <w:proofErr w:type="spellEnd"/>
                                  <w:r w:rsidR="0050273C" w:rsidRPr="0050273C">
                                    <w:rPr>
                                      <w:rFonts w:ascii="Arial" w:hAnsi="Arial" w:cs="Arial"/>
                                      <w:b/>
                                      <w:bCs/>
                                      <w:sz w:val="48"/>
                                      <w:szCs w:val="48"/>
                                    </w:rPr>
                                    <w:t>: HR Strategies for Change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F4EFC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tbl>
                            <w:tblPr>
                              <w:tblStyle w:val="TableGrid"/>
                              <w:tblW w:w="10693" w:type="dxa"/>
                              <w:tblInd w:w="-8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693"/>
                            </w:tblGrid>
                            <w:tr w:rsidR="0050273C" w14:paraId="507720D3" w14:textId="77777777" w:rsidTr="004A288D">
                              <w:trPr>
                                <w:trHeight w:val="794"/>
                              </w:trPr>
                              <w:tc>
                                <w:tcPr>
                                  <w:tcW w:w="10693" w:type="dxa"/>
                                </w:tcPr>
                                <w:p w14:paraId="52097916" w14:textId="062B7E4C"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Name:</w:t>
                                  </w:r>
                                  <w:r w:rsidR="0050273C" w:rsidRPr="004A288D">
                                    <w:rPr>
                                      <w:rFonts w:ascii="Arial" w:hAnsi="Arial" w:cs="Arial"/>
                                      <w:color w:val="FFFFFF" w:themeColor="background1"/>
                                      <w:sz w:val="32"/>
                                      <w:szCs w:val="32"/>
                                    </w:rPr>
                                    <w:t xml:space="preserve"> Ionel Stefanita</w:t>
                                  </w:r>
                                </w:p>
                              </w:tc>
                            </w:tr>
                            <w:tr w:rsidR="0050273C" w14:paraId="1613F65E" w14:textId="77777777" w:rsidTr="004A288D">
                              <w:trPr>
                                <w:trHeight w:val="783"/>
                              </w:trPr>
                              <w:tc>
                                <w:tcPr>
                                  <w:tcW w:w="10693" w:type="dxa"/>
                                </w:tcPr>
                                <w:p w14:paraId="053324B5" w14:textId="4D98D392"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Student number:</w:t>
                                  </w:r>
                                  <w:r w:rsidR="0050273C" w:rsidRPr="004A288D">
                                    <w:rPr>
                                      <w:rFonts w:ascii="Arial" w:hAnsi="Arial" w:cs="Arial"/>
                                      <w:color w:val="FFFFFF" w:themeColor="background1"/>
                                      <w:sz w:val="32"/>
                                      <w:szCs w:val="32"/>
                                    </w:rPr>
                                    <w:t xml:space="preserve"> </w:t>
                                  </w:r>
                                  <w:r w:rsidR="0050273C" w:rsidRPr="004A288D">
                                    <w:rPr>
                                      <w:rFonts w:ascii="Arial" w:hAnsi="Arial" w:cs="Arial"/>
                                      <w:sz w:val="32"/>
                                      <w:szCs w:val="32"/>
                                    </w:rPr>
                                    <w:t>2408392</w:t>
                                  </w:r>
                                </w:p>
                              </w:tc>
                            </w:tr>
                            <w:tr w:rsidR="0050273C" w14:paraId="0CC0371E" w14:textId="77777777" w:rsidTr="004A288D">
                              <w:trPr>
                                <w:trHeight w:val="783"/>
                              </w:trPr>
                              <w:tc>
                                <w:tcPr>
                                  <w:tcW w:w="10693" w:type="dxa"/>
                                </w:tcPr>
                                <w:p w14:paraId="28E55F7A" w14:textId="4A8ED908" w:rsidR="004A288D" w:rsidRPr="004A288D" w:rsidRDefault="004A288D" w:rsidP="004A288D">
                                  <w:pPr>
                                    <w:pStyle w:val="Heading1"/>
                                    <w:spacing w:before="0" w:after="0"/>
                                    <w:rPr>
                                      <w:rFonts w:ascii="Segoe UI" w:hAnsi="Segoe UI" w:cs="Segoe UI"/>
                                      <w:b/>
                                      <w:bCs/>
                                      <w:color w:val="FFFFFF"/>
                                      <w:kern w:val="36"/>
                                      <w:sz w:val="32"/>
                                      <w:szCs w:val="32"/>
                                      <w:lang w:eastAsia="en-GB"/>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Module name:</w:t>
                                  </w:r>
                                  <w:r w:rsidR="0050273C" w:rsidRPr="004A288D">
                                    <w:rPr>
                                      <w:rFonts w:ascii="Arial" w:hAnsi="Arial" w:cs="Arial"/>
                                      <w:color w:val="FFFFFF" w:themeColor="background1"/>
                                      <w:sz w:val="32"/>
                                      <w:szCs w:val="32"/>
                                    </w:rPr>
                                    <w:t xml:space="preserve"> </w:t>
                                  </w:r>
                                  <w:r w:rsidRPr="004A288D">
                                    <w:rPr>
                                      <w:rFonts w:ascii="Arial" w:hAnsi="Arial" w:cs="Arial"/>
                                      <w:color w:val="FFFFFF"/>
                                      <w:kern w:val="36"/>
                                      <w:sz w:val="32"/>
                                      <w:szCs w:val="32"/>
                                      <w:lang w:eastAsia="en-GB"/>
                                    </w:rPr>
                                    <w:t>Developing and Managing Individuals and Teams</w:t>
                                  </w:r>
                                </w:p>
                                <w:p w14:paraId="16DF39FC" w14:textId="028CA64A" w:rsidR="0050273C" w:rsidRPr="004A288D" w:rsidRDefault="0050273C" w:rsidP="0050273C">
                                  <w:pPr>
                                    <w:pStyle w:val="NoSpacing"/>
                                    <w:spacing w:before="120"/>
                                    <w:rPr>
                                      <w:rFonts w:ascii="Arial" w:hAnsi="Arial" w:cs="Arial"/>
                                      <w:color w:val="FFFFFF" w:themeColor="background1"/>
                                      <w:sz w:val="32"/>
                                      <w:szCs w:val="32"/>
                                    </w:rPr>
                                  </w:pPr>
                                </w:p>
                              </w:tc>
                            </w:tr>
                            <w:tr w:rsidR="0050273C" w14:paraId="7066C366" w14:textId="77777777" w:rsidTr="004A288D">
                              <w:trPr>
                                <w:trHeight w:val="783"/>
                              </w:trPr>
                              <w:tc>
                                <w:tcPr>
                                  <w:tcW w:w="10693" w:type="dxa"/>
                                </w:tcPr>
                                <w:p w14:paraId="64233D28" w14:textId="46A2BA4D" w:rsidR="004A288D" w:rsidRPr="004A288D" w:rsidRDefault="004A288D" w:rsidP="004A288D">
                                  <w:pPr>
                                    <w:pStyle w:val="Heading1"/>
                                    <w:spacing w:before="0" w:after="0"/>
                                    <w:rPr>
                                      <w:rFonts w:ascii="Segoe UI" w:hAnsi="Segoe UI" w:cs="Segoe UI"/>
                                      <w:b/>
                                      <w:bCs/>
                                      <w:color w:val="FFFFFF"/>
                                      <w:kern w:val="36"/>
                                      <w:sz w:val="48"/>
                                      <w:szCs w:val="48"/>
                                      <w:lang w:eastAsia="en-GB"/>
                                    </w:rPr>
                                  </w:pPr>
                                  <w:r>
                                    <w:rPr>
                                      <w:rFonts w:ascii="Arial" w:hAnsi="Arial" w:cs="Arial"/>
                                      <w:sz w:val="32"/>
                                      <w:szCs w:val="32"/>
                                    </w:rPr>
                                    <w:t xml:space="preserve"> </w:t>
                                  </w:r>
                                  <w:r w:rsidR="0050273C" w:rsidRPr="004A288D">
                                    <w:rPr>
                                      <w:rFonts w:ascii="Arial" w:hAnsi="Arial" w:cs="Arial"/>
                                      <w:b/>
                                      <w:bCs/>
                                      <w:color w:val="FFFFFF" w:themeColor="background1"/>
                                      <w:sz w:val="32"/>
                                      <w:szCs w:val="32"/>
                                    </w:rPr>
                                    <w:t>Module code:</w:t>
                                  </w:r>
                                  <w:r w:rsidRPr="004A288D">
                                    <w:rPr>
                                      <w:rFonts w:ascii="Arial" w:hAnsi="Arial" w:cs="Arial"/>
                                      <w:color w:val="FFFFFF" w:themeColor="background1"/>
                                      <w:kern w:val="36"/>
                                      <w:sz w:val="32"/>
                                      <w:szCs w:val="32"/>
                                      <w:lang w:eastAsia="en-GB"/>
                                    </w:rPr>
                                    <w:t xml:space="preserve"> </w:t>
                                  </w:r>
                                  <w:r w:rsidRPr="004A288D">
                                    <w:rPr>
                                      <w:rFonts w:ascii="Arial" w:hAnsi="Arial" w:cs="Arial"/>
                                      <w:color w:val="FFFFFF"/>
                                      <w:kern w:val="36"/>
                                      <w:sz w:val="32"/>
                                      <w:szCs w:val="32"/>
                                      <w:lang w:eastAsia="en-GB"/>
                                    </w:rPr>
                                    <w:t>LCLM5002</w:t>
                                  </w:r>
                                </w:p>
                                <w:p w14:paraId="450F20B6" w14:textId="36EE154D" w:rsidR="0050273C" w:rsidRPr="004A288D" w:rsidRDefault="0050273C" w:rsidP="0050273C">
                                  <w:pPr>
                                    <w:pStyle w:val="NoSpacing"/>
                                    <w:spacing w:before="120"/>
                                    <w:rPr>
                                      <w:rFonts w:ascii="Arial" w:hAnsi="Arial" w:cs="Arial"/>
                                      <w:color w:val="FFFFFF" w:themeColor="background1"/>
                                      <w:sz w:val="32"/>
                                      <w:szCs w:val="32"/>
                                    </w:rPr>
                                  </w:pPr>
                                </w:p>
                              </w:tc>
                            </w:tr>
                            <w:tr w:rsidR="0050273C" w14:paraId="43AB2C35" w14:textId="77777777" w:rsidTr="004A288D">
                              <w:trPr>
                                <w:trHeight w:val="783"/>
                              </w:trPr>
                              <w:tc>
                                <w:tcPr>
                                  <w:tcW w:w="10693" w:type="dxa"/>
                                </w:tcPr>
                                <w:p w14:paraId="316325BA" w14:textId="4610D4B1" w:rsidR="0050273C" w:rsidRPr="004A288D" w:rsidRDefault="004A288D" w:rsidP="0050273C">
                                  <w:pPr>
                                    <w:pStyle w:val="NoSpacing"/>
                                    <w:spacing w:before="120"/>
                                    <w:rPr>
                                      <w:rFonts w:ascii="Arial" w:hAnsi="Arial" w:cs="Arial"/>
                                      <w:color w:val="FFFFFF" w:themeColor="background1"/>
                                      <w:sz w:val="32"/>
                                      <w:szCs w:val="32"/>
                                    </w:rPr>
                                  </w:pPr>
                                  <w:r>
                                    <w:rPr>
                                      <w:rFonts w:ascii="Arial" w:hAnsi="Arial" w:cs="Arial"/>
                                      <w:color w:val="FFFFFF" w:themeColor="background1"/>
                                      <w:sz w:val="32"/>
                                      <w:szCs w:val="32"/>
                                    </w:rPr>
                                    <w:t xml:space="preserve"> </w:t>
                                  </w:r>
                                  <w:r w:rsidR="0050273C" w:rsidRPr="004A288D">
                                    <w:rPr>
                                      <w:rFonts w:ascii="Arial" w:hAnsi="Arial" w:cs="Arial"/>
                                      <w:b/>
                                      <w:bCs/>
                                      <w:color w:val="FFFFFF" w:themeColor="background1"/>
                                      <w:sz w:val="32"/>
                                      <w:szCs w:val="32"/>
                                    </w:rPr>
                                    <w:t>Lecture:</w:t>
                                  </w:r>
                                  <w:r>
                                    <w:rPr>
                                      <w:rFonts w:ascii="Arial" w:hAnsi="Arial" w:cs="Arial"/>
                                      <w:color w:val="FFFFFF" w:themeColor="background1"/>
                                      <w:sz w:val="32"/>
                                      <w:szCs w:val="32"/>
                                    </w:rPr>
                                    <w:t xml:space="preserve"> Mudassar Hasan                    </w:t>
                                  </w:r>
                                  <w:r>
                                    <w:rPr>
                                      <w:rFonts w:ascii="Segoe UI" w:hAnsi="Segoe UI" w:cs="Segoe UI"/>
                                      <w:color w:val="1D2125"/>
                                      <w:sz w:val="23"/>
                                      <w:szCs w:val="23"/>
                                      <w:shd w:val="clear" w:color="auto" w:fill="FFFFFF"/>
                                    </w:rPr>
                                    <w:t xml:space="preserve"> </w:t>
                                  </w:r>
                                </w:p>
                              </w:tc>
                            </w:tr>
                          </w:tbl>
                          <w:p w14:paraId="57BDD217" w14:textId="0774875A" w:rsidR="00077736" w:rsidRDefault="00077736" w:rsidP="0050273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8319932" w14:textId="6374C8C1" w:rsidR="00077736" w:rsidRPr="0050273C" w:rsidRDefault="00000000">
                            <w:pPr>
                              <w:pStyle w:val="NoSpacing"/>
                              <w:jc w:val="center"/>
                              <w:rPr>
                                <w:rFonts w:ascii="Arial" w:eastAsiaTheme="majorEastAsia" w:hAnsi="Arial" w:cs="Arial"/>
                                <w:b/>
                                <w:bCs/>
                                <w:caps/>
                                <w:color w:val="156082" w:themeColor="accent1"/>
                                <w:sz w:val="48"/>
                                <w:szCs w:val="48"/>
                              </w:rPr>
                            </w:pPr>
                            <w:sdt>
                              <w:sdtPr>
                                <w:rPr>
                                  <w:rFonts w:ascii="Arial" w:eastAsiaTheme="majorEastAsia" w:hAnsi="Arial" w:cs="Arial"/>
                                  <w:b/>
                                  <w:bCs/>
                                  <w:caps/>
                                  <w:color w:val="156082" w:themeColor="accent1"/>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50273C" w:rsidRPr="0050273C">
                                  <w:rPr>
                                    <w:rFonts w:ascii="Arial" w:eastAsiaTheme="majorEastAsia" w:hAnsi="Arial" w:cs="Arial"/>
                                    <w:b/>
                                    <w:bCs/>
                                    <w:caps/>
                                    <w:color w:val="156082" w:themeColor="accent1"/>
                                    <w:sz w:val="48"/>
                                    <w:szCs w:val="48"/>
                                  </w:rPr>
                                  <w:t xml:space="preserve">     </w:t>
                                </w:r>
                              </w:sdtContent>
                            </w:sdt>
                            <w:proofErr w:type="spellStart"/>
                            <w:r w:rsidR="0050273C" w:rsidRPr="0050273C">
                              <w:rPr>
                                <w:rFonts w:ascii="Arial" w:hAnsi="Arial" w:cs="Arial"/>
                                <w:b/>
                                <w:bCs/>
                                <w:sz w:val="48"/>
                                <w:szCs w:val="48"/>
                              </w:rPr>
                              <w:t>Unicrimp</w:t>
                            </w:r>
                            <w:proofErr w:type="spellEnd"/>
                            <w:r w:rsidR="0050273C" w:rsidRPr="0050273C">
                              <w:rPr>
                                <w:rFonts w:ascii="Arial" w:hAnsi="Arial" w:cs="Arial"/>
                                <w:b/>
                                <w:bCs/>
                                <w:sz w:val="48"/>
                                <w:szCs w:val="48"/>
                              </w:rPr>
                              <w:t>: HR Strategies for Change</w:t>
                            </w:r>
                          </w:p>
                        </w:txbxContent>
                      </v:textbox>
                    </v:shape>
                    <w10:wrap anchorx="page" anchory="page"/>
                  </v:group>
                </w:pict>
              </mc:Fallback>
            </mc:AlternateContent>
          </w:r>
          <w:r w:rsidR="004A288D">
            <w:rPr>
              <w:rFonts w:ascii="Arial" w:eastAsiaTheme="minorEastAsia" w:hAnsi="Arial" w:cs="Arial"/>
              <w:color w:val="FFFFFF" w:themeColor="background1"/>
              <w:kern w:val="0"/>
              <w:sz w:val="32"/>
              <w:szCs w:val="32"/>
              <w:lang w:val="en-US"/>
            </w:rPr>
            <w:t xml:space="preserve"> </w:t>
          </w:r>
        </w:p>
        <w:p w14:paraId="1EB41123" w14:textId="600FC642" w:rsidR="00077736" w:rsidRDefault="00077736">
          <w:pPr>
            <w:suppressAutoHyphens w:val="0"/>
            <w:rPr>
              <w:rFonts w:ascii="Arial" w:eastAsia="Times New Roman" w:hAnsi="Arial" w:cs="Arial"/>
              <w:b/>
              <w:bCs/>
              <w:kern w:val="0"/>
              <w:lang w:eastAsia="en-GB"/>
            </w:rPr>
          </w:pPr>
          <w:r>
            <w:rPr>
              <w:rFonts w:ascii="Arial" w:eastAsia="Times New Roman" w:hAnsi="Arial" w:cs="Arial"/>
              <w:b/>
              <w:bCs/>
              <w:kern w:val="0"/>
              <w:lang w:eastAsia="en-GB"/>
            </w:rPr>
            <w:br w:type="page"/>
          </w:r>
        </w:p>
      </w:sdtContent>
    </w:sdt>
    <w:p w14:paraId="7C15DBF1" w14:textId="7BA25C18" w:rsidR="00657824" w:rsidRPr="00657824" w:rsidRDefault="00657824" w:rsidP="00657824">
      <w:pPr>
        <w:suppressAutoHyphens w:val="0"/>
        <w:autoSpaceDN/>
        <w:spacing w:before="100" w:beforeAutospacing="1" w:after="100" w:afterAutospacing="1" w:line="240" w:lineRule="auto"/>
        <w:outlineLvl w:val="1"/>
        <w:rPr>
          <w:rFonts w:ascii="Arial" w:eastAsia="Times New Roman" w:hAnsi="Arial" w:cs="Arial"/>
          <w:b/>
          <w:bCs/>
          <w:kern w:val="0"/>
          <w:lang w:eastAsia="en-GB"/>
        </w:rPr>
      </w:pPr>
      <w:r w:rsidRPr="00657824">
        <w:rPr>
          <w:rFonts w:ascii="Arial" w:eastAsia="Times New Roman" w:hAnsi="Arial" w:cs="Arial"/>
          <w:b/>
          <w:bCs/>
          <w:kern w:val="0"/>
          <w:lang w:eastAsia="en-GB"/>
        </w:rPr>
        <w:lastRenderedPageBreak/>
        <w:t>Table of Contents</w:t>
      </w:r>
    </w:p>
    <w:p w14:paraId="6DA3B9DD"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Introduction</w:t>
      </w:r>
    </w:p>
    <w:p w14:paraId="3D1E434E"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Explanation of Key Factors</w:t>
      </w:r>
      <w:r w:rsidRPr="00657824">
        <w:rPr>
          <w:rFonts w:ascii="Arial" w:eastAsia="Times New Roman" w:hAnsi="Arial" w:cs="Arial"/>
          <w:kern w:val="0"/>
          <w:lang w:eastAsia="en-GB"/>
        </w:rPr>
        <w:br/>
        <w:t>– Business Transformation</w:t>
      </w:r>
      <w:r w:rsidRPr="00657824">
        <w:rPr>
          <w:rFonts w:ascii="Arial" w:eastAsia="Times New Roman" w:hAnsi="Arial" w:cs="Arial"/>
          <w:kern w:val="0"/>
          <w:lang w:eastAsia="en-GB"/>
        </w:rPr>
        <w:br/>
        <w:t>– Digital Technology Trends</w:t>
      </w:r>
      <w:r w:rsidRPr="00657824">
        <w:rPr>
          <w:rFonts w:ascii="Arial" w:eastAsia="Times New Roman" w:hAnsi="Arial" w:cs="Arial"/>
          <w:kern w:val="0"/>
          <w:lang w:eastAsia="en-GB"/>
        </w:rPr>
        <w:br/>
        <w:t>– Flexible Working Arrangements</w:t>
      </w:r>
    </w:p>
    <w:p w14:paraId="4D08D017"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Evaluation of Contemporary HR Practices to Address Each Factor</w:t>
      </w:r>
      <w:r w:rsidRPr="00657824">
        <w:rPr>
          <w:rFonts w:ascii="Arial" w:eastAsia="Times New Roman" w:hAnsi="Arial" w:cs="Arial"/>
          <w:kern w:val="0"/>
          <w:lang w:eastAsia="en-GB"/>
        </w:rPr>
        <w:br/>
        <w:t>– HR Practices Supporting Business Transformation</w:t>
      </w:r>
      <w:r w:rsidRPr="00657824">
        <w:rPr>
          <w:rFonts w:ascii="Arial" w:eastAsia="Times New Roman" w:hAnsi="Arial" w:cs="Arial"/>
          <w:kern w:val="0"/>
          <w:lang w:eastAsia="en-GB"/>
        </w:rPr>
        <w:br/>
        <w:t>– HR Practices Supporting Digital Transformation</w:t>
      </w:r>
      <w:r w:rsidRPr="00657824">
        <w:rPr>
          <w:rFonts w:ascii="Arial" w:eastAsia="Times New Roman" w:hAnsi="Arial" w:cs="Arial"/>
          <w:kern w:val="0"/>
          <w:lang w:eastAsia="en-GB"/>
        </w:rPr>
        <w:br/>
        <w:t>– HR Practices Supporting Flexible Working</w:t>
      </w:r>
    </w:p>
    <w:p w14:paraId="6623EA81"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Evaluation of Managerial Application</w:t>
      </w:r>
      <w:r w:rsidRPr="00657824">
        <w:rPr>
          <w:rFonts w:ascii="Arial" w:eastAsia="Times New Roman" w:hAnsi="Arial" w:cs="Arial"/>
          <w:kern w:val="0"/>
          <w:lang w:eastAsia="en-GB"/>
        </w:rPr>
        <w:br/>
        <w:t>– Leadership and Learning</w:t>
      </w:r>
      <w:r w:rsidRPr="00657824">
        <w:rPr>
          <w:rFonts w:ascii="Arial" w:eastAsia="Times New Roman" w:hAnsi="Arial" w:cs="Arial"/>
          <w:kern w:val="0"/>
          <w:lang w:eastAsia="en-GB"/>
        </w:rPr>
        <w:br/>
        <w:t>– Implementation with Urgency</w:t>
      </w:r>
    </w:p>
    <w:p w14:paraId="0AE84323"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Conclusion and Recommendations</w:t>
      </w:r>
      <w:r w:rsidRPr="00657824">
        <w:rPr>
          <w:rFonts w:ascii="Arial" w:eastAsia="Times New Roman" w:hAnsi="Arial" w:cs="Arial"/>
          <w:kern w:val="0"/>
          <w:lang w:eastAsia="en-GB"/>
        </w:rPr>
        <w:br/>
        <w:t>– Conclusion</w:t>
      </w:r>
      <w:r w:rsidRPr="00657824">
        <w:rPr>
          <w:rFonts w:ascii="Arial" w:eastAsia="Times New Roman" w:hAnsi="Arial" w:cs="Arial"/>
          <w:kern w:val="0"/>
          <w:lang w:eastAsia="en-GB"/>
        </w:rPr>
        <w:br/>
        <w:t>– Recommendations</w:t>
      </w:r>
    </w:p>
    <w:p w14:paraId="0B645B40" w14:textId="77777777" w:rsidR="00657824" w:rsidRPr="00657824" w:rsidRDefault="00657824" w:rsidP="00657824">
      <w:pPr>
        <w:numPr>
          <w:ilvl w:val="0"/>
          <w:numId w:val="2"/>
        </w:numPr>
        <w:suppressAutoHyphens w:val="0"/>
        <w:autoSpaceDN/>
        <w:spacing w:before="100" w:beforeAutospacing="1" w:after="100" w:afterAutospacing="1" w:line="360" w:lineRule="auto"/>
        <w:rPr>
          <w:rFonts w:ascii="Arial" w:eastAsia="Times New Roman" w:hAnsi="Arial" w:cs="Arial"/>
          <w:kern w:val="0"/>
          <w:lang w:eastAsia="en-GB"/>
        </w:rPr>
      </w:pPr>
      <w:r w:rsidRPr="00657824">
        <w:rPr>
          <w:rFonts w:ascii="Arial" w:eastAsia="Times New Roman" w:hAnsi="Arial" w:cs="Arial"/>
          <w:b/>
          <w:bCs/>
          <w:kern w:val="0"/>
          <w:lang w:eastAsia="en-GB"/>
        </w:rPr>
        <w:t>References</w:t>
      </w:r>
    </w:p>
    <w:p w14:paraId="0D04A603" w14:textId="77777777" w:rsidR="00657824" w:rsidRDefault="00657824">
      <w:pPr>
        <w:pStyle w:val="ListParagraph"/>
        <w:ind w:left="0"/>
        <w:rPr>
          <w:rFonts w:ascii="Arial" w:hAnsi="Arial" w:cs="Arial"/>
          <w:b/>
          <w:bCs/>
          <w:color w:val="000000"/>
        </w:rPr>
      </w:pPr>
    </w:p>
    <w:p w14:paraId="6390E98A" w14:textId="77777777" w:rsidR="00657824" w:rsidRDefault="00657824">
      <w:pPr>
        <w:suppressAutoHyphens w:val="0"/>
        <w:rPr>
          <w:rFonts w:ascii="Arial" w:hAnsi="Arial" w:cs="Arial"/>
          <w:b/>
          <w:bCs/>
          <w:color w:val="000000"/>
        </w:rPr>
      </w:pPr>
      <w:r>
        <w:rPr>
          <w:rFonts w:ascii="Arial" w:hAnsi="Arial" w:cs="Arial"/>
          <w:b/>
          <w:bCs/>
          <w:color w:val="000000"/>
        </w:rPr>
        <w:br w:type="page"/>
      </w:r>
    </w:p>
    <w:p w14:paraId="159B6B3B" w14:textId="0661734C" w:rsidR="00BE4EDD" w:rsidRDefault="00BE4EDD">
      <w:pPr>
        <w:pStyle w:val="ListParagraph"/>
        <w:ind w:left="0"/>
        <w:rPr>
          <w:rFonts w:ascii="Arial" w:hAnsi="Arial" w:cs="Arial"/>
          <w:color w:val="000000"/>
        </w:rPr>
      </w:pPr>
      <w:r w:rsidRPr="00BE4EDD">
        <w:rPr>
          <w:rFonts w:ascii="Arial" w:hAnsi="Arial" w:cs="Arial"/>
          <w:b/>
          <w:bCs/>
          <w:color w:val="000000"/>
        </w:rPr>
        <w:lastRenderedPageBreak/>
        <w:t>1.Introduction</w:t>
      </w:r>
      <w:r>
        <w:rPr>
          <w:rFonts w:ascii="Arial" w:hAnsi="Arial" w:cs="Arial"/>
          <w:color w:val="000000"/>
        </w:rPr>
        <w:t xml:space="preserve"> </w:t>
      </w:r>
    </w:p>
    <w:p w14:paraId="115E0F38" w14:textId="1B8698AA" w:rsidR="00647994" w:rsidRDefault="00000000" w:rsidP="00E94F52">
      <w:pPr>
        <w:pStyle w:val="ListParagraph"/>
        <w:spacing w:line="360" w:lineRule="auto"/>
        <w:ind w:left="0"/>
        <w:rPr>
          <w:rFonts w:ascii="Arial" w:hAnsi="Arial" w:cs="Arial"/>
          <w:color w:val="000000"/>
        </w:rPr>
      </w:pPr>
      <w:r>
        <w:rPr>
          <w:rFonts w:ascii="Arial" w:hAnsi="Arial" w:cs="Arial"/>
          <w:color w:val="000000"/>
        </w:rPr>
        <w:br/>
      </w:r>
      <w:proofErr w:type="spellStart"/>
      <w:r>
        <w:rPr>
          <w:rFonts w:ascii="Arial" w:hAnsi="Arial" w:cs="Arial"/>
          <w:color w:val="000000"/>
        </w:rPr>
        <w:t>Unicrimp</w:t>
      </w:r>
      <w:proofErr w:type="spellEnd"/>
      <w:r>
        <w:rPr>
          <w:rFonts w:ascii="Arial" w:hAnsi="Arial" w:cs="Arial"/>
          <w:color w:val="000000"/>
        </w:rPr>
        <w:t xml:space="preserve"> is a UK-based manufacturer in the electrical accessories sector. Rapidly changing technologies and elevated employee expectations characterise the firm’s competitive business environment. As a member of the larger </w:t>
      </w:r>
      <w:proofErr w:type="spellStart"/>
      <w:r>
        <w:rPr>
          <w:rFonts w:ascii="Arial" w:hAnsi="Arial" w:cs="Arial"/>
          <w:color w:val="000000"/>
        </w:rPr>
        <w:t>Scolmore</w:t>
      </w:r>
      <w:proofErr w:type="spellEnd"/>
      <w:r>
        <w:rPr>
          <w:rFonts w:ascii="Arial" w:hAnsi="Arial" w:cs="Arial"/>
          <w:color w:val="000000"/>
        </w:rPr>
        <w:t xml:space="preserve"> Group of companies, </w:t>
      </w:r>
      <w:proofErr w:type="spellStart"/>
      <w:r>
        <w:rPr>
          <w:rFonts w:ascii="Arial" w:hAnsi="Arial" w:cs="Arial"/>
          <w:color w:val="000000"/>
        </w:rPr>
        <w:t>Unicrimp</w:t>
      </w:r>
      <w:proofErr w:type="spellEnd"/>
      <w:r>
        <w:rPr>
          <w:rFonts w:ascii="Arial" w:hAnsi="Arial" w:cs="Arial"/>
          <w:color w:val="000000"/>
        </w:rPr>
        <w:t xml:space="preserve"> has grown to its current size through a process of innovation and product diversification. However, this growth has placed increasing organisational pressures on the company. The company is reporting a rising number of grievances being filed by employees, symptomatic of the underlying need for systemic change across its operations, culture, and management systems.</w:t>
      </w:r>
      <w:r>
        <w:rPr>
          <w:rFonts w:ascii="Arial" w:hAnsi="Arial" w:cs="Arial"/>
          <w:color w:val="000000"/>
        </w:rPr>
        <w:br/>
      </w:r>
      <w:r>
        <w:rPr>
          <w:rFonts w:ascii="Arial" w:hAnsi="Arial" w:cs="Arial"/>
          <w:color w:val="000000"/>
        </w:rPr>
        <w:br/>
        <w:t>This report discusses three interrelated concepts, which underpin the company’s need for change: business transformation, digital technology, and flexi-working. Each of these concepts can be understood as a unique but interrelated part of organisational change in the current competitive landscape. The report draws from the relevant theoretical works on human resource development (HRD) (Stewart, 2007), organisational learning (Argyris and Schön, 1978), experiential learning (Kolb, 1984), and humanistic leadership (Rogers, 1987), to explain the underpinning issues, discuss relevant HRM practices, and explore how the company’s departmental managers could implement them in an urgent timeframe for long-term success.</w:t>
      </w:r>
    </w:p>
    <w:p w14:paraId="607A8533" w14:textId="77777777" w:rsidR="00647994" w:rsidRDefault="00647994" w:rsidP="00E94F52">
      <w:pPr>
        <w:pStyle w:val="ListParagraph"/>
        <w:spacing w:line="360" w:lineRule="auto"/>
        <w:ind w:left="0"/>
        <w:rPr>
          <w:rFonts w:ascii="Arial" w:hAnsi="Arial" w:cs="Arial"/>
          <w:b/>
          <w:bCs/>
          <w:color w:val="000000"/>
        </w:rPr>
      </w:pPr>
    </w:p>
    <w:p w14:paraId="7CD43562" w14:textId="77777777" w:rsidR="00BE4EDD" w:rsidRDefault="00000000" w:rsidP="00E94F52">
      <w:pPr>
        <w:pStyle w:val="ListParagraph"/>
        <w:spacing w:line="360" w:lineRule="auto"/>
        <w:ind w:left="0"/>
        <w:rPr>
          <w:rFonts w:ascii="Arial" w:hAnsi="Arial" w:cs="Arial"/>
          <w:color w:val="000000"/>
        </w:rPr>
      </w:pPr>
      <w:r w:rsidRPr="00BE4EDD">
        <w:rPr>
          <w:rFonts w:ascii="Arial" w:hAnsi="Arial" w:cs="Arial"/>
          <w:b/>
          <w:bCs/>
          <w:color w:val="000000"/>
        </w:rPr>
        <w:t xml:space="preserve">2. </w:t>
      </w:r>
      <w:r w:rsidR="00BE4EDD" w:rsidRPr="00BE4EDD">
        <w:rPr>
          <w:rFonts w:ascii="Arial" w:hAnsi="Arial" w:cs="Arial"/>
          <w:b/>
          <w:bCs/>
        </w:rPr>
        <w:t>Explanation of Key Factors</w:t>
      </w:r>
    </w:p>
    <w:p w14:paraId="5754D5A9" w14:textId="48AF015D" w:rsidR="00647994" w:rsidRDefault="00000000" w:rsidP="00E94F52">
      <w:pPr>
        <w:pStyle w:val="ListParagraph"/>
        <w:spacing w:line="360" w:lineRule="auto"/>
        <w:ind w:left="0"/>
      </w:pPr>
      <w:r>
        <w:rPr>
          <w:rFonts w:ascii="Arial" w:hAnsi="Arial" w:cs="Arial"/>
          <w:color w:val="000000"/>
        </w:rPr>
        <w:br/>
      </w:r>
      <w:r w:rsidRPr="00BE4EDD">
        <w:rPr>
          <w:rFonts w:ascii="Arial" w:hAnsi="Arial" w:cs="Arial"/>
          <w:b/>
          <w:bCs/>
          <w:color w:val="000000"/>
        </w:rPr>
        <w:t>Business Transformation</w:t>
      </w:r>
      <w:r>
        <w:rPr>
          <w:rFonts w:ascii="Arial" w:hAnsi="Arial" w:cs="Arial"/>
          <w:color w:val="000000"/>
        </w:rPr>
        <w:br/>
      </w:r>
      <w:r>
        <w:rPr>
          <w:rFonts w:ascii="Arial" w:hAnsi="Arial" w:cs="Arial"/>
          <w:color w:val="000000"/>
        </w:rPr>
        <w:br/>
        <w:t xml:space="preserve">Business transformation is generally understood as an intentional, large-scale shift in an organisation’s processes, structures and culture to improve effectiveness and outcomes (Huczynski and Buchanan, 2013). At </w:t>
      </w:r>
      <w:proofErr w:type="spellStart"/>
      <w:r>
        <w:rPr>
          <w:rFonts w:ascii="Arial" w:hAnsi="Arial" w:cs="Arial"/>
          <w:color w:val="000000"/>
        </w:rPr>
        <w:t>Unicrimp</w:t>
      </w:r>
      <w:proofErr w:type="spellEnd"/>
      <w:r>
        <w:rPr>
          <w:rFonts w:ascii="Arial" w:hAnsi="Arial" w:cs="Arial"/>
          <w:color w:val="000000"/>
        </w:rPr>
        <w:t>, transformation has been spurred by increased competition, new customer expectations for sustainable products, and the need to respond rapidly to changing market conditions. Human resource development (HRD) is critical in this context, according to Stewart (2007), because it explicitly links individual learning with organisational development through systematic interventions in human performance improvement.</w:t>
      </w:r>
      <w:r>
        <w:rPr>
          <w:rFonts w:ascii="Arial" w:hAnsi="Arial" w:cs="Arial"/>
          <w:color w:val="000000"/>
        </w:rPr>
        <w:br/>
      </w:r>
      <w:r>
        <w:rPr>
          <w:rFonts w:ascii="Arial" w:hAnsi="Arial" w:cs="Arial"/>
          <w:color w:val="000000"/>
        </w:rPr>
        <w:br/>
        <w:t xml:space="preserve">Transformation usually impacts on mindsets and behaviours that people are often reluctant to change. The theory of organisational development (OD) focuses on the participative processes that utilise principles of behavioural science to shape human behaviours </w:t>
      </w:r>
      <w:r>
        <w:rPr>
          <w:rFonts w:ascii="Arial" w:hAnsi="Arial" w:cs="Arial"/>
          <w:color w:val="000000"/>
        </w:rPr>
        <w:lastRenderedPageBreak/>
        <w:t xml:space="preserve">(Huczynski and Buchanan, 2013). For </w:t>
      </w:r>
      <w:proofErr w:type="spellStart"/>
      <w:r>
        <w:rPr>
          <w:rFonts w:ascii="Arial" w:hAnsi="Arial" w:cs="Arial"/>
          <w:color w:val="000000"/>
        </w:rPr>
        <w:t>Unicrimp</w:t>
      </w:r>
      <w:proofErr w:type="spellEnd"/>
      <w:r>
        <w:rPr>
          <w:rFonts w:ascii="Arial" w:hAnsi="Arial" w:cs="Arial"/>
          <w:color w:val="000000"/>
        </w:rPr>
        <w:t>, this OD framework would support a culture of open dialogue, collaborative problem-solving and shared learning to help overcome resistance to change and minimise grievances. The classic OD models of action research and process consultation can be used to diagnose and address employee concerns and work jointly with employees to find solutions to address both performance and morale issues.</w:t>
      </w:r>
      <w:r>
        <w:rPr>
          <w:rFonts w:ascii="Arial" w:hAnsi="Arial" w:cs="Arial"/>
          <w:color w:val="000000"/>
        </w:rPr>
        <w:br/>
      </w:r>
      <w:r>
        <w:rPr>
          <w:rFonts w:ascii="Arial" w:hAnsi="Arial" w:cs="Arial"/>
          <w:color w:val="000000"/>
        </w:rPr>
        <w:br/>
      </w:r>
      <w:r w:rsidRPr="00BE4EDD">
        <w:rPr>
          <w:rFonts w:ascii="Arial" w:hAnsi="Arial" w:cs="Arial"/>
          <w:b/>
          <w:bCs/>
          <w:color w:val="000000"/>
        </w:rPr>
        <w:t>Digital Technology Trends</w:t>
      </w:r>
      <w:r w:rsidRPr="00BE4EDD">
        <w:rPr>
          <w:rFonts w:ascii="Arial" w:hAnsi="Arial" w:cs="Arial"/>
          <w:b/>
          <w:bCs/>
          <w:color w:val="000000"/>
        </w:rPr>
        <w:br/>
      </w:r>
      <w:r>
        <w:rPr>
          <w:rFonts w:ascii="Arial" w:hAnsi="Arial" w:cs="Arial"/>
          <w:color w:val="000000"/>
        </w:rPr>
        <w:br/>
        <w:t xml:space="preserve">The widespread use of digital technology across manufacturing is already transforming many aspects of how </w:t>
      </w:r>
      <w:proofErr w:type="spellStart"/>
      <w:r>
        <w:rPr>
          <w:rFonts w:ascii="Arial" w:hAnsi="Arial" w:cs="Arial"/>
          <w:color w:val="000000"/>
        </w:rPr>
        <w:t>Unicrimp</w:t>
      </w:r>
      <w:proofErr w:type="spellEnd"/>
      <w:r>
        <w:rPr>
          <w:rFonts w:ascii="Arial" w:hAnsi="Arial" w:cs="Arial"/>
          <w:color w:val="000000"/>
        </w:rPr>
        <w:t xml:space="preserve"> works. Automation, data analytics and digital platforms for collaboration and monitoring are reshaping tasks, roles and workflows. These technological changes also relate to the idea of the learning organisation as a place where knowledge creation and reflection inform innovation and improvement (Argyris and Schön, 1978). For example, single-loop learning happens as employees identify and fix problems in day-to-day work, while double-loop learning pushes them to question underlying assumptions and make fundamental improvements.</w:t>
      </w:r>
      <w:r>
        <w:rPr>
          <w:rFonts w:ascii="Arial" w:hAnsi="Arial" w:cs="Arial"/>
          <w:color w:val="000000"/>
        </w:rPr>
        <w:br/>
      </w:r>
      <w:r>
        <w:rPr>
          <w:rFonts w:ascii="Arial" w:hAnsi="Arial" w:cs="Arial"/>
          <w:color w:val="000000"/>
        </w:rPr>
        <w:br/>
        <w:t>Learning theory provides different lenses through which to examine the effect of digitalisation. Cognitivist learning theories are concerned with mental skills such as problem-solving and comprehension (Merriam, 2001</w:t>
      </w:r>
      <w:proofErr w:type="gramStart"/>
      <w:r>
        <w:rPr>
          <w:rFonts w:ascii="Arial" w:hAnsi="Arial" w:cs="Arial"/>
          <w:color w:val="000000"/>
        </w:rPr>
        <w:t>), and</w:t>
      </w:r>
      <w:proofErr w:type="gramEnd"/>
      <w:r>
        <w:rPr>
          <w:rFonts w:ascii="Arial" w:hAnsi="Arial" w:cs="Arial"/>
          <w:color w:val="000000"/>
        </w:rPr>
        <w:t xml:space="preserve"> are closely associated with the rational approaches to HRD (Rolfe and Taylor, 2015). Kolb’s experiential learning theory (1984), on the other hand, sees learning as a holistic process of experience, reflection and experimentation. Practical tools and techniques such as e-learning modules, performance dashboards, and simulation software for both cognitive reasoning and practice.</w:t>
      </w:r>
      <w:r>
        <w:rPr>
          <w:rFonts w:ascii="Arial" w:hAnsi="Arial" w:cs="Arial"/>
          <w:color w:val="000000"/>
        </w:rPr>
        <w:br/>
      </w:r>
      <w:r>
        <w:rPr>
          <w:rFonts w:ascii="Arial" w:hAnsi="Arial" w:cs="Arial"/>
          <w:color w:val="000000"/>
        </w:rPr>
        <w:br/>
        <w:t>Digital feedback systems can also provide real-time information on performance. Mory (2004) describes how feedback provides input to reflection, which in turn contributes to self-awareness and behaviour change. Adaptive digital HR tools that provide continuous performance feedback and learning analytics are important to align learning and development with company goals.</w:t>
      </w:r>
      <w:r>
        <w:rPr>
          <w:rFonts w:ascii="Arial" w:hAnsi="Arial" w:cs="Arial"/>
          <w:color w:val="000000"/>
        </w:rPr>
        <w:br/>
      </w:r>
      <w:r>
        <w:rPr>
          <w:rFonts w:ascii="Arial" w:hAnsi="Arial" w:cs="Arial"/>
          <w:color w:val="000000"/>
        </w:rPr>
        <w:br/>
      </w:r>
      <w:r w:rsidRPr="00BE4EDD">
        <w:rPr>
          <w:rFonts w:ascii="Arial" w:hAnsi="Arial" w:cs="Arial"/>
          <w:b/>
          <w:bCs/>
          <w:color w:val="000000"/>
        </w:rPr>
        <w:t>Flexible Working Arrangements</w:t>
      </w:r>
      <w:r>
        <w:rPr>
          <w:rFonts w:ascii="Arial" w:hAnsi="Arial" w:cs="Arial"/>
          <w:color w:val="000000"/>
        </w:rPr>
        <w:br/>
      </w:r>
      <w:r>
        <w:rPr>
          <w:rFonts w:ascii="Arial" w:hAnsi="Arial" w:cs="Arial"/>
          <w:color w:val="000000"/>
        </w:rPr>
        <w:br/>
        <w:t xml:space="preserve">Flexible working has received increasing attention more recently in line with global changes in workplace preferences. For </w:t>
      </w:r>
      <w:proofErr w:type="spellStart"/>
      <w:r>
        <w:rPr>
          <w:rFonts w:ascii="Arial" w:hAnsi="Arial" w:cs="Arial"/>
          <w:color w:val="000000"/>
        </w:rPr>
        <w:t>Unicrimp</w:t>
      </w:r>
      <w:proofErr w:type="spellEnd"/>
      <w:r>
        <w:rPr>
          <w:rFonts w:ascii="Arial" w:hAnsi="Arial" w:cs="Arial"/>
          <w:color w:val="000000"/>
        </w:rPr>
        <w:t xml:space="preserve">, hybrid and flexible working options can help support productivity and wellbeing. Rogers (1987) suggests that humanistic management values the </w:t>
      </w:r>
      <w:r>
        <w:rPr>
          <w:rFonts w:ascii="Arial" w:hAnsi="Arial" w:cs="Arial"/>
          <w:color w:val="000000"/>
        </w:rPr>
        <w:lastRenderedPageBreak/>
        <w:t>inherent worth of people as self-actualising and independent learners; flexibility is an embodiment of this approach because it assumes that employees can manage their own work if they are given trust and autonomy.</w:t>
      </w:r>
      <w:r>
        <w:rPr>
          <w:rFonts w:ascii="Arial" w:hAnsi="Arial" w:cs="Arial"/>
          <w:color w:val="000000"/>
        </w:rPr>
        <w:br/>
      </w:r>
      <w:r>
        <w:rPr>
          <w:rFonts w:ascii="Arial" w:hAnsi="Arial" w:cs="Arial"/>
          <w:color w:val="000000"/>
        </w:rPr>
        <w:br/>
        <w:t>Flexibility can be challenging if not properly managed. Competency frameworks (Edwards, 2005) provide a useful structure for describing the kinds of behaviours we need to see (for example, communication, collaboration and resilience) no matter where work is performed. Experiential learning theory can be used here as well, as individuals reflect on and adjust their behaviour in response to new ways of working (Kolb, 1984).</w:t>
      </w:r>
      <w:r>
        <w:rPr>
          <w:rFonts w:ascii="Arial" w:hAnsi="Arial" w:cs="Arial"/>
          <w:color w:val="000000"/>
        </w:rPr>
        <w:br/>
      </w:r>
      <w:r>
        <w:rPr>
          <w:rFonts w:ascii="Arial" w:hAnsi="Arial" w:cs="Arial"/>
          <w:color w:val="000000"/>
        </w:rPr>
        <w:br/>
        <w:t>In conclusion, the three business factors identified (transformation, digitalisation and flexibility) will each require new technologies and operating systems. However, they will also require a cultural shift built on trust, learning and engagement.</w:t>
      </w:r>
    </w:p>
    <w:p w14:paraId="6C958FF4" w14:textId="77777777" w:rsidR="00647994" w:rsidRDefault="00647994" w:rsidP="00E94F52">
      <w:pPr>
        <w:pStyle w:val="ListParagraph"/>
        <w:spacing w:line="360" w:lineRule="auto"/>
        <w:rPr>
          <w:rFonts w:ascii="__Inter_Fallback_f367f3" w:hAnsi="__Inter_Fallback_f367f3"/>
          <w:color w:val="000000"/>
          <w:sz w:val="27"/>
          <w:szCs w:val="27"/>
        </w:rPr>
      </w:pPr>
    </w:p>
    <w:p w14:paraId="40C0827F" w14:textId="63C7B7EB" w:rsidR="00647994" w:rsidRDefault="00000000" w:rsidP="00E94F52">
      <w:pPr>
        <w:shd w:val="clear" w:color="auto" w:fill="FFFFFF"/>
        <w:suppressAutoHyphens w:val="0"/>
        <w:spacing w:after="0" w:line="360" w:lineRule="auto"/>
        <w:rPr>
          <w:rFonts w:ascii="Arial" w:eastAsia="Times New Roman" w:hAnsi="Arial" w:cs="Arial"/>
          <w:color w:val="000000"/>
          <w:kern w:val="0"/>
          <w:lang w:eastAsia="en-GB"/>
        </w:rPr>
      </w:pPr>
      <w:r w:rsidRPr="00BE4EDD">
        <w:rPr>
          <w:rFonts w:ascii="Arial" w:eastAsia="Times New Roman" w:hAnsi="Arial" w:cs="Arial"/>
          <w:b/>
          <w:bCs/>
          <w:color w:val="000000"/>
          <w:kern w:val="0"/>
          <w:lang w:eastAsia="en-GB"/>
        </w:rPr>
        <w:t>3. Evaluation of contemporary HR practices to address each factor</w:t>
      </w:r>
      <w:r>
        <w:rPr>
          <w:rFonts w:ascii="Arial" w:eastAsia="Times New Roman" w:hAnsi="Arial" w:cs="Arial"/>
          <w:color w:val="000000"/>
          <w:kern w:val="0"/>
          <w:lang w:eastAsia="en-GB"/>
        </w:rPr>
        <w:br/>
      </w:r>
      <w:r>
        <w:rPr>
          <w:rFonts w:ascii="Arial" w:eastAsia="Times New Roman" w:hAnsi="Arial" w:cs="Arial"/>
          <w:color w:val="000000"/>
          <w:kern w:val="0"/>
          <w:lang w:eastAsia="en-GB"/>
        </w:rPr>
        <w:br/>
      </w:r>
      <w:r w:rsidRPr="00BE4EDD">
        <w:rPr>
          <w:rFonts w:ascii="Arial" w:eastAsia="Times New Roman" w:hAnsi="Arial" w:cs="Arial"/>
          <w:b/>
          <w:bCs/>
          <w:color w:val="000000"/>
          <w:kern w:val="0"/>
          <w:lang w:eastAsia="en-GB"/>
        </w:rPr>
        <w:t>HR practices that support business transformation</w:t>
      </w:r>
      <w:r>
        <w:rPr>
          <w:rFonts w:ascii="Arial" w:eastAsia="Times New Roman" w:hAnsi="Arial" w:cs="Arial"/>
          <w:color w:val="000000"/>
          <w:kern w:val="0"/>
          <w:lang w:eastAsia="en-GB"/>
        </w:rPr>
        <w:br/>
      </w:r>
      <w:r>
        <w:rPr>
          <w:rFonts w:ascii="Arial" w:eastAsia="Times New Roman" w:hAnsi="Arial" w:cs="Arial"/>
          <w:color w:val="000000"/>
          <w:kern w:val="0"/>
          <w:lang w:eastAsia="en-GB"/>
        </w:rPr>
        <w:br/>
        <w:t>Learning and developmental HR practices facilitate successful transformation. Stewart (2007) asserts HRD as a business investment, strategic to employee growth. Competency frameworks (Edwards, 2005) ensure consistency of expectations in performance and behaviour, and their contribution to organisational aims.</w:t>
      </w:r>
      <w:r>
        <w:rPr>
          <w:rFonts w:ascii="Arial" w:eastAsia="Times New Roman" w:hAnsi="Arial" w:cs="Arial"/>
          <w:color w:val="000000"/>
          <w:kern w:val="0"/>
          <w:lang w:eastAsia="en-GB"/>
        </w:rPr>
        <w:br/>
      </w:r>
      <w:r>
        <w:rPr>
          <w:rFonts w:ascii="Arial" w:eastAsia="Times New Roman" w:hAnsi="Arial" w:cs="Arial"/>
          <w:color w:val="000000"/>
          <w:kern w:val="0"/>
          <w:lang w:eastAsia="en-GB"/>
        </w:rPr>
        <w:br/>
        <w:t xml:space="preserve">Coaching and mentoring structures provide practical support and guidance during change. Megginson and Clutterbuck (2011) define mentoring as an exclusive relationship designed for long-term growth, while Clutterbuck (2009) frames coaching as a time-bound process to improve performance on specific goals. The formal implementation of coaching and mentoring structures at </w:t>
      </w:r>
      <w:proofErr w:type="spellStart"/>
      <w:r>
        <w:rPr>
          <w:rFonts w:ascii="Arial" w:eastAsia="Times New Roman" w:hAnsi="Arial" w:cs="Arial"/>
          <w:color w:val="000000"/>
          <w:kern w:val="0"/>
          <w:lang w:eastAsia="en-GB"/>
        </w:rPr>
        <w:t>Unicrimp</w:t>
      </w:r>
      <w:proofErr w:type="spellEnd"/>
      <w:r>
        <w:rPr>
          <w:rFonts w:ascii="Arial" w:eastAsia="Times New Roman" w:hAnsi="Arial" w:cs="Arial"/>
          <w:color w:val="000000"/>
          <w:kern w:val="0"/>
          <w:lang w:eastAsia="en-GB"/>
        </w:rPr>
        <w:t xml:space="preserve"> will support employee growth of new skills, manage uncertainty and anxiety, and facilitate internalisation of values through relationships.</w:t>
      </w:r>
      <w:r>
        <w:rPr>
          <w:rFonts w:ascii="Arial" w:eastAsia="Times New Roman" w:hAnsi="Arial" w:cs="Arial"/>
          <w:color w:val="000000"/>
          <w:kern w:val="0"/>
          <w:lang w:eastAsia="en-GB"/>
        </w:rPr>
        <w:br/>
      </w:r>
      <w:r>
        <w:rPr>
          <w:rFonts w:ascii="Arial" w:eastAsia="Times New Roman" w:hAnsi="Arial" w:cs="Arial"/>
          <w:color w:val="000000"/>
          <w:kern w:val="0"/>
          <w:lang w:eastAsia="en-GB"/>
        </w:rPr>
        <w:br/>
        <w:t>Systems for feedback to ensure continuous reflection and course-correction are another priority. Mory (2004) highlights the value of feedback for self-reflection and behaviour change. HR can implement regular performance review meetings, peer feedback, and pulse surveys to enable open discussion and dialogue, feedback loops, and identify training needs during the change process.</w:t>
      </w:r>
      <w:r>
        <w:rPr>
          <w:rFonts w:ascii="Arial" w:eastAsia="Times New Roman" w:hAnsi="Arial" w:cs="Arial"/>
          <w:color w:val="000000"/>
          <w:kern w:val="0"/>
          <w:lang w:eastAsia="en-GB"/>
        </w:rPr>
        <w:br/>
      </w:r>
      <w:r>
        <w:rPr>
          <w:rFonts w:ascii="Arial" w:eastAsia="Times New Roman" w:hAnsi="Arial" w:cs="Arial"/>
          <w:color w:val="000000"/>
          <w:kern w:val="0"/>
          <w:lang w:eastAsia="en-GB"/>
        </w:rPr>
        <w:br/>
      </w:r>
      <w:r w:rsidRPr="00BE4EDD">
        <w:rPr>
          <w:rFonts w:ascii="Arial" w:eastAsia="Times New Roman" w:hAnsi="Arial" w:cs="Arial"/>
          <w:b/>
          <w:bCs/>
          <w:color w:val="000000"/>
          <w:kern w:val="0"/>
          <w:lang w:eastAsia="en-GB"/>
        </w:rPr>
        <w:lastRenderedPageBreak/>
        <w:t>HR practices that support digital transformation</w:t>
      </w:r>
      <w:r>
        <w:rPr>
          <w:rFonts w:ascii="Arial" w:eastAsia="Times New Roman" w:hAnsi="Arial" w:cs="Arial"/>
          <w:color w:val="000000"/>
          <w:kern w:val="0"/>
          <w:lang w:eastAsia="en-GB"/>
        </w:rPr>
        <w:br/>
      </w:r>
      <w:r>
        <w:rPr>
          <w:rFonts w:ascii="Arial" w:eastAsia="Times New Roman" w:hAnsi="Arial" w:cs="Arial"/>
          <w:color w:val="000000"/>
          <w:kern w:val="0"/>
          <w:lang w:eastAsia="en-GB"/>
        </w:rPr>
        <w:br/>
        <w:t xml:space="preserve">Digitalisation requires HR practices that develop technology skills and a culture of continuous learning and improvement. Blended learning initiatives (Kolb, 1984) through e-learning and practical experimentation allow employees to study when and how they </w:t>
      </w:r>
      <w:proofErr w:type="gramStart"/>
      <w:r>
        <w:rPr>
          <w:rFonts w:ascii="Arial" w:eastAsia="Times New Roman" w:hAnsi="Arial" w:cs="Arial"/>
          <w:color w:val="000000"/>
          <w:kern w:val="0"/>
          <w:lang w:eastAsia="en-GB"/>
        </w:rPr>
        <w:t>like, and</w:t>
      </w:r>
      <w:proofErr w:type="gramEnd"/>
      <w:r>
        <w:rPr>
          <w:rFonts w:ascii="Arial" w:eastAsia="Times New Roman" w:hAnsi="Arial" w:cs="Arial"/>
          <w:color w:val="000000"/>
          <w:kern w:val="0"/>
          <w:lang w:eastAsia="en-GB"/>
        </w:rPr>
        <w:t xml:space="preserve"> also experiment with what they are learning and immediately apply it to real work tasks. HR professionals should integrate Kirkpatrick’s (1967) four-level evaluation model for training. This can help them measure reaction and learning on digital initiatives, evidence of behaviour transfer, and improvements in task-level results. Kirkpatrick’s model provides a framework to ensure that digital training can translate into measurable business impact.</w:t>
      </w:r>
      <w:r>
        <w:rPr>
          <w:rFonts w:ascii="Arial" w:eastAsia="Times New Roman" w:hAnsi="Arial" w:cs="Arial"/>
          <w:color w:val="000000"/>
          <w:kern w:val="0"/>
          <w:lang w:eastAsia="en-GB"/>
        </w:rPr>
        <w:br/>
      </w:r>
      <w:r>
        <w:rPr>
          <w:rFonts w:ascii="Arial" w:eastAsia="Times New Roman" w:hAnsi="Arial" w:cs="Arial"/>
          <w:color w:val="000000"/>
          <w:kern w:val="0"/>
          <w:lang w:eastAsia="en-GB"/>
        </w:rPr>
        <w:br/>
        <w:t>Performance analytics and data systems can provide development insight into where skill gaps are in the company, and who are the top performers, contributing to a culture of learning and development espoused by Argyris and Schön’s (1978) learning organisation concept. Virtual mentoring systems can also support employee development on digital platforms, as it offers the psychological and social contact needed to connect to employees (Dexter, Dexter and Irving, 2011) in a virtual environment.</w:t>
      </w:r>
      <w:r>
        <w:rPr>
          <w:rFonts w:ascii="Arial" w:eastAsia="Times New Roman" w:hAnsi="Arial" w:cs="Arial"/>
          <w:color w:val="000000"/>
          <w:kern w:val="0"/>
          <w:lang w:eastAsia="en-GB"/>
        </w:rPr>
        <w:br/>
      </w:r>
      <w:r>
        <w:rPr>
          <w:rFonts w:ascii="Arial" w:eastAsia="Times New Roman" w:hAnsi="Arial" w:cs="Arial"/>
          <w:color w:val="000000"/>
          <w:kern w:val="0"/>
          <w:lang w:eastAsia="en-GB"/>
        </w:rPr>
        <w:br/>
        <w:t>Developing online communities of practice around continuous improvement and learning can further support a culture of innovation and knowledge-sharing. This initiative reflects the key principles of organisational development, which espouse participative learning and peer collaboration (Huczynski and Buchanan, 2013).</w:t>
      </w:r>
      <w:r>
        <w:rPr>
          <w:rFonts w:ascii="Arial" w:eastAsia="Times New Roman" w:hAnsi="Arial" w:cs="Arial"/>
          <w:color w:val="000000"/>
          <w:kern w:val="0"/>
          <w:lang w:eastAsia="en-GB"/>
        </w:rPr>
        <w:br/>
      </w:r>
      <w:r>
        <w:rPr>
          <w:rFonts w:ascii="Arial" w:eastAsia="Times New Roman" w:hAnsi="Arial" w:cs="Arial"/>
          <w:color w:val="000000"/>
          <w:kern w:val="0"/>
          <w:lang w:eastAsia="en-GB"/>
        </w:rPr>
        <w:br/>
      </w:r>
      <w:r w:rsidRPr="00BE4EDD">
        <w:rPr>
          <w:rFonts w:ascii="Arial" w:eastAsia="Times New Roman" w:hAnsi="Arial" w:cs="Arial"/>
          <w:b/>
          <w:bCs/>
          <w:color w:val="000000"/>
          <w:kern w:val="0"/>
          <w:lang w:eastAsia="en-GB"/>
        </w:rPr>
        <w:t>HR practices that support flexible working</w:t>
      </w:r>
      <w:r>
        <w:rPr>
          <w:rFonts w:ascii="Arial" w:eastAsia="Times New Roman" w:hAnsi="Arial" w:cs="Arial"/>
          <w:color w:val="000000"/>
          <w:kern w:val="0"/>
          <w:lang w:eastAsia="en-GB"/>
        </w:rPr>
        <w:br/>
      </w:r>
      <w:r>
        <w:rPr>
          <w:rFonts w:ascii="Arial" w:eastAsia="Times New Roman" w:hAnsi="Arial" w:cs="Arial"/>
          <w:color w:val="000000"/>
          <w:kern w:val="0"/>
          <w:lang w:eastAsia="en-GB"/>
        </w:rPr>
        <w:br/>
        <w:t>HR practices for enabling flexible working must emphasise clear communications, performance management and wellbeing. Competency frameworks (Edwards, 2005) can be updated to include behaviours critical for remote work environments, such as collaboration, accountability, and flexibility.</w:t>
      </w:r>
      <w:r>
        <w:rPr>
          <w:rFonts w:ascii="Arial" w:eastAsia="Times New Roman" w:hAnsi="Arial" w:cs="Arial"/>
          <w:color w:val="000000"/>
          <w:kern w:val="0"/>
          <w:lang w:eastAsia="en-GB"/>
        </w:rPr>
        <w:br/>
      </w:r>
      <w:r>
        <w:rPr>
          <w:rFonts w:ascii="Arial" w:eastAsia="Times New Roman" w:hAnsi="Arial" w:cs="Arial"/>
          <w:color w:val="000000"/>
          <w:kern w:val="0"/>
          <w:lang w:eastAsia="en-GB"/>
        </w:rPr>
        <w:br/>
        <w:t>Virtual coaching and mentoring (Clutterbuck, 2009) are important development opportunities to ensure remote workers do not miss out on the support and guidance available in the office. Regular virtual check-ins are also important to ensure remote workers stay connected and engagement is not eroded by social isolation.</w:t>
      </w:r>
      <w:r>
        <w:rPr>
          <w:rFonts w:ascii="Arial" w:eastAsia="Times New Roman" w:hAnsi="Arial" w:cs="Arial"/>
          <w:color w:val="000000"/>
          <w:kern w:val="0"/>
          <w:lang w:eastAsia="en-GB"/>
        </w:rPr>
        <w:br/>
      </w:r>
      <w:r>
        <w:rPr>
          <w:rFonts w:ascii="Arial" w:eastAsia="Times New Roman" w:hAnsi="Arial" w:cs="Arial"/>
          <w:color w:val="000000"/>
          <w:kern w:val="0"/>
          <w:lang w:eastAsia="en-GB"/>
        </w:rPr>
        <w:br/>
        <w:t xml:space="preserve">Feedback systems (Mory, 2004) and other reflective learning practices can be used to </w:t>
      </w:r>
      <w:r>
        <w:rPr>
          <w:rFonts w:ascii="Arial" w:eastAsia="Times New Roman" w:hAnsi="Arial" w:cs="Arial"/>
          <w:color w:val="000000"/>
          <w:kern w:val="0"/>
          <w:lang w:eastAsia="en-GB"/>
        </w:rPr>
        <w:lastRenderedPageBreak/>
        <w:t xml:space="preserve">gather input from employees on the effectiveness and relevance of these policies and practices. Feedback should be used as a learning intervention, not just a compliance or measurement tool. This approach will help </w:t>
      </w:r>
      <w:proofErr w:type="spellStart"/>
      <w:r>
        <w:rPr>
          <w:rFonts w:ascii="Arial" w:eastAsia="Times New Roman" w:hAnsi="Arial" w:cs="Arial"/>
          <w:color w:val="000000"/>
          <w:kern w:val="0"/>
          <w:lang w:eastAsia="en-GB"/>
        </w:rPr>
        <w:t>Unicrimp</w:t>
      </w:r>
      <w:proofErr w:type="spellEnd"/>
      <w:r>
        <w:rPr>
          <w:rFonts w:ascii="Arial" w:eastAsia="Times New Roman" w:hAnsi="Arial" w:cs="Arial"/>
          <w:color w:val="000000"/>
          <w:kern w:val="0"/>
          <w:lang w:eastAsia="en-GB"/>
        </w:rPr>
        <w:t xml:space="preserve"> to continuously adapt and optimise its flexible working policy.</w:t>
      </w:r>
      <w:r>
        <w:rPr>
          <w:rFonts w:ascii="Arial" w:eastAsia="Times New Roman" w:hAnsi="Arial" w:cs="Arial"/>
          <w:color w:val="000000"/>
          <w:kern w:val="0"/>
          <w:lang w:eastAsia="en-GB"/>
        </w:rPr>
        <w:br/>
      </w:r>
      <w:r>
        <w:rPr>
          <w:rFonts w:ascii="Arial" w:eastAsia="Times New Roman" w:hAnsi="Arial" w:cs="Arial"/>
          <w:color w:val="000000"/>
          <w:kern w:val="0"/>
          <w:lang w:eastAsia="en-GB"/>
        </w:rPr>
        <w:br/>
        <w:t xml:space="preserve">In conclusion, contemporary HR practices emphasising development, feedback, coaching, and mentoring can guide </w:t>
      </w:r>
      <w:proofErr w:type="spellStart"/>
      <w:r>
        <w:rPr>
          <w:rFonts w:ascii="Arial" w:eastAsia="Times New Roman" w:hAnsi="Arial" w:cs="Arial"/>
          <w:color w:val="000000"/>
          <w:kern w:val="0"/>
          <w:lang w:eastAsia="en-GB"/>
        </w:rPr>
        <w:t>Unicrimp</w:t>
      </w:r>
      <w:proofErr w:type="spellEnd"/>
      <w:r>
        <w:rPr>
          <w:rFonts w:ascii="Arial" w:eastAsia="Times New Roman" w:hAnsi="Arial" w:cs="Arial"/>
          <w:color w:val="000000"/>
          <w:kern w:val="0"/>
          <w:lang w:eastAsia="en-GB"/>
        </w:rPr>
        <w:t xml:space="preserve"> through all three identified factors in a holistic way.</w:t>
      </w:r>
    </w:p>
    <w:p w14:paraId="143F2927" w14:textId="77777777" w:rsidR="00DA6A72" w:rsidRDefault="00DA6A72" w:rsidP="00E94F52">
      <w:pPr>
        <w:shd w:val="clear" w:color="auto" w:fill="FFFFFF"/>
        <w:suppressAutoHyphens w:val="0"/>
        <w:spacing w:after="0" w:line="360" w:lineRule="auto"/>
        <w:rPr>
          <w:rFonts w:ascii="Arial" w:eastAsia="Times New Roman" w:hAnsi="Arial" w:cs="Arial"/>
          <w:color w:val="000000"/>
          <w:kern w:val="0"/>
          <w:lang w:eastAsia="en-GB"/>
        </w:rPr>
      </w:pPr>
    </w:p>
    <w:p w14:paraId="5317B0CE" w14:textId="2BCDFB5E" w:rsidR="00DA6A72" w:rsidRDefault="00DA6A72" w:rsidP="00E94F52">
      <w:pPr>
        <w:shd w:val="clear" w:color="auto" w:fill="FFFFFF"/>
        <w:suppressAutoHyphens w:val="0"/>
        <w:spacing w:after="0" w:line="360" w:lineRule="auto"/>
        <w:rPr>
          <w:rFonts w:ascii="Arial" w:hAnsi="Arial" w:cs="Arial"/>
          <w:color w:val="000000"/>
          <w:bdr w:val="single" w:sz="2" w:space="0" w:color="E5E7EB" w:frame="1"/>
        </w:rPr>
      </w:pPr>
      <w:r w:rsidRPr="00BE4EDD">
        <w:rPr>
          <w:rFonts w:ascii="Arial" w:hAnsi="Arial" w:cs="Arial"/>
          <w:b/>
          <w:bCs/>
          <w:color w:val="000000"/>
          <w:bdr w:val="single" w:sz="2" w:space="0" w:color="E5E7EB" w:frame="1"/>
        </w:rPr>
        <w:t>4. Evaluation of Managerial Application</w:t>
      </w:r>
      <w:r w:rsidRPr="00DA6A72">
        <w:rPr>
          <w:rFonts w:ascii="Arial" w:hAnsi="Arial" w:cs="Arial"/>
          <w:color w:val="000000"/>
        </w:rPr>
        <w:br/>
      </w:r>
      <w:r w:rsidRPr="00DA6A72">
        <w:rPr>
          <w:rFonts w:ascii="Arial" w:hAnsi="Arial" w:cs="Arial"/>
          <w:color w:val="000000"/>
        </w:rPr>
        <w:br/>
      </w:r>
      <w:r w:rsidRPr="00E94F52">
        <w:rPr>
          <w:rFonts w:ascii="Arial" w:eastAsia="Times New Roman" w:hAnsi="Arial" w:cs="Arial"/>
          <w:color w:val="000000"/>
          <w:kern w:val="0"/>
          <w:lang w:eastAsia="en-GB"/>
        </w:rPr>
        <w:t>HR initiatives</w:t>
      </w:r>
      <w:r w:rsidR="00E94F52">
        <w:rPr>
          <w:rFonts w:ascii="Arial" w:eastAsia="Times New Roman" w:hAnsi="Arial" w:cs="Arial"/>
          <w:color w:val="000000"/>
          <w:kern w:val="0"/>
          <w:lang w:eastAsia="en-GB"/>
        </w:rPr>
        <w:t xml:space="preserve"> </w:t>
      </w:r>
      <w:r w:rsidRPr="00E94F52">
        <w:rPr>
          <w:rFonts w:ascii="Arial" w:eastAsia="Times New Roman" w:hAnsi="Arial" w:cs="Arial"/>
          <w:color w:val="000000"/>
          <w:kern w:val="0"/>
          <w:lang w:eastAsia="en-GB"/>
        </w:rPr>
        <w:t>success or failure is mostly determined by how well department managers apply them. Managers bridge the gap between strategic thinking and behavioural action; their response to changes</w:t>
      </w:r>
      <w:r w:rsidRPr="00DA6A72">
        <w:rPr>
          <w:rFonts w:ascii="Arial" w:hAnsi="Arial" w:cs="Arial"/>
          <w:color w:val="000000"/>
          <w:bdr w:val="single" w:sz="2" w:space="0" w:color="E5E7EB" w:frame="1"/>
        </w:rPr>
        <w:t xml:space="preserve"> often sets the pace for its success or failure.</w:t>
      </w:r>
      <w:r w:rsidRPr="00DA6A72">
        <w:rPr>
          <w:rFonts w:ascii="Arial" w:hAnsi="Arial" w:cs="Arial"/>
          <w:color w:val="000000"/>
        </w:rPr>
        <w:br/>
      </w:r>
      <w:r w:rsidRPr="00DA6A72">
        <w:rPr>
          <w:rFonts w:ascii="Arial" w:hAnsi="Arial" w:cs="Arial"/>
          <w:color w:val="000000"/>
        </w:rPr>
        <w:br/>
      </w:r>
      <w:r w:rsidRPr="00BE4EDD">
        <w:rPr>
          <w:rFonts w:ascii="Arial" w:hAnsi="Arial" w:cs="Arial"/>
          <w:b/>
          <w:bCs/>
          <w:color w:val="000000"/>
          <w:bdr w:val="single" w:sz="2" w:space="0" w:color="E5E7EB" w:frame="1"/>
        </w:rPr>
        <w:t>Leadership and Learning</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Managers are facilitators of learning in organisations, not enforcers of performance. Kolb’s (1984) four-stage learning cycle theorises that the way people gain knowledge is through reflective observation, conceptualisation and active experimentation, thus it is best when HR managers encourage employees to pause, reflect on the success and failures and experiment with new ideas to learn more.</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Similarly, Argyris and Schön’s (1978) double-loop learning model assumes that every change of action plans has to be coupled with learning and challenges one’s internal assumptions. Managers should ask questions themselves, model learning at work and create an environment that is safe for other employees to raise questions and concerns without fear of negative consequences. This will create a culture of continuous improvement, and in flexible or hybrid work, the need to innovate and learn is even greater.</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Rogers’ (1987) humanistic approach to psychology highlights the significance of empathy, trust and authenticity as the prerequisites for change. Flexible or hybrid work is not an exception. Having a real and open relationship with employees will let managers maintain engagement and unity in the teams despite the physical distance.</w:t>
      </w:r>
      <w:r w:rsidRPr="00DA6A72">
        <w:rPr>
          <w:rFonts w:ascii="Arial" w:hAnsi="Arial" w:cs="Arial"/>
          <w:color w:val="000000"/>
        </w:rPr>
        <w:br/>
      </w:r>
      <w:r w:rsidRPr="00DA6A72">
        <w:rPr>
          <w:rFonts w:ascii="Arial" w:hAnsi="Arial" w:cs="Arial"/>
          <w:color w:val="000000"/>
        </w:rPr>
        <w:br/>
      </w:r>
      <w:r w:rsidRPr="00BE4EDD">
        <w:rPr>
          <w:rFonts w:ascii="Arial" w:hAnsi="Arial" w:cs="Arial"/>
          <w:b/>
          <w:bCs/>
          <w:color w:val="000000"/>
          <w:bdr w:val="single" w:sz="2" w:space="0" w:color="E5E7EB" w:frame="1"/>
        </w:rPr>
        <w:t>Implementation with Urgency</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lastRenderedPageBreak/>
        <w:t>In order to ensure that the newly introduced HR practices will be applied with a sense of urgency, it is of primary importance that managers do not isolate them from daily operations but incorporate them into regular workflows. Competency models (Edwards, 2005) might be a good starting point here. By including desired behaviours and KPIs in the job description and, by the same token, one-to-one meetings and performance reviews, managers would be able to directly connect employees’ learning goals to desired business results. The same would also help with a better understanding of the related responsibilities by making the goals tangible and measurable.</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 xml:space="preserve">Adopting Kirkpatrick’s (1967) evaluation and feedback model will be beneficial for managers in measuring the success of each new practice. By evaluating how the new change is received by the team, measuring the achieved learning results, looking for actual behavioural changes and finally organisational impact, managers will be able to take an evidence-based approach when it comes to seeing which areas to focus on when introducing new HR practices. Similarly, managers can help HR teams with maintaining a culture of timely feedback (Mory, 2004). By providing their subordinates with relevant, supportive and immediate feedback, managers will complete the </w:t>
      </w:r>
      <w:proofErr w:type="gramStart"/>
      <w:r w:rsidRPr="00DA6A72">
        <w:rPr>
          <w:rFonts w:ascii="Arial" w:hAnsi="Arial" w:cs="Arial"/>
          <w:color w:val="000000"/>
          <w:bdr w:val="single" w:sz="2" w:space="0" w:color="E5E7EB" w:frame="1"/>
        </w:rPr>
        <w:t>fast learning</w:t>
      </w:r>
      <w:proofErr w:type="gramEnd"/>
      <w:r w:rsidRPr="00DA6A72">
        <w:rPr>
          <w:rFonts w:ascii="Arial" w:hAnsi="Arial" w:cs="Arial"/>
          <w:color w:val="000000"/>
          <w:bdr w:val="single" w:sz="2" w:space="0" w:color="E5E7EB" w:frame="1"/>
        </w:rPr>
        <w:t xml:space="preserve"> feedback loop.</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Finally, one should mention that forming action learning sets is a sure way to complete the OD approach (Huczynski and Buchanan, 2013). Action learning sets are small groups of managers and department heads that meet on a regular basis to solve organisational problems and work on improvements. By sharing the progress and accepting accountability, managers would be providing each other with support and momentum to move forward with the changes together.</w:t>
      </w:r>
    </w:p>
    <w:p w14:paraId="3E856E5A" w14:textId="77777777" w:rsidR="00DA6A72" w:rsidRDefault="00DA6A72" w:rsidP="00E94F52">
      <w:pPr>
        <w:shd w:val="clear" w:color="auto" w:fill="FFFFFF"/>
        <w:suppressAutoHyphens w:val="0"/>
        <w:spacing w:after="0" w:line="360" w:lineRule="auto"/>
        <w:rPr>
          <w:rFonts w:ascii="Arial" w:hAnsi="Arial" w:cs="Arial"/>
          <w:color w:val="000000"/>
          <w:bdr w:val="single" w:sz="2" w:space="0" w:color="E5E7EB" w:frame="1"/>
        </w:rPr>
      </w:pPr>
    </w:p>
    <w:p w14:paraId="0647E2C4" w14:textId="0C5BC927" w:rsidR="00DA6A72" w:rsidRPr="00DA6A72" w:rsidRDefault="00DA6A72" w:rsidP="00E94F52">
      <w:pPr>
        <w:shd w:val="clear" w:color="auto" w:fill="FFFFFF"/>
        <w:suppressAutoHyphens w:val="0"/>
        <w:spacing w:after="0" w:line="360" w:lineRule="auto"/>
        <w:rPr>
          <w:rFonts w:ascii="Arial" w:hAnsi="Arial" w:cs="Arial"/>
        </w:rPr>
      </w:pPr>
      <w:r w:rsidRPr="00BE4EDD">
        <w:rPr>
          <w:rFonts w:ascii="Arial" w:hAnsi="Arial" w:cs="Arial"/>
          <w:b/>
          <w:bCs/>
          <w:color w:val="000000"/>
          <w:bdr w:val="single" w:sz="2" w:space="0" w:color="E5E7EB" w:frame="1"/>
        </w:rPr>
        <w:t>5. Conclusion and Recommendations</w:t>
      </w:r>
      <w:r w:rsidRPr="00DA6A72">
        <w:rPr>
          <w:rFonts w:ascii="Arial" w:hAnsi="Arial" w:cs="Arial"/>
          <w:color w:val="000000"/>
        </w:rPr>
        <w:br/>
      </w:r>
      <w:r w:rsidRPr="00DA6A72">
        <w:rPr>
          <w:rFonts w:ascii="Arial" w:hAnsi="Arial" w:cs="Arial"/>
          <w:color w:val="000000"/>
        </w:rPr>
        <w:br/>
      </w:r>
      <w:r w:rsidRPr="00BE4EDD">
        <w:rPr>
          <w:rFonts w:ascii="Arial" w:hAnsi="Arial" w:cs="Arial"/>
          <w:b/>
          <w:bCs/>
          <w:color w:val="000000"/>
          <w:bdr w:val="single" w:sz="2" w:space="0" w:color="E5E7EB" w:frame="1"/>
        </w:rPr>
        <w:t>Conclusion</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 xml:space="preserve">In summary, </w:t>
      </w:r>
      <w:proofErr w:type="spellStart"/>
      <w:r w:rsidRPr="00DA6A72">
        <w:rPr>
          <w:rFonts w:ascii="Arial" w:hAnsi="Arial" w:cs="Arial"/>
          <w:color w:val="000000"/>
          <w:bdr w:val="single" w:sz="2" w:space="0" w:color="E5E7EB" w:frame="1"/>
        </w:rPr>
        <w:t>Unicrimp</w:t>
      </w:r>
      <w:proofErr w:type="spellEnd"/>
      <w:r w:rsidRPr="00DA6A72">
        <w:rPr>
          <w:rFonts w:ascii="Arial" w:hAnsi="Arial" w:cs="Arial"/>
          <w:color w:val="000000"/>
          <w:bdr w:val="single" w:sz="2" w:space="0" w:color="E5E7EB" w:frame="1"/>
        </w:rPr>
        <w:t xml:space="preserve"> finds itself in a complex state of transformation which is being driven by technological change, employee expectations and a business imperative to renew itself. Transformation is a process which necessitates cultural adaptation and strategic HRD; digitalisation is an approach to learning which requires investment in continuous learning and technological capability, and flexible working demands open trust, improved communications and a new emphasis on leadership. The learning and organisational development theories </w:t>
      </w:r>
      <w:r w:rsidRPr="00DA6A72">
        <w:rPr>
          <w:rFonts w:ascii="Arial" w:hAnsi="Arial" w:cs="Arial"/>
          <w:color w:val="000000"/>
          <w:bdr w:val="single" w:sz="2" w:space="0" w:color="E5E7EB" w:frame="1"/>
        </w:rPr>
        <w:lastRenderedPageBreak/>
        <w:t>put forward by Stewart (2007), Kolb (1984), Argyris and Schön (1978) and Rogers (1987) have shown that enduring change can only occur where learning and development is made an everyday part of management practice.</w:t>
      </w:r>
      <w:r w:rsidRPr="00DA6A72">
        <w:rPr>
          <w:rFonts w:ascii="Arial" w:hAnsi="Arial" w:cs="Arial"/>
          <w:color w:val="000000"/>
        </w:rPr>
        <w:br/>
      </w:r>
      <w:r w:rsidRPr="00DA6A72">
        <w:rPr>
          <w:rFonts w:ascii="Arial" w:hAnsi="Arial" w:cs="Arial"/>
          <w:color w:val="000000"/>
        </w:rPr>
        <w:br/>
      </w:r>
      <w:r w:rsidRPr="00BE4EDD">
        <w:rPr>
          <w:rFonts w:ascii="Arial" w:hAnsi="Arial" w:cs="Arial"/>
          <w:b/>
          <w:bCs/>
          <w:color w:val="000000"/>
          <w:bdr w:val="single" w:sz="2" w:space="0" w:color="E5E7EB" w:frame="1"/>
        </w:rPr>
        <w:t>Recommendations</w:t>
      </w:r>
      <w:r w:rsidRPr="00BE4EDD">
        <w:rPr>
          <w:rFonts w:ascii="Arial" w:hAnsi="Arial" w:cs="Arial"/>
          <w:b/>
          <w:bCs/>
          <w:color w:val="000000"/>
        </w:rPr>
        <w:br/>
      </w:r>
      <w:r w:rsidRPr="00DA6A72">
        <w:rPr>
          <w:rFonts w:ascii="Arial" w:hAnsi="Arial" w:cs="Arial"/>
          <w:color w:val="000000"/>
        </w:rPr>
        <w:br/>
      </w:r>
      <w:r w:rsidRPr="00DA6A72">
        <w:rPr>
          <w:rFonts w:ascii="Arial" w:hAnsi="Arial" w:cs="Arial"/>
          <w:color w:val="000000"/>
          <w:bdr w:val="single" w:sz="2" w:space="0" w:color="E5E7EB" w:frame="1"/>
        </w:rPr>
        <w:t xml:space="preserve">Formulate a strategic approach to HRD and OD in </w:t>
      </w:r>
      <w:proofErr w:type="spellStart"/>
      <w:r w:rsidRPr="00DA6A72">
        <w:rPr>
          <w:rFonts w:ascii="Arial" w:hAnsi="Arial" w:cs="Arial"/>
          <w:color w:val="000000"/>
          <w:bdr w:val="single" w:sz="2" w:space="0" w:color="E5E7EB" w:frame="1"/>
        </w:rPr>
        <w:t>Unicrimp</w:t>
      </w:r>
      <w:proofErr w:type="spellEnd"/>
      <w:r w:rsidRPr="00DA6A72">
        <w:rPr>
          <w:rFonts w:ascii="Arial" w:hAnsi="Arial" w:cs="Arial"/>
          <w:color w:val="000000"/>
          <w:bdr w:val="single" w:sz="2" w:space="0" w:color="E5E7EB" w:frame="1"/>
        </w:rPr>
        <w:t xml:space="preserve"> which coherently weaves together learning, coaching and competency development approaches in order to achieve business goals</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Implement digital learning solutions and feedback systems which offer real-time learning and performance tracking</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Apply Kirkpatrick’s (2006) evaluation model to ensure all training and digital interventions are linked to, and are producing, tangible results.</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Establish formal coaching and mentoring programmes to support employees through the transformation and flexible working processes.</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Equip managers as learning leaders by training them in experiential and humanistic approaches to leadership.</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Encourage and establish a culture of continuous reflection and feedback at all departmental levels to keep engagement high and grievances low.</w:t>
      </w:r>
      <w:r w:rsidRPr="00DA6A72">
        <w:rPr>
          <w:rFonts w:ascii="Arial" w:hAnsi="Arial" w:cs="Arial"/>
          <w:color w:val="000000"/>
        </w:rPr>
        <w:br/>
      </w:r>
      <w:r w:rsidRPr="00DA6A72">
        <w:rPr>
          <w:rFonts w:ascii="Arial" w:hAnsi="Arial" w:cs="Arial"/>
          <w:color w:val="000000"/>
        </w:rPr>
        <w:br/>
      </w:r>
      <w:r w:rsidRPr="00DA6A72">
        <w:rPr>
          <w:rFonts w:ascii="Arial" w:hAnsi="Arial" w:cs="Arial"/>
          <w:color w:val="000000"/>
          <w:bdr w:val="single" w:sz="2" w:space="0" w:color="E5E7EB" w:frame="1"/>
        </w:rPr>
        <w:t xml:space="preserve">Embedding these recommendations should not only help </w:t>
      </w:r>
      <w:proofErr w:type="spellStart"/>
      <w:r w:rsidRPr="00DA6A72">
        <w:rPr>
          <w:rFonts w:ascii="Arial" w:hAnsi="Arial" w:cs="Arial"/>
          <w:color w:val="000000"/>
          <w:bdr w:val="single" w:sz="2" w:space="0" w:color="E5E7EB" w:frame="1"/>
        </w:rPr>
        <w:t>Unicrimp</w:t>
      </w:r>
      <w:proofErr w:type="spellEnd"/>
      <w:r w:rsidRPr="00DA6A72">
        <w:rPr>
          <w:rFonts w:ascii="Arial" w:hAnsi="Arial" w:cs="Arial"/>
          <w:color w:val="000000"/>
          <w:bdr w:val="single" w:sz="2" w:space="0" w:color="E5E7EB" w:frame="1"/>
        </w:rPr>
        <w:t xml:space="preserve"> transform its technology and operations but, more importantly, should also assist the company in transforming its people and its culture. The result should be long-term competitiveness and enhanced employee wellbeing.</w:t>
      </w:r>
    </w:p>
    <w:p w14:paraId="345B098B" w14:textId="77777777" w:rsidR="00647994" w:rsidRDefault="00647994" w:rsidP="00E94F52">
      <w:pPr>
        <w:pStyle w:val="ListParagraph"/>
        <w:spacing w:line="360" w:lineRule="auto"/>
        <w:rPr>
          <w:rFonts w:ascii="Arial" w:hAnsi="Arial" w:cs="Arial"/>
        </w:rPr>
      </w:pPr>
    </w:p>
    <w:p w14:paraId="2271C707" w14:textId="77777777" w:rsidR="00DA6A72" w:rsidRDefault="00DA6A72" w:rsidP="00E94F52">
      <w:pPr>
        <w:pStyle w:val="ListParagraph"/>
        <w:spacing w:line="360" w:lineRule="auto"/>
        <w:rPr>
          <w:rFonts w:ascii="Arial" w:hAnsi="Arial" w:cs="Arial"/>
        </w:rPr>
      </w:pPr>
    </w:p>
    <w:p w14:paraId="7E6D893E" w14:textId="77777777" w:rsidR="00DA6A72" w:rsidRDefault="00DA6A72" w:rsidP="00E94F52">
      <w:pPr>
        <w:pStyle w:val="ListParagraph"/>
        <w:spacing w:line="360" w:lineRule="auto"/>
        <w:rPr>
          <w:rFonts w:ascii="Arial" w:hAnsi="Arial" w:cs="Arial"/>
        </w:rPr>
      </w:pPr>
    </w:p>
    <w:p w14:paraId="1A3AFD0F" w14:textId="77777777" w:rsidR="00DA6A72" w:rsidRDefault="00DA6A72" w:rsidP="00E94F52">
      <w:pPr>
        <w:pStyle w:val="ListParagraph"/>
        <w:spacing w:line="360" w:lineRule="auto"/>
        <w:rPr>
          <w:rFonts w:ascii="Arial" w:hAnsi="Arial" w:cs="Arial"/>
        </w:rPr>
      </w:pPr>
    </w:p>
    <w:p w14:paraId="111C73D5" w14:textId="77777777" w:rsidR="00DA6A72" w:rsidRDefault="00DA6A72" w:rsidP="00E94F52">
      <w:pPr>
        <w:pStyle w:val="ListParagraph"/>
        <w:spacing w:line="360" w:lineRule="auto"/>
        <w:rPr>
          <w:rFonts w:ascii="Arial" w:hAnsi="Arial" w:cs="Arial"/>
        </w:rPr>
      </w:pPr>
    </w:p>
    <w:p w14:paraId="5698B9CA" w14:textId="77777777" w:rsidR="00DA6A72" w:rsidRDefault="00DA6A72" w:rsidP="00E94F52">
      <w:pPr>
        <w:pStyle w:val="ListParagraph"/>
        <w:spacing w:line="360" w:lineRule="auto"/>
        <w:rPr>
          <w:rFonts w:ascii="Arial" w:hAnsi="Arial" w:cs="Arial"/>
        </w:rPr>
      </w:pPr>
    </w:p>
    <w:p w14:paraId="4C966976" w14:textId="77777777" w:rsidR="00BE4EDD" w:rsidRPr="00933A04" w:rsidRDefault="00BE4EDD" w:rsidP="00933A04">
      <w:pPr>
        <w:spacing w:line="360" w:lineRule="auto"/>
        <w:rPr>
          <w:rFonts w:ascii="Arial" w:hAnsi="Arial" w:cs="Arial"/>
        </w:rPr>
      </w:pPr>
    </w:p>
    <w:p w14:paraId="3FB163A8" w14:textId="15727C64" w:rsidR="00BE4EDD" w:rsidRPr="00D249E2" w:rsidRDefault="00D249E2" w:rsidP="00E94F52">
      <w:pPr>
        <w:pStyle w:val="ListParagraph"/>
        <w:spacing w:line="360" w:lineRule="auto"/>
        <w:ind w:left="0"/>
        <w:rPr>
          <w:rFonts w:ascii="Arial" w:hAnsi="Arial" w:cs="Arial"/>
          <w:b/>
          <w:bCs/>
        </w:rPr>
      </w:pPr>
      <w:r>
        <w:rPr>
          <w:rFonts w:ascii="Arial" w:hAnsi="Arial" w:cs="Arial"/>
          <w:b/>
          <w:bCs/>
        </w:rPr>
        <w:t>6.</w:t>
      </w:r>
      <w:r w:rsidR="00BE4EDD" w:rsidRPr="00BE4EDD">
        <w:rPr>
          <w:rFonts w:ascii="Arial" w:hAnsi="Arial" w:cs="Arial"/>
          <w:b/>
          <w:bCs/>
        </w:rPr>
        <w:t>Reference</w:t>
      </w:r>
    </w:p>
    <w:p w14:paraId="736B183B" w14:textId="77777777" w:rsidR="00BE4EDD" w:rsidRDefault="00BE4EDD" w:rsidP="00E94F52">
      <w:pPr>
        <w:pStyle w:val="ListParagraph"/>
        <w:spacing w:line="360" w:lineRule="auto"/>
        <w:ind w:left="0"/>
        <w:rPr>
          <w:rFonts w:ascii="Arial" w:hAnsi="Arial" w:cs="Arial"/>
        </w:rPr>
      </w:pPr>
    </w:p>
    <w:p w14:paraId="62B85347" w14:textId="77777777" w:rsidR="00657824" w:rsidRDefault="00DA6A72" w:rsidP="00E94F52">
      <w:pPr>
        <w:pStyle w:val="ListParagraph"/>
        <w:spacing w:line="360" w:lineRule="auto"/>
        <w:ind w:left="0"/>
        <w:rPr>
          <w:rFonts w:ascii="Arial" w:hAnsi="Arial" w:cs="Arial"/>
        </w:rPr>
      </w:pPr>
      <w:r w:rsidRPr="00DA6A72">
        <w:rPr>
          <w:rFonts w:ascii="Arial" w:hAnsi="Arial" w:cs="Arial"/>
        </w:rPr>
        <w:t xml:space="preserve">Argyris, C. and Schön, D. (1978) </w:t>
      </w:r>
      <w:r w:rsidRPr="00DA6A72">
        <w:rPr>
          <w:rStyle w:val="Emphasis"/>
          <w:rFonts w:ascii="Arial" w:hAnsi="Arial" w:cs="Arial"/>
          <w:i w:val="0"/>
          <w:iCs w:val="0"/>
        </w:rPr>
        <w:t>Organisational Learning: A Theory of Action Perspective</w:t>
      </w:r>
      <w:r w:rsidRPr="00DA6A72">
        <w:rPr>
          <w:rStyle w:val="Emphasis"/>
          <w:rFonts w:ascii="Arial" w:hAnsi="Arial" w:cs="Arial"/>
        </w:rPr>
        <w:t>.</w:t>
      </w:r>
      <w:r w:rsidRPr="00DA6A72">
        <w:rPr>
          <w:rFonts w:ascii="Arial" w:hAnsi="Arial" w:cs="Arial"/>
        </w:rPr>
        <w:t xml:space="preserve"> Reading, MA: Addison-Wesley.</w:t>
      </w:r>
    </w:p>
    <w:p w14:paraId="7823FF84"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Clutterbuck, D. (2009) </w:t>
      </w:r>
      <w:r w:rsidRPr="00DA6A72">
        <w:rPr>
          <w:rStyle w:val="Emphasis"/>
          <w:rFonts w:ascii="Arial" w:hAnsi="Arial" w:cs="Arial"/>
          <w:i w:val="0"/>
          <w:iCs w:val="0"/>
        </w:rPr>
        <w:t>Further Techniques for Coaching and Mentoring</w:t>
      </w:r>
      <w:r w:rsidRPr="00DA6A72">
        <w:rPr>
          <w:rStyle w:val="Emphasis"/>
          <w:rFonts w:ascii="Arial" w:hAnsi="Arial" w:cs="Arial"/>
        </w:rPr>
        <w:t>.</w:t>
      </w:r>
      <w:r w:rsidRPr="00DA6A72">
        <w:rPr>
          <w:rFonts w:ascii="Arial" w:hAnsi="Arial" w:cs="Arial"/>
        </w:rPr>
        <w:t xml:space="preserve"> Oxford: Butterworth-Heinemann.</w:t>
      </w:r>
    </w:p>
    <w:p w14:paraId="79ED0966"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Dexter, J., Dexter, G. and Irving, J. (2011) </w:t>
      </w:r>
      <w:r w:rsidRPr="00DA6A72">
        <w:rPr>
          <w:rStyle w:val="Emphasis"/>
          <w:rFonts w:ascii="Arial" w:hAnsi="Arial" w:cs="Arial"/>
          <w:i w:val="0"/>
          <w:iCs w:val="0"/>
        </w:rPr>
        <w:t>An Introduction to Coaching</w:t>
      </w:r>
      <w:r w:rsidRPr="00DA6A72">
        <w:rPr>
          <w:rStyle w:val="Emphasis"/>
          <w:rFonts w:ascii="Arial" w:hAnsi="Arial" w:cs="Arial"/>
        </w:rPr>
        <w:t>.</w:t>
      </w:r>
      <w:r w:rsidRPr="00DA6A72">
        <w:rPr>
          <w:rFonts w:ascii="Arial" w:hAnsi="Arial" w:cs="Arial"/>
        </w:rPr>
        <w:t xml:space="preserve"> London: SAGE Publications Ltd.</w:t>
      </w:r>
    </w:p>
    <w:p w14:paraId="1833B451"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Edwards, M. (2005) </w:t>
      </w:r>
      <w:r w:rsidRPr="00DA6A72">
        <w:rPr>
          <w:rStyle w:val="Emphasis"/>
          <w:rFonts w:ascii="Arial" w:hAnsi="Arial" w:cs="Arial"/>
          <w:i w:val="0"/>
          <w:iCs w:val="0"/>
        </w:rPr>
        <w:t>Employer Branding and HR Strategy</w:t>
      </w:r>
      <w:r w:rsidRPr="00DA6A72">
        <w:rPr>
          <w:rStyle w:val="Emphasis"/>
          <w:rFonts w:ascii="Arial" w:hAnsi="Arial" w:cs="Arial"/>
        </w:rPr>
        <w:t>.</w:t>
      </w:r>
      <w:r w:rsidRPr="00DA6A72">
        <w:rPr>
          <w:rFonts w:ascii="Arial" w:hAnsi="Arial" w:cs="Arial"/>
        </w:rPr>
        <w:t xml:space="preserve"> London: Chartered Institute of Personnel and Development.</w:t>
      </w:r>
    </w:p>
    <w:p w14:paraId="1C86954E"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Huczynski, A. and Buchanan, D. (2013) </w:t>
      </w:r>
      <w:r w:rsidRPr="00DA6A72">
        <w:rPr>
          <w:rStyle w:val="Emphasis"/>
          <w:rFonts w:ascii="Arial" w:hAnsi="Arial" w:cs="Arial"/>
          <w:i w:val="0"/>
          <w:iCs w:val="0"/>
        </w:rPr>
        <w:t>Organisational Behaviour</w:t>
      </w:r>
      <w:r w:rsidRPr="00DA6A72">
        <w:rPr>
          <w:rStyle w:val="Emphasis"/>
          <w:rFonts w:ascii="Arial" w:hAnsi="Arial" w:cs="Arial"/>
        </w:rPr>
        <w:t>.</w:t>
      </w:r>
      <w:r w:rsidRPr="00DA6A72">
        <w:rPr>
          <w:rFonts w:ascii="Arial" w:hAnsi="Arial" w:cs="Arial"/>
        </w:rPr>
        <w:t xml:space="preserve"> 8th ed. Harlow: Pearson Education.</w:t>
      </w:r>
    </w:p>
    <w:p w14:paraId="02E69D61"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Kolb, D. (1984) </w:t>
      </w:r>
      <w:r w:rsidRPr="00DA6A72">
        <w:rPr>
          <w:rStyle w:val="Emphasis"/>
          <w:rFonts w:ascii="Arial" w:hAnsi="Arial" w:cs="Arial"/>
          <w:i w:val="0"/>
          <w:iCs w:val="0"/>
        </w:rPr>
        <w:t>Experiential Learning: Experience as the Source of Learning and Development.</w:t>
      </w:r>
      <w:r w:rsidRPr="00DA6A72">
        <w:rPr>
          <w:rFonts w:ascii="Arial" w:hAnsi="Arial" w:cs="Arial"/>
        </w:rPr>
        <w:t xml:space="preserve"> Englewood Cliffs, NJ: Prentice Hall.</w:t>
      </w:r>
    </w:p>
    <w:p w14:paraId="61A351D6" w14:textId="77777777" w:rsidR="00077736" w:rsidRDefault="00DA6A72" w:rsidP="00E94F52">
      <w:pPr>
        <w:pStyle w:val="ListParagraph"/>
        <w:spacing w:line="360" w:lineRule="auto"/>
        <w:ind w:left="0"/>
        <w:rPr>
          <w:rFonts w:ascii="Arial" w:hAnsi="Arial" w:cs="Arial"/>
        </w:rPr>
      </w:pPr>
      <w:r w:rsidRPr="00DA6A72">
        <w:rPr>
          <w:rFonts w:ascii="Arial" w:hAnsi="Arial" w:cs="Arial"/>
        </w:rPr>
        <w:br/>
        <w:t xml:space="preserve">Kirkpatrick, D. (1967) </w:t>
      </w:r>
      <w:r w:rsidRPr="00DA6A72">
        <w:rPr>
          <w:rStyle w:val="Emphasis"/>
          <w:rFonts w:ascii="Arial" w:hAnsi="Arial" w:cs="Arial"/>
          <w:i w:val="0"/>
          <w:iCs w:val="0"/>
        </w:rPr>
        <w:t>Evaluation of Training.</w:t>
      </w:r>
      <w:r w:rsidRPr="00DA6A72">
        <w:rPr>
          <w:rFonts w:ascii="Arial" w:hAnsi="Arial" w:cs="Arial"/>
        </w:rPr>
        <w:t xml:space="preserve"> New York: McGraw-Hill.</w:t>
      </w:r>
    </w:p>
    <w:p w14:paraId="2A70D4D9" w14:textId="26CEABD8" w:rsidR="00657824" w:rsidRDefault="00DA6A72" w:rsidP="00E94F52">
      <w:pPr>
        <w:pStyle w:val="ListParagraph"/>
        <w:spacing w:line="360" w:lineRule="auto"/>
        <w:ind w:left="0"/>
        <w:rPr>
          <w:rFonts w:ascii="Arial" w:hAnsi="Arial" w:cs="Arial"/>
        </w:rPr>
      </w:pPr>
      <w:r w:rsidRPr="00DA6A72">
        <w:rPr>
          <w:rFonts w:ascii="Arial" w:hAnsi="Arial" w:cs="Arial"/>
        </w:rPr>
        <w:br/>
        <w:t xml:space="preserve">Megginson, D. and Clutterbuck, D. (2011) </w:t>
      </w:r>
      <w:r w:rsidRPr="00DA6A72">
        <w:rPr>
          <w:rStyle w:val="Emphasis"/>
          <w:rFonts w:ascii="Arial" w:hAnsi="Arial" w:cs="Arial"/>
          <w:i w:val="0"/>
          <w:iCs w:val="0"/>
        </w:rPr>
        <w:t>Techniques for Coaching and Mentoring</w:t>
      </w:r>
      <w:r w:rsidRPr="00DA6A72">
        <w:rPr>
          <w:rStyle w:val="Emphasis"/>
          <w:rFonts w:ascii="Arial" w:hAnsi="Arial" w:cs="Arial"/>
        </w:rPr>
        <w:t>.</w:t>
      </w:r>
      <w:r w:rsidRPr="00DA6A72">
        <w:rPr>
          <w:rFonts w:ascii="Arial" w:hAnsi="Arial" w:cs="Arial"/>
        </w:rPr>
        <w:t xml:space="preserve"> London: Routledge.</w:t>
      </w:r>
    </w:p>
    <w:p w14:paraId="7DBF3F8C"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Merriam, S. (2001) </w:t>
      </w:r>
      <w:r w:rsidRPr="00DA6A72">
        <w:rPr>
          <w:rStyle w:val="Emphasis"/>
          <w:rFonts w:ascii="Arial" w:hAnsi="Arial" w:cs="Arial"/>
          <w:i w:val="0"/>
          <w:iCs w:val="0"/>
        </w:rPr>
        <w:t>The New Update on Adult Learning Theory</w:t>
      </w:r>
      <w:r w:rsidRPr="00DA6A72">
        <w:rPr>
          <w:rStyle w:val="Emphasis"/>
          <w:rFonts w:ascii="Arial" w:hAnsi="Arial" w:cs="Arial"/>
        </w:rPr>
        <w:t>.</w:t>
      </w:r>
      <w:r w:rsidRPr="00DA6A72">
        <w:rPr>
          <w:rFonts w:ascii="Arial" w:hAnsi="Arial" w:cs="Arial"/>
        </w:rPr>
        <w:t xml:space="preserve"> San Francisco: Jossey-Bass.</w:t>
      </w:r>
    </w:p>
    <w:p w14:paraId="6D9191F0"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Mory, E. (2004) ‘Feedback Research Revisited’, in Jonassen, D. (ed.) </w:t>
      </w:r>
      <w:r w:rsidRPr="00DA6A72">
        <w:rPr>
          <w:rStyle w:val="Emphasis"/>
          <w:rFonts w:ascii="Arial" w:hAnsi="Arial" w:cs="Arial"/>
          <w:i w:val="0"/>
          <w:iCs w:val="0"/>
        </w:rPr>
        <w:t>Handbook of Research on Educational Communications and Technology.</w:t>
      </w:r>
      <w:r w:rsidRPr="00DA6A72">
        <w:rPr>
          <w:rFonts w:ascii="Arial" w:hAnsi="Arial" w:cs="Arial"/>
        </w:rPr>
        <w:t xml:space="preserve"> Mahwah, NJ: Erlbaum.</w:t>
      </w:r>
    </w:p>
    <w:p w14:paraId="6A66B602" w14:textId="77777777" w:rsidR="00657824" w:rsidRDefault="00DA6A72" w:rsidP="00E94F52">
      <w:pPr>
        <w:pStyle w:val="ListParagraph"/>
        <w:spacing w:line="360" w:lineRule="auto"/>
        <w:ind w:left="0"/>
        <w:rPr>
          <w:rFonts w:ascii="Arial" w:hAnsi="Arial" w:cs="Arial"/>
        </w:rPr>
      </w:pPr>
      <w:r w:rsidRPr="00DA6A72">
        <w:rPr>
          <w:rFonts w:ascii="Arial" w:hAnsi="Arial" w:cs="Arial"/>
        </w:rPr>
        <w:br/>
        <w:t xml:space="preserve">Rogers, C. (1987) </w:t>
      </w:r>
      <w:r w:rsidRPr="00DA6A72">
        <w:rPr>
          <w:rStyle w:val="Emphasis"/>
          <w:rFonts w:ascii="Arial" w:hAnsi="Arial" w:cs="Arial"/>
          <w:i w:val="0"/>
          <w:iCs w:val="0"/>
        </w:rPr>
        <w:t>On Becoming a Person</w:t>
      </w:r>
      <w:r w:rsidRPr="00DA6A72">
        <w:rPr>
          <w:rStyle w:val="Emphasis"/>
          <w:rFonts w:ascii="Arial" w:hAnsi="Arial" w:cs="Arial"/>
        </w:rPr>
        <w:t>.</w:t>
      </w:r>
      <w:r w:rsidRPr="00DA6A72">
        <w:rPr>
          <w:rFonts w:ascii="Arial" w:hAnsi="Arial" w:cs="Arial"/>
        </w:rPr>
        <w:t xml:space="preserve"> Boston: Houghton Mifflin.</w:t>
      </w:r>
    </w:p>
    <w:p w14:paraId="7C56CD8B" w14:textId="04988659" w:rsidR="00DA6A72" w:rsidRPr="00DA6A72" w:rsidRDefault="00DA6A72" w:rsidP="00E94F52">
      <w:pPr>
        <w:pStyle w:val="ListParagraph"/>
        <w:spacing w:line="360" w:lineRule="auto"/>
        <w:ind w:left="0"/>
        <w:rPr>
          <w:rFonts w:ascii="Arial" w:hAnsi="Arial" w:cs="Arial"/>
        </w:rPr>
      </w:pPr>
      <w:r w:rsidRPr="00DA6A72">
        <w:rPr>
          <w:rFonts w:ascii="Arial" w:hAnsi="Arial" w:cs="Arial"/>
        </w:rPr>
        <w:br/>
        <w:t xml:space="preserve">Stewart, J. (2007) </w:t>
      </w:r>
      <w:r w:rsidRPr="00DA6A72">
        <w:rPr>
          <w:rStyle w:val="Emphasis"/>
          <w:rFonts w:ascii="Arial" w:hAnsi="Arial" w:cs="Arial"/>
          <w:i w:val="0"/>
          <w:iCs w:val="0"/>
        </w:rPr>
        <w:t>Developing Human Resource</w:t>
      </w:r>
      <w:r w:rsidRPr="00DA6A72">
        <w:rPr>
          <w:rStyle w:val="Emphasis"/>
          <w:rFonts w:ascii="Arial" w:hAnsi="Arial" w:cs="Arial"/>
        </w:rPr>
        <w:t>.</w:t>
      </w:r>
      <w:r w:rsidRPr="00DA6A72">
        <w:rPr>
          <w:rFonts w:ascii="Arial" w:hAnsi="Arial" w:cs="Arial"/>
        </w:rPr>
        <w:t xml:space="preserve"> 2nd ed. London: Routledge.</w:t>
      </w:r>
    </w:p>
    <w:p w14:paraId="23E283C8" w14:textId="77777777" w:rsidR="00DA6A72" w:rsidRPr="00DA6A72" w:rsidRDefault="00DA6A72" w:rsidP="00E94F52">
      <w:pPr>
        <w:pStyle w:val="ListParagraph"/>
        <w:spacing w:line="360" w:lineRule="auto"/>
        <w:ind w:left="0"/>
        <w:rPr>
          <w:rFonts w:ascii="Arial" w:hAnsi="Arial" w:cs="Arial"/>
        </w:rPr>
      </w:pPr>
    </w:p>
    <w:p w14:paraId="73E0DE90" w14:textId="77777777" w:rsidR="00DA6A72" w:rsidRPr="00DA6A72" w:rsidRDefault="00DA6A72" w:rsidP="00E94F52">
      <w:pPr>
        <w:pStyle w:val="ListParagraph"/>
        <w:spacing w:line="360" w:lineRule="auto"/>
        <w:ind w:left="0"/>
        <w:rPr>
          <w:rFonts w:ascii="Arial" w:hAnsi="Arial" w:cs="Arial"/>
        </w:rPr>
      </w:pPr>
    </w:p>
    <w:p w14:paraId="39CF0F1E" w14:textId="77777777" w:rsidR="00DA6A72" w:rsidRDefault="00DA6A72" w:rsidP="00E94F52">
      <w:pPr>
        <w:pStyle w:val="ListParagraph"/>
        <w:spacing w:line="360" w:lineRule="auto"/>
        <w:ind w:left="0"/>
        <w:rPr>
          <w:rFonts w:ascii="Arial" w:hAnsi="Arial" w:cs="Arial"/>
        </w:rPr>
      </w:pPr>
    </w:p>
    <w:p w14:paraId="75880AB3" w14:textId="77777777" w:rsidR="00DA6A72" w:rsidRDefault="00DA6A72" w:rsidP="00E94F52">
      <w:pPr>
        <w:pStyle w:val="ListParagraph"/>
        <w:spacing w:line="360" w:lineRule="auto"/>
        <w:ind w:left="0"/>
        <w:rPr>
          <w:rFonts w:ascii="Arial" w:hAnsi="Arial" w:cs="Arial"/>
        </w:rPr>
      </w:pPr>
    </w:p>
    <w:p w14:paraId="0FB502BD" w14:textId="77777777" w:rsidR="00DA6A72" w:rsidRDefault="00DA6A72" w:rsidP="00E94F52">
      <w:pPr>
        <w:pStyle w:val="ListParagraph"/>
        <w:spacing w:line="360" w:lineRule="auto"/>
        <w:rPr>
          <w:rFonts w:ascii="Arial" w:hAnsi="Arial" w:cs="Arial"/>
        </w:rPr>
      </w:pPr>
    </w:p>
    <w:p w14:paraId="04B2592F" w14:textId="77777777" w:rsidR="00DA6A72" w:rsidRDefault="00DA6A72" w:rsidP="00E94F52">
      <w:pPr>
        <w:pStyle w:val="ListParagraph"/>
        <w:spacing w:line="360" w:lineRule="auto"/>
        <w:rPr>
          <w:rFonts w:ascii="Arial" w:hAnsi="Arial" w:cs="Arial"/>
        </w:rPr>
      </w:pPr>
    </w:p>
    <w:p w14:paraId="23EE067F" w14:textId="77777777" w:rsidR="00DA6A72" w:rsidRDefault="00DA6A72">
      <w:pPr>
        <w:pStyle w:val="ListParagraph"/>
        <w:rPr>
          <w:rFonts w:ascii="Arial" w:hAnsi="Arial" w:cs="Arial"/>
        </w:rPr>
      </w:pPr>
    </w:p>
    <w:p w14:paraId="1AC5C3C6" w14:textId="77777777" w:rsidR="00DA6A72" w:rsidRDefault="00DA6A72">
      <w:pPr>
        <w:pStyle w:val="ListParagraph"/>
        <w:rPr>
          <w:rFonts w:ascii="Arial" w:hAnsi="Arial" w:cs="Arial"/>
        </w:rPr>
      </w:pPr>
    </w:p>
    <w:p w14:paraId="46148E3F" w14:textId="77777777" w:rsidR="00DA6A72" w:rsidRPr="00DA6A72" w:rsidRDefault="00DA6A72">
      <w:pPr>
        <w:pStyle w:val="ListParagraph"/>
        <w:rPr>
          <w:rFonts w:ascii="Arial" w:hAnsi="Arial" w:cs="Arial"/>
        </w:rPr>
      </w:pPr>
    </w:p>
    <w:sectPr w:rsidR="00DA6A72" w:rsidRPr="00DA6A72" w:rsidSect="0007773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AC0AD" w14:textId="77777777" w:rsidR="00887869" w:rsidRDefault="00887869">
      <w:pPr>
        <w:spacing w:after="0" w:line="240" w:lineRule="auto"/>
      </w:pPr>
      <w:r>
        <w:separator/>
      </w:r>
    </w:p>
  </w:endnote>
  <w:endnote w:type="continuationSeparator" w:id="0">
    <w:p w14:paraId="2482B929" w14:textId="77777777" w:rsidR="00887869" w:rsidRDefault="00887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__Inter_Fallback_f367f3">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B63AF" w14:textId="77777777" w:rsidR="00FE508B" w:rsidRDefault="00FE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621566"/>
      <w:docPartObj>
        <w:docPartGallery w:val="Page Numbers (Bottom of Page)"/>
        <w:docPartUnique/>
      </w:docPartObj>
    </w:sdtPr>
    <w:sdtEndPr>
      <w:rPr>
        <w:noProof/>
      </w:rPr>
    </w:sdtEndPr>
    <w:sdtContent>
      <w:p w14:paraId="22B0AFFF" w14:textId="4E9C80A4" w:rsidR="00FE508B" w:rsidRDefault="00FE50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179355" w14:textId="77777777" w:rsidR="00FE508B" w:rsidRDefault="00FE5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D3114" w14:textId="77777777" w:rsidR="00FE508B" w:rsidRDefault="00FE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ABE70" w14:textId="77777777" w:rsidR="00887869" w:rsidRDefault="00887869">
      <w:pPr>
        <w:spacing w:after="0" w:line="240" w:lineRule="auto"/>
      </w:pPr>
      <w:r>
        <w:rPr>
          <w:color w:val="000000"/>
        </w:rPr>
        <w:separator/>
      </w:r>
    </w:p>
  </w:footnote>
  <w:footnote w:type="continuationSeparator" w:id="0">
    <w:p w14:paraId="01B8932B" w14:textId="77777777" w:rsidR="00887869" w:rsidRDefault="00887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B978F" w14:textId="77777777" w:rsidR="00FE508B" w:rsidRDefault="00FE50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D2A97" w14:textId="77777777" w:rsidR="00FE508B" w:rsidRDefault="00FE50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92422" w14:textId="77777777" w:rsidR="00FE508B" w:rsidRDefault="00FE50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881513"/>
    <w:multiLevelType w:val="multilevel"/>
    <w:tmpl w:val="67989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CD4A55"/>
    <w:multiLevelType w:val="multilevel"/>
    <w:tmpl w:val="AB380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12149">
    <w:abstractNumId w:val="1"/>
  </w:num>
  <w:num w:numId="2" w16cid:durableId="2081443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994"/>
    <w:rsid w:val="00015B21"/>
    <w:rsid w:val="00077736"/>
    <w:rsid w:val="001102A7"/>
    <w:rsid w:val="00180BBD"/>
    <w:rsid w:val="00224A45"/>
    <w:rsid w:val="003B4B44"/>
    <w:rsid w:val="004A288D"/>
    <w:rsid w:val="004E2F27"/>
    <w:rsid w:val="0050273C"/>
    <w:rsid w:val="00515B28"/>
    <w:rsid w:val="00515FE0"/>
    <w:rsid w:val="00544473"/>
    <w:rsid w:val="00647994"/>
    <w:rsid w:val="00657824"/>
    <w:rsid w:val="00872741"/>
    <w:rsid w:val="00887869"/>
    <w:rsid w:val="008C5058"/>
    <w:rsid w:val="008D16C7"/>
    <w:rsid w:val="008D2A0D"/>
    <w:rsid w:val="00933A04"/>
    <w:rsid w:val="00B64E7E"/>
    <w:rsid w:val="00BE4EDD"/>
    <w:rsid w:val="00D249E2"/>
    <w:rsid w:val="00D71662"/>
    <w:rsid w:val="00DA4036"/>
    <w:rsid w:val="00DA6A72"/>
    <w:rsid w:val="00DB6611"/>
    <w:rsid w:val="00E94F52"/>
    <w:rsid w:val="00FE508B"/>
    <w:rsid w:val="00FE7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9E232"/>
  <w15:docId w15:val="{6DA5D285-C3E3-4F61-9D5A-7C3DF5C00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Emphasis">
    <w:name w:val="Emphasis"/>
    <w:basedOn w:val="DefaultParagraphFont"/>
    <w:uiPriority w:val="20"/>
    <w:qFormat/>
    <w:rsid w:val="00DA6A72"/>
    <w:rPr>
      <w:i/>
      <w:iCs/>
    </w:rPr>
  </w:style>
  <w:style w:type="paragraph" w:styleId="Header">
    <w:name w:val="header"/>
    <w:basedOn w:val="Normal"/>
    <w:link w:val="HeaderChar"/>
    <w:uiPriority w:val="99"/>
    <w:unhideWhenUsed/>
    <w:rsid w:val="00FE5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08B"/>
  </w:style>
  <w:style w:type="paragraph" w:styleId="Footer">
    <w:name w:val="footer"/>
    <w:basedOn w:val="Normal"/>
    <w:link w:val="FooterChar"/>
    <w:uiPriority w:val="99"/>
    <w:unhideWhenUsed/>
    <w:rsid w:val="00FE5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08B"/>
  </w:style>
  <w:style w:type="paragraph" w:styleId="NoSpacing">
    <w:name w:val="No Spacing"/>
    <w:link w:val="NoSpacingChar"/>
    <w:uiPriority w:val="1"/>
    <w:qFormat/>
    <w:rsid w:val="00077736"/>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077736"/>
    <w:rPr>
      <w:rFonts w:asciiTheme="minorHAnsi" w:eastAsiaTheme="minorEastAsia" w:hAnsiTheme="minorHAnsi" w:cstheme="minorBidi"/>
      <w:kern w:val="0"/>
      <w:lang w:val="en-US"/>
    </w:rPr>
  </w:style>
  <w:style w:type="table" w:styleId="TableGrid">
    <w:name w:val="Table Grid"/>
    <w:basedOn w:val="TableNormal"/>
    <w:uiPriority w:val="39"/>
    <w:rsid w:val="00502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45551-21C2-4CC8-9011-70F23852D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Pages>
  <Words>2514</Words>
  <Characters>14331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Stefanita (2408392)</dc:creator>
  <dc:description/>
  <cp:lastModifiedBy>Ionel Stefanita (2408392)</cp:lastModifiedBy>
  <cp:revision>18</cp:revision>
  <dcterms:created xsi:type="dcterms:W3CDTF">2025-11-11T17:29:00Z</dcterms:created>
  <dcterms:modified xsi:type="dcterms:W3CDTF">2025-11-16T17:21:00Z</dcterms:modified>
</cp:coreProperties>
</file>