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D16CB" w14:textId="77777777" w:rsidR="009315B4" w:rsidRPr="008A4950" w:rsidRDefault="009315B4" w:rsidP="00712B6F">
      <w:pPr>
        <w:pStyle w:val="Normal1"/>
        <w:spacing w:before="240" w:after="240" w:line="360" w:lineRule="auto"/>
        <w:jc w:val="center"/>
        <w:rPr>
          <w:rFonts w:ascii="Times New Roman" w:eastAsia="Times New Roman" w:hAnsi="Times New Roman" w:cs="Times New Roman"/>
          <w:b/>
          <w:sz w:val="32"/>
          <w:szCs w:val="32"/>
          <w:lang w:val="en-GB"/>
        </w:rPr>
      </w:pPr>
    </w:p>
    <w:p w14:paraId="35405126" w14:textId="77777777" w:rsidR="009315B4" w:rsidRPr="008A4950" w:rsidRDefault="009315B4" w:rsidP="00712B6F">
      <w:pPr>
        <w:pStyle w:val="Normal1"/>
        <w:spacing w:before="240" w:after="240" w:line="360" w:lineRule="auto"/>
        <w:jc w:val="center"/>
        <w:rPr>
          <w:rFonts w:ascii="Times New Roman" w:eastAsia="Times New Roman" w:hAnsi="Times New Roman" w:cs="Times New Roman"/>
          <w:b/>
          <w:sz w:val="32"/>
          <w:szCs w:val="32"/>
          <w:lang w:val="en-GB"/>
        </w:rPr>
      </w:pPr>
    </w:p>
    <w:p w14:paraId="7F9ADB1B" w14:textId="77777777" w:rsidR="008A4950" w:rsidRPr="008A4950" w:rsidRDefault="008A4950" w:rsidP="00712B6F">
      <w:pPr>
        <w:pStyle w:val="Normal1"/>
        <w:spacing w:before="240" w:after="240" w:line="360" w:lineRule="auto"/>
        <w:jc w:val="center"/>
        <w:rPr>
          <w:rFonts w:ascii="Times New Roman" w:eastAsia="Times New Roman" w:hAnsi="Times New Roman" w:cs="Times New Roman"/>
          <w:b/>
          <w:sz w:val="36"/>
          <w:szCs w:val="36"/>
          <w:lang w:val="en-GB"/>
        </w:rPr>
      </w:pPr>
      <w:bookmarkStart w:id="0" w:name="_Hlk132969043"/>
      <w:r w:rsidRPr="008A4950">
        <w:rPr>
          <w:rFonts w:ascii="Times New Roman" w:eastAsia="Times New Roman" w:hAnsi="Times New Roman" w:cs="Times New Roman"/>
          <w:b/>
          <w:sz w:val="36"/>
          <w:szCs w:val="36"/>
          <w:lang w:val="en-GB"/>
        </w:rPr>
        <w:t>LCBB6002 International Financial Management</w:t>
      </w:r>
    </w:p>
    <w:p w14:paraId="3404F4D6" w14:textId="77777777" w:rsidR="008A4950" w:rsidRPr="008A4950" w:rsidRDefault="008A4950" w:rsidP="008A4950">
      <w:pPr>
        <w:pStyle w:val="Normal1"/>
        <w:spacing w:before="240" w:after="240" w:line="360" w:lineRule="auto"/>
        <w:rPr>
          <w:rFonts w:ascii="Times New Roman" w:eastAsia="Times New Roman" w:hAnsi="Times New Roman" w:cs="Times New Roman"/>
          <w:b/>
          <w:bCs/>
          <w:sz w:val="36"/>
          <w:szCs w:val="36"/>
          <w:lang w:val="en-GB"/>
        </w:rPr>
      </w:pPr>
    </w:p>
    <w:p w14:paraId="19442F7E" w14:textId="77777777" w:rsidR="00CE434B" w:rsidRDefault="008A4950" w:rsidP="00712B6F">
      <w:pPr>
        <w:pStyle w:val="Normal1"/>
        <w:spacing w:before="240" w:after="240" w:line="360" w:lineRule="auto"/>
        <w:jc w:val="center"/>
        <w:rPr>
          <w:rFonts w:ascii="Times New Roman" w:hAnsi="Times New Roman" w:cs="Times New Roman"/>
          <w:b/>
          <w:bCs/>
          <w:sz w:val="36"/>
          <w:szCs w:val="36"/>
          <w:lang w:val="en-GB"/>
        </w:rPr>
      </w:pPr>
      <w:r w:rsidRPr="008A4950">
        <w:rPr>
          <w:rFonts w:ascii="Times New Roman" w:hAnsi="Times New Roman" w:cs="Times New Roman"/>
          <w:b/>
          <w:bCs/>
          <w:sz w:val="36"/>
          <w:szCs w:val="36"/>
          <w:lang w:val="en-GB"/>
        </w:rPr>
        <w:t>Assessment 1: Written Report</w:t>
      </w:r>
    </w:p>
    <w:p w14:paraId="7794E3B0" w14:textId="77777777" w:rsidR="00CE434B" w:rsidRDefault="00CE434B" w:rsidP="00712B6F">
      <w:pPr>
        <w:pStyle w:val="Normal1"/>
        <w:spacing w:before="240" w:after="240" w:line="360" w:lineRule="auto"/>
        <w:jc w:val="center"/>
        <w:rPr>
          <w:rFonts w:ascii="Times New Roman" w:hAnsi="Times New Roman" w:cs="Times New Roman"/>
          <w:b/>
          <w:bCs/>
          <w:sz w:val="36"/>
          <w:szCs w:val="36"/>
          <w:lang w:val="en-GB"/>
        </w:rPr>
      </w:pPr>
    </w:p>
    <w:p w14:paraId="1957213B" w14:textId="77777777" w:rsidR="00CE434B" w:rsidRDefault="00CE434B" w:rsidP="00712B6F">
      <w:pPr>
        <w:pStyle w:val="Normal1"/>
        <w:spacing w:before="240" w:after="240"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Beatrice Maria Takacs </w:t>
      </w:r>
    </w:p>
    <w:p w14:paraId="7FD3FE51" w14:textId="77777777" w:rsidR="00CE434B" w:rsidRDefault="00CE434B" w:rsidP="00712B6F">
      <w:pPr>
        <w:pStyle w:val="Normal1"/>
        <w:spacing w:before="240" w:after="240" w:line="360" w:lineRule="auto"/>
        <w:jc w:val="center"/>
        <w:rPr>
          <w:rFonts w:ascii="Times New Roman" w:hAnsi="Times New Roman" w:cs="Times New Roman"/>
          <w:b/>
          <w:bCs/>
          <w:sz w:val="36"/>
          <w:szCs w:val="36"/>
          <w:lang w:val="en-GB"/>
        </w:rPr>
      </w:pPr>
    </w:p>
    <w:p w14:paraId="1D92B50C" w14:textId="77777777" w:rsidR="000733C6" w:rsidRDefault="00CE434B" w:rsidP="00712B6F">
      <w:pPr>
        <w:pStyle w:val="Normal1"/>
        <w:spacing w:before="240" w:after="240"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Student Number: 1920012</w:t>
      </w:r>
    </w:p>
    <w:p w14:paraId="759D3392" w14:textId="77777777" w:rsidR="000733C6" w:rsidRDefault="000733C6" w:rsidP="00712B6F">
      <w:pPr>
        <w:pStyle w:val="Normal1"/>
        <w:spacing w:before="240" w:after="240" w:line="360" w:lineRule="auto"/>
        <w:jc w:val="center"/>
        <w:rPr>
          <w:rFonts w:ascii="Times New Roman" w:hAnsi="Times New Roman" w:cs="Times New Roman"/>
          <w:b/>
          <w:bCs/>
          <w:sz w:val="36"/>
          <w:szCs w:val="36"/>
          <w:lang w:val="en-GB"/>
        </w:rPr>
      </w:pPr>
    </w:p>
    <w:p w14:paraId="7F75EBC1" w14:textId="3C99EA8C" w:rsidR="009315B4" w:rsidRPr="008A4950" w:rsidRDefault="000733C6" w:rsidP="00712B6F">
      <w:pPr>
        <w:pStyle w:val="Normal1"/>
        <w:spacing w:before="240" w:after="240" w:line="360" w:lineRule="auto"/>
        <w:jc w:val="center"/>
        <w:rPr>
          <w:rFonts w:ascii="Times New Roman" w:eastAsia="Times New Roman" w:hAnsi="Times New Roman" w:cs="Times New Roman"/>
          <w:b/>
          <w:sz w:val="24"/>
          <w:szCs w:val="24"/>
          <w:lang w:val="en-GB"/>
        </w:rPr>
      </w:pPr>
      <w:proofErr w:type="spellStart"/>
      <w:proofErr w:type="gramStart"/>
      <w:r>
        <w:rPr>
          <w:rFonts w:ascii="Times New Roman" w:hAnsi="Times New Roman" w:cs="Times New Roman"/>
          <w:b/>
          <w:bCs/>
          <w:sz w:val="36"/>
          <w:szCs w:val="36"/>
          <w:lang w:val="en-GB"/>
        </w:rPr>
        <w:t>Lecturer:Dr</w:t>
      </w:r>
      <w:proofErr w:type="spellEnd"/>
      <w:r>
        <w:rPr>
          <w:rFonts w:ascii="Times New Roman" w:hAnsi="Times New Roman" w:cs="Times New Roman"/>
          <w:b/>
          <w:bCs/>
          <w:sz w:val="36"/>
          <w:szCs w:val="36"/>
          <w:lang w:val="en-GB"/>
        </w:rPr>
        <w:t>.</w:t>
      </w:r>
      <w:proofErr w:type="gramEnd"/>
      <w:r>
        <w:rPr>
          <w:rFonts w:ascii="Times New Roman" w:hAnsi="Times New Roman" w:cs="Times New Roman"/>
          <w:b/>
          <w:bCs/>
          <w:sz w:val="36"/>
          <w:szCs w:val="36"/>
          <w:lang w:val="en-GB"/>
        </w:rPr>
        <w:t xml:space="preserve"> </w:t>
      </w:r>
      <w:proofErr w:type="spellStart"/>
      <w:r>
        <w:rPr>
          <w:rFonts w:ascii="Times New Roman" w:hAnsi="Times New Roman" w:cs="Times New Roman"/>
          <w:b/>
          <w:bCs/>
          <w:sz w:val="36"/>
          <w:szCs w:val="36"/>
          <w:lang w:val="en-GB"/>
        </w:rPr>
        <w:t>Rexon</w:t>
      </w:r>
      <w:proofErr w:type="spellEnd"/>
      <w:r>
        <w:rPr>
          <w:rFonts w:ascii="Times New Roman" w:hAnsi="Times New Roman" w:cs="Times New Roman"/>
          <w:b/>
          <w:bCs/>
          <w:sz w:val="36"/>
          <w:szCs w:val="36"/>
          <w:lang w:val="en-GB"/>
        </w:rPr>
        <w:t xml:space="preserve"> </w:t>
      </w:r>
      <w:proofErr w:type="spellStart"/>
      <w:r>
        <w:rPr>
          <w:rFonts w:ascii="Times New Roman" w:hAnsi="Times New Roman" w:cs="Times New Roman"/>
          <w:b/>
          <w:bCs/>
          <w:sz w:val="36"/>
          <w:szCs w:val="36"/>
          <w:lang w:val="en-GB"/>
        </w:rPr>
        <w:t>Nting</w:t>
      </w:r>
      <w:proofErr w:type="spellEnd"/>
      <w:r w:rsidR="008A4950" w:rsidRPr="008A4950">
        <w:rPr>
          <w:rFonts w:ascii="Times New Roman" w:hAnsi="Times New Roman" w:cs="Times New Roman"/>
          <w:lang w:val="en-GB"/>
        </w:rPr>
        <w:br w:type="page"/>
      </w:r>
    </w:p>
    <w:sdt>
      <w:sdtPr>
        <w:rPr>
          <w:rFonts w:ascii="Times New Roman" w:eastAsia="Arial" w:hAnsi="Times New Roman" w:cs="Times New Roman"/>
          <w:color w:val="000000" w:themeColor="text1"/>
          <w:sz w:val="28"/>
          <w:szCs w:val="28"/>
          <w:lang w:val=""/>
        </w:rPr>
        <w:id w:val="-672877393"/>
        <w:docPartObj>
          <w:docPartGallery w:val="Table of Contents"/>
          <w:docPartUnique/>
        </w:docPartObj>
      </w:sdtPr>
      <w:sdtEndPr>
        <w:rPr>
          <w:b/>
          <w:bCs/>
          <w:noProof/>
          <w:sz w:val="24"/>
          <w:szCs w:val="24"/>
        </w:rPr>
      </w:sdtEndPr>
      <w:sdtContent>
        <w:p w14:paraId="69E239DB" w14:textId="77777777" w:rsidR="00AE0F9A" w:rsidRPr="008A4950" w:rsidRDefault="00AE0F9A" w:rsidP="00AE0F9A">
          <w:pPr>
            <w:pStyle w:val="TOCHeading"/>
            <w:spacing w:after="240" w:line="360" w:lineRule="auto"/>
            <w:jc w:val="center"/>
            <w:rPr>
              <w:rFonts w:ascii="Times New Roman" w:hAnsi="Times New Roman" w:cs="Times New Roman"/>
              <w:b/>
              <w:bCs/>
              <w:color w:val="000000" w:themeColor="text1"/>
              <w:sz w:val="28"/>
              <w:szCs w:val="28"/>
            </w:rPr>
          </w:pPr>
          <w:r w:rsidRPr="008A4950">
            <w:rPr>
              <w:rFonts w:ascii="Times New Roman" w:hAnsi="Times New Roman" w:cs="Times New Roman"/>
              <w:b/>
              <w:bCs/>
              <w:color w:val="000000" w:themeColor="text1"/>
              <w:sz w:val="28"/>
              <w:szCs w:val="28"/>
            </w:rPr>
            <w:t>Table of Contents</w:t>
          </w:r>
        </w:p>
        <w:p w14:paraId="084D3190" w14:textId="1D0E6A71" w:rsidR="00A65BEB" w:rsidRPr="008A4950" w:rsidRDefault="00AE0F9A"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sidRPr="008A4950">
            <w:rPr>
              <w:rFonts w:ascii="Times New Roman" w:hAnsi="Times New Roman" w:cs="Times New Roman"/>
              <w:color w:val="000000" w:themeColor="text1"/>
              <w:sz w:val="24"/>
              <w:szCs w:val="24"/>
            </w:rPr>
            <w:fldChar w:fldCharType="begin"/>
          </w:r>
          <w:r w:rsidRPr="008A4950">
            <w:rPr>
              <w:rFonts w:ascii="Times New Roman" w:hAnsi="Times New Roman" w:cs="Times New Roman"/>
              <w:color w:val="000000" w:themeColor="text1"/>
              <w:sz w:val="24"/>
              <w:szCs w:val="24"/>
            </w:rPr>
            <w:instrText xml:space="preserve"> TOC \o "1-3" \h \z \u </w:instrText>
          </w:r>
          <w:r w:rsidRPr="008A4950">
            <w:rPr>
              <w:rFonts w:ascii="Times New Roman" w:hAnsi="Times New Roman" w:cs="Times New Roman"/>
              <w:color w:val="000000" w:themeColor="text1"/>
              <w:sz w:val="24"/>
              <w:szCs w:val="24"/>
            </w:rPr>
            <w:fldChar w:fldCharType="separate"/>
          </w:r>
          <w:hyperlink w:anchor="_Toc133015460" w:history="1">
            <w:r w:rsidR="00A65BEB" w:rsidRPr="008A4950">
              <w:rPr>
                <w:rStyle w:val="Hyperlink"/>
                <w:rFonts w:ascii="Times New Roman" w:hAnsi="Times New Roman" w:cs="Times New Roman"/>
                <w:noProof/>
                <w:sz w:val="24"/>
                <w:szCs w:val="24"/>
              </w:rPr>
              <w:t>1.0 Introduction</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_Toc133015460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3</w:t>
            </w:r>
            <w:r w:rsidR="00A65BEB" w:rsidRPr="008A4950">
              <w:rPr>
                <w:rFonts w:ascii="Times New Roman" w:hAnsi="Times New Roman" w:cs="Times New Roman"/>
                <w:noProof/>
                <w:webHidden/>
                <w:sz w:val="24"/>
                <w:szCs w:val="24"/>
              </w:rPr>
              <w:fldChar w:fldCharType="end"/>
            </w:r>
          </w:hyperlink>
        </w:p>
        <w:p w14:paraId="14731252" w14:textId="1B81DC58" w:rsidR="00A65BEB" w:rsidRPr="008A4950" w:rsidRDefault="00000000"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015461" w:history="1">
            <w:r w:rsidR="00A65BEB" w:rsidRPr="008A4950">
              <w:rPr>
                <w:rStyle w:val="Hyperlink"/>
                <w:rFonts w:ascii="Times New Roman" w:hAnsi="Times New Roman" w:cs="Times New Roman"/>
                <w:noProof/>
                <w:sz w:val="24"/>
                <w:szCs w:val="24"/>
              </w:rPr>
              <w:t>2.0 Importance of International Financial Management to Multinational Corporations (MNCs)</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_Toc133015461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3</w:t>
            </w:r>
            <w:r w:rsidR="00A65BEB" w:rsidRPr="008A4950">
              <w:rPr>
                <w:rFonts w:ascii="Times New Roman" w:hAnsi="Times New Roman" w:cs="Times New Roman"/>
                <w:noProof/>
                <w:webHidden/>
                <w:sz w:val="24"/>
                <w:szCs w:val="24"/>
              </w:rPr>
              <w:fldChar w:fldCharType="end"/>
            </w:r>
          </w:hyperlink>
        </w:p>
        <w:p w14:paraId="1D927F53" w14:textId="5D8A2512" w:rsidR="00A65BEB" w:rsidRPr="008A4950" w:rsidRDefault="00000000"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015462" w:history="1">
            <w:r w:rsidR="00A65BEB" w:rsidRPr="008A4950">
              <w:rPr>
                <w:rStyle w:val="Hyperlink"/>
                <w:rFonts w:ascii="Times New Roman" w:hAnsi="Times New Roman" w:cs="Times New Roman"/>
                <w:noProof/>
                <w:sz w:val="24"/>
                <w:szCs w:val="24"/>
              </w:rPr>
              <w:t>3.0 Challenges Experienced by MNCs in Different International Financial Markets</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_Toc133015462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4</w:t>
            </w:r>
            <w:r w:rsidR="00A65BEB" w:rsidRPr="008A4950">
              <w:rPr>
                <w:rFonts w:ascii="Times New Roman" w:hAnsi="Times New Roman" w:cs="Times New Roman"/>
                <w:noProof/>
                <w:webHidden/>
                <w:sz w:val="24"/>
                <w:szCs w:val="24"/>
              </w:rPr>
              <w:fldChar w:fldCharType="end"/>
            </w:r>
          </w:hyperlink>
        </w:p>
        <w:p w14:paraId="182B5B16" w14:textId="3ECA5F01" w:rsidR="00A65BEB" w:rsidRPr="008A4950" w:rsidRDefault="00000000"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015463" w:history="1">
            <w:r w:rsidR="00A65BEB" w:rsidRPr="008A4950">
              <w:rPr>
                <w:rStyle w:val="Hyperlink"/>
                <w:rFonts w:ascii="Times New Roman" w:hAnsi="Times New Roman" w:cs="Times New Roman"/>
                <w:noProof/>
                <w:sz w:val="24"/>
                <w:szCs w:val="24"/>
              </w:rPr>
              <w:t>4.0 Dividend Distribution Policy of HSBC Holdings</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_Toc133015463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5</w:t>
            </w:r>
            <w:r w:rsidR="00A65BEB" w:rsidRPr="008A4950">
              <w:rPr>
                <w:rFonts w:ascii="Times New Roman" w:hAnsi="Times New Roman" w:cs="Times New Roman"/>
                <w:noProof/>
                <w:webHidden/>
                <w:sz w:val="24"/>
                <w:szCs w:val="24"/>
              </w:rPr>
              <w:fldChar w:fldCharType="end"/>
            </w:r>
          </w:hyperlink>
        </w:p>
        <w:p w14:paraId="52521CDA" w14:textId="480E9945" w:rsidR="00A65BEB" w:rsidRPr="008A4950" w:rsidRDefault="00000000"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015464" w:history="1">
            <w:r w:rsidR="00A65BEB" w:rsidRPr="008A4950">
              <w:rPr>
                <w:rStyle w:val="Hyperlink"/>
                <w:rFonts w:ascii="Times New Roman" w:hAnsi="Times New Roman" w:cs="Times New Roman"/>
                <w:noProof/>
                <w:sz w:val="24"/>
                <w:szCs w:val="24"/>
              </w:rPr>
              <w:t>5.0 Efficient Market Hypothesis Theory of HSBC Holdings</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_Toc133015464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6</w:t>
            </w:r>
            <w:r w:rsidR="00A65BEB" w:rsidRPr="008A4950">
              <w:rPr>
                <w:rFonts w:ascii="Times New Roman" w:hAnsi="Times New Roman" w:cs="Times New Roman"/>
                <w:noProof/>
                <w:webHidden/>
                <w:sz w:val="24"/>
                <w:szCs w:val="24"/>
              </w:rPr>
              <w:fldChar w:fldCharType="end"/>
            </w:r>
          </w:hyperlink>
        </w:p>
        <w:p w14:paraId="3329CA70" w14:textId="702BC327" w:rsidR="00A65BEB" w:rsidRPr="008A4950" w:rsidRDefault="00000000"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015465" w:history="1">
            <w:r w:rsidR="00A65BEB" w:rsidRPr="008A4950">
              <w:rPr>
                <w:rStyle w:val="Hyperlink"/>
                <w:rFonts w:ascii="Times New Roman" w:hAnsi="Times New Roman" w:cs="Times New Roman"/>
                <w:noProof/>
                <w:sz w:val="24"/>
                <w:szCs w:val="24"/>
              </w:rPr>
              <w:t>6.0 Methods of Appraising Projects of HSBC Holdings</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_Toc133015465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7</w:t>
            </w:r>
            <w:r w:rsidR="00A65BEB" w:rsidRPr="008A4950">
              <w:rPr>
                <w:rFonts w:ascii="Times New Roman" w:hAnsi="Times New Roman" w:cs="Times New Roman"/>
                <w:noProof/>
                <w:webHidden/>
                <w:sz w:val="24"/>
                <w:szCs w:val="24"/>
              </w:rPr>
              <w:fldChar w:fldCharType="end"/>
            </w:r>
          </w:hyperlink>
        </w:p>
        <w:p w14:paraId="6547EC19" w14:textId="38E8EDFA" w:rsidR="00A65BEB" w:rsidRPr="008A4950" w:rsidRDefault="00000000"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015466" w:history="1">
            <w:r w:rsidR="00A65BEB" w:rsidRPr="008A4950">
              <w:rPr>
                <w:rStyle w:val="Hyperlink"/>
                <w:rFonts w:ascii="Times New Roman" w:hAnsi="Times New Roman" w:cs="Times New Roman"/>
                <w:noProof/>
                <w:sz w:val="24"/>
                <w:szCs w:val="24"/>
              </w:rPr>
              <w:t>7.0 Conclusion</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_Toc133015466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8</w:t>
            </w:r>
            <w:r w:rsidR="00A65BEB" w:rsidRPr="008A4950">
              <w:rPr>
                <w:rFonts w:ascii="Times New Roman" w:hAnsi="Times New Roman" w:cs="Times New Roman"/>
                <w:noProof/>
                <w:webHidden/>
                <w:sz w:val="24"/>
                <w:szCs w:val="24"/>
              </w:rPr>
              <w:fldChar w:fldCharType="end"/>
            </w:r>
          </w:hyperlink>
        </w:p>
        <w:p w14:paraId="13396AE1" w14:textId="79A1B811" w:rsidR="00A65BEB" w:rsidRPr="008A4950" w:rsidRDefault="00000000" w:rsidP="008A4950">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015467" w:history="1">
            <w:r w:rsidR="00A65BEB" w:rsidRPr="008A4950">
              <w:rPr>
                <w:rStyle w:val="Hyperlink"/>
                <w:rFonts w:ascii="Times New Roman" w:hAnsi="Times New Roman" w:cs="Times New Roman"/>
                <w:noProof/>
                <w:sz w:val="24"/>
                <w:szCs w:val="24"/>
              </w:rPr>
              <w:t>Reference List</w:t>
            </w:r>
            <w:r w:rsidR="00A65BEB" w:rsidRPr="008A4950">
              <w:rPr>
                <w:rFonts w:ascii="Times New Roman" w:hAnsi="Times New Roman" w:cs="Times New Roman"/>
                <w:noProof/>
                <w:webHidden/>
                <w:sz w:val="24"/>
                <w:szCs w:val="24"/>
              </w:rPr>
              <w:tab/>
            </w:r>
            <w:r w:rsidR="00A65BEB" w:rsidRPr="008A4950">
              <w:rPr>
                <w:rFonts w:ascii="Times New Roman" w:hAnsi="Times New Roman" w:cs="Times New Roman"/>
                <w:noProof/>
                <w:webHidden/>
                <w:sz w:val="24"/>
                <w:szCs w:val="24"/>
              </w:rPr>
              <w:fldChar w:fldCharType="begin"/>
            </w:r>
            <w:r w:rsidR="00A65BEB" w:rsidRPr="008A4950">
              <w:rPr>
                <w:rFonts w:ascii="Times New Roman" w:hAnsi="Times New Roman" w:cs="Times New Roman"/>
                <w:noProof/>
                <w:webHidden/>
                <w:sz w:val="24"/>
                <w:szCs w:val="24"/>
              </w:rPr>
              <w:instrText xml:space="preserve"> PAGEREF _Toc133015467 \h </w:instrText>
            </w:r>
            <w:r w:rsidR="00A65BEB" w:rsidRPr="008A4950">
              <w:rPr>
                <w:rFonts w:ascii="Times New Roman" w:hAnsi="Times New Roman" w:cs="Times New Roman"/>
                <w:noProof/>
                <w:webHidden/>
                <w:sz w:val="24"/>
                <w:szCs w:val="24"/>
              </w:rPr>
            </w:r>
            <w:r w:rsidR="00A65BEB" w:rsidRPr="008A4950">
              <w:rPr>
                <w:rFonts w:ascii="Times New Roman" w:hAnsi="Times New Roman" w:cs="Times New Roman"/>
                <w:noProof/>
                <w:webHidden/>
                <w:sz w:val="24"/>
                <w:szCs w:val="24"/>
              </w:rPr>
              <w:fldChar w:fldCharType="separate"/>
            </w:r>
            <w:r w:rsidR="00A65BEB" w:rsidRPr="008A4950">
              <w:rPr>
                <w:rFonts w:ascii="Times New Roman" w:hAnsi="Times New Roman" w:cs="Times New Roman"/>
                <w:noProof/>
                <w:webHidden/>
                <w:sz w:val="24"/>
                <w:szCs w:val="24"/>
              </w:rPr>
              <w:t>9</w:t>
            </w:r>
            <w:r w:rsidR="00A65BEB" w:rsidRPr="008A4950">
              <w:rPr>
                <w:rFonts w:ascii="Times New Roman" w:hAnsi="Times New Roman" w:cs="Times New Roman"/>
                <w:noProof/>
                <w:webHidden/>
                <w:sz w:val="24"/>
                <w:szCs w:val="24"/>
              </w:rPr>
              <w:fldChar w:fldCharType="end"/>
            </w:r>
          </w:hyperlink>
        </w:p>
        <w:p w14:paraId="5D43FE53" w14:textId="1CC5ED84" w:rsidR="00AE0F9A" w:rsidRPr="008A4950" w:rsidRDefault="00AE0F9A" w:rsidP="008A4950">
          <w:pPr>
            <w:spacing w:after="240" w:line="360" w:lineRule="auto"/>
            <w:jc w:val="both"/>
            <w:rPr>
              <w:rFonts w:ascii="Times New Roman" w:hAnsi="Times New Roman" w:cs="Times New Roman"/>
              <w:color w:val="000000" w:themeColor="text1"/>
              <w:sz w:val="24"/>
              <w:szCs w:val="24"/>
            </w:rPr>
          </w:pPr>
          <w:r w:rsidRPr="008A4950">
            <w:rPr>
              <w:rFonts w:ascii="Times New Roman" w:hAnsi="Times New Roman" w:cs="Times New Roman"/>
              <w:b/>
              <w:bCs/>
              <w:noProof/>
              <w:color w:val="000000" w:themeColor="text1"/>
              <w:sz w:val="24"/>
              <w:szCs w:val="24"/>
            </w:rPr>
            <w:fldChar w:fldCharType="end"/>
          </w:r>
        </w:p>
      </w:sdtContent>
    </w:sdt>
    <w:p w14:paraId="1480ABA5" w14:textId="77777777" w:rsidR="0027399B" w:rsidRPr="008A4950" w:rsidRDefault="0027399B">
      <w:pPr>
        <w:rPr>
          <w:rFonts w:ascii="Times New Roman" w:eastAsia="Times New Roman" w:hAnsi="Times New Roman" w:cs="Times New Roman"/>
          <w:b/>
          <w:sz w:val="24"/>
          <w:szCs w:val="24"/>
          <w:lang w:val="en-GB"/>
        </w:rPr>
      </w:pPr>
      <w:r w:rsidRPr="008A4950">
        <w:rPr>
          <w:rFonts w:ascii="Times New Roman" w:eastAsia="Times New Roman" w:hAnsi="Times New Roman" w:cs="Times New Roman"/>
          <w:b/>
          <w:sz w:val="24"/>
          <w:szCs w:val="24"/>
          <w:lang w:val="en-GB"/>
        </w:rPr>
        <w:br w:type="page"/>
      </w:r>
    </w:p>
    <w:p w14:paraId="2745853A" w14:textId="77777777" w:rsidR="009315B4" w:rsidRPr="008A4950" w:rsidRDefault="006455DF" w:rsidP="0027399B">
      <w:pPr>
        <w:pStyle w:val="Heading1"/>
        <w:rPr>
          <w:sz w:val="28"/>
          <w:szCs w:val="28"/>
        </w:rPr>
      </w:pPr>
      <w:bookmarkStart w:id="1" w:name="_Toc133015460"/>
      <w:r w:rsidRPr="008A4950">
        <w:rPr>
          <w:sz w:val="28"/>
          <w:szCs w:val="28"/>
        </w:rPr>
        <w:lastRenderedPageBreak/>
        <w:t>1.0 Introduction</w:t>
      </w:r>
      <w:bookmarkEnd w:id="1"/>
    </w:p>
    <w:p w14:paraId="3114C2F6"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International Financial Management (IFM) can be treated as an important tool for finding the exchange rates, comparing the rates of inflation, extracting information about investing in international debt securities along with ascertaining the economic status of other countries for judging the international markets. The major objective regarding international financial management involves the maximisation of shareholder wealth. It can require developing sound financing and investment decisions, which can result in making an addition of value to the organisation respectively. The principal aim of the present study is to reflect on the potential aspects based on international financial management evolved within </w:t>
      </w:r>
      <w:r w:rsidRPr="008A4950">
        <w:rPr>
          <w:rFonts w:ascii="Times New Roman" w:eastAsia="Times New Roman" w:hAnsi="Times New Roman" w:cs="Times New Roman"/>
          <w:b/>
          <w:i/>
          <w:sz w:val="24"/>
          <w:szCs w:val="24"/>
          <w:lang w:val="en-GB"/>
        </w:rPr>
        <w:t>HSBC Holdings</w:t>
      </w:r>
      <w:r w:rsidRPr="008A4950">
        <w:rPr>
          <w:rFonts w:ascii="Times New Roman" w:eastAsia="Times New Roman" w:hAnsi="Times New Roman" w:cs="Times New Roman"/>
          <w:sz w:val="24"/>
          <w:szCs w:val="24"/>
          <w:lang w:val="en-GB"/>
        </w:rPr>
        <w:t xml:space="preserve"> in an appropriate manner. </w:t>
      </w:r>
    </w:p>
    <w:p w14:paraId="04881663" w14:textId="77777777" w:rsidR="009315B4" w:rsidRPr="008A4950" w:rsidRDefault="006455DF" w:rsidP="0027399B">
      <w:pPr>
        <w:pStyle w:val="Heading1"/>
        <w:rPr>
          <w:sz w:val="28"/>
          <w:szCs w:val="28"/>
        </w:rPr>
      </w:pPr>
      <w:bookmarkStart w:id="2" w:name="_Toc133015461"/>
      <w:r w:rsidRPr="008A4950">
        <w:rPr>
          <w:sz w:val="28"/>
          <w:szCs w:val="28"/>
        </w:rPr>
        <w:t>2.0 Importance of International Financial Management to Multinational Corporations (MNCs)</w:t>
      </w:r>
      <w:bookmarkEnd w:id="2"/>
    </w:p>
    <w:p w14:paraId="73CF7E39"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The major importance of IFM to the MNCs can be evaluated in the following:</w:t>
      </w:r>
    </w:p>
    <w:p w14:paraId="7A2A3BA0" w14:textId="77777777" w:rsidR="009315B4" w:rsidRPr="008A4950" w:rsidRDefault="006455DF" w:rsidP="00712B6F">
      <w:pPr>
        <w:pStyle w:val="Normal1"/>
        <w:numPr>
          <w:ilvl w:val="0"/>
          <w:numId w:val="2"/>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IFM plays an important role in the inter-economy exchange and international trade of products and services in an effective manner (</w:t>
      </w:r>
      <w:r w:rsidRPr="008A4950">
        <w:rPr>
          <w:rFonts w:ascii="Times New Roman" w:eastAsia="Times New Roman" w:hAnsi="Times New Roman" w:cs="Times New Roman"/>
          <w:sz w:val="24"/>
          <w:szCs w:val="24"/>
          <w:highlight w:val="white"/>
          <w:lang w:val="en-GB"/>
        </w:rPr>
        <w:t>Madura, 2020</w:t>
      </w:r>
      <w:r w:rsidRPr="008A4950">
        <w:rPr>
          <w:rFonts w:ascii="Times New Roman" w:eastAsia="Times New Roman" w:hAnsi="Times New Roman" w:cs="Times New Roman"/>
          <w:sz w:val="24"/>
          <w:szCs w:val="24"/>
          <w:lang w:val="en-GB"/>
        </w:rPr>
        <w:t>).</w:t>
      </w:r>
    </w:p>
    <w:p w14:paraId="413E711F" w14:textId="77777777" w:rsidR="009315B4" w:rsidRPr="008A4950" w:rsidRDefault="006455DF" w:rsidP="00712B6F">
      <w:pPr>
        <w:pStyle w:val="Normal1"/>
        <w:numPr>
          <w:ilvl w:val="0"/>
          <w:numId w:val="2"/>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Exchange rates can be demonstrated as an important element within the IFM as it helps to assess the relative value of currencies.  </w:t>
      </w:r>
      <w:r w:rsidR="0027399B" w:rsidRPr="008A4950">
        <w:rPr>
          <w:rFonts w:ascii="Times New Roman" w:eastAsia="Times New Roman" w:hAnsi="Times New Roman" w:cs="Times New Roman"/>
          <w:sz w:val="24"/>
          <w:szCs w:val="24"/>
          <w:lang w:val="en-GB"/>
        </w:rPr>
        <w:t>IFM assists</w:t>
      </w:r>
      <w:r w:rsidRPr="008A4950">
        <w:rPr>
          <w:rFonts w:ascii="Times New Roman" w:eastAsia="Times New Roman" w:hAnsi="Times New Roman" w:cs="Times New Roman"/>
          <w:sz w:val="24"/>
          <w:szCs w:val="24"/>
          <w:lang w:val="en-GB"/>
        </w:rPr>
        <w:t xml:space="preserve"> to measure the concerned rates in an appropriate way.</w:t>
      </w:r>
    </w:p>
    <w:p w14:paraId="13867FD1" w14:textId="77777777" w:rsidR="009315B4" w:rsidRPr="008A4950" w:rsidRDefault="006455DF" w:rsidP="00712B6F">
      <w:pPr>
        <w:pStyle w:val="Normal1"/>
        <w:numPr>
          <w:ilvl w:val="0"/>
          <w:numId w:val="2"/>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Several economic factors can be helpful to make international investment decisions for MNCs. Economic factors regarding economies can be helpful to assess the safety of the money invested by investors with foreign debt securities respectively (</w:t>
      </w:r>
      <w:proofErr w:type="spellStart"/>
      <w:r w:rsidRPr="008A4950">
        <w:rPr>
          <w:rFonts w:ascii="Times New Roman" w:eastAsia="Times New Roman" w:hAnsi="Times New Roman" w:cs="Times New Roman"/>
          <w:sz w:val="24"/>
          <w:szCs w:val="24"/>
          <w:highlight w:val="white"/>
          <w:lang w:val="en-GB"/>
        </w:rPr>
        <w:t>Jawaad</w:t>
      </w:r>
      <w:proofErr w:type="spellEnd"/>
      <w:r w:rsidRPr="008A4950">
        <w:rPr>
          <w:rFonts w:ascii="Times New Roman" w:eastAsia="Times New Roman" w:hAnsi="Times New Roman" w:cs="Times New Roman"/>
          <w:sz w:val="24"/>
          <w:szCs w:val="24"/>
          <w:highlight w:val="white"/>
          <w:lang w:val="en-GB"/>
        </w:rPr>
        <w:t xml:space="preserve"> et al., 2019</w:t>
      </w:r>
      <w:r w:rsidRPr="008A4950">
        <w:rPr>
          <w:rFonts w:ascii="Times New Roman" w:eastAsia="Times New Roman" w:hAnsi="Times New Roman" w:cs="Times New Roman"/>
          <w:sz w:val="24"/>
          <w:szCs w:val="24"/>
          <w:lang w:val="en-GB"/>
        </w:rPr>
        <w:t>).</w:t>
      </w:r>
    </w:p>
    <w:p w14:paraId="29E22854" w14:textId="77777777" w:rsidR="009315B4" w:rsidRPr="008A4950" w:rsidRDefault="006455DF" w:rsidP="00712B6F">
      <w:pPr>
        <w:pStyle w:val="Normal1"/>
        <w:numPr>
          <w:ilvl w:val="0"/>
          <w:numId w:val="2"/>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Effective utilisation of "International Financial Reporting Standards (IFRS)" can be treated as an essential factor for numerous stages related to IFM. Financial statements can be developed by the respective countries, which have adopted identical IFRS respectively. It can be helpful for numerous countries to follow identical reporting systems over a specific period (</w:t>
      </w:r>
      <w:r w:rsidRPr="008A4950">
        <w:rPr>
          <w:rFonts w:ascii="Times New Roman" w:eastAsia="Times New Roman" w:hAnsi="Times New Roman" w:cs="Times New Roman"/>
          <w:sz w:val="24"/>
          <w:szCs w:val="24"/>
          <w:highlight w:val="white"/>
          <w:lang w:val="en-GB"/>
        </w:rPr>
        <w:t xml:space="preserve">Shapiro and </w:t>
      </w:r>
      <w:proofErr w:type="spellStart"/>
      <w:r w:rsidRPr="008A4950">
        <w:rPr>
          <w:rFonts w:ascii="Times New Roman" w:eastAsia="Times New Roman" w:hAnsi="Times New Roman" w:cs="Times New Roman"/>
          <w:sz w:val="24"/>
          <w:szCs w:val="24"/>
          <w:highlight w:val="white"/>
          <w:lang w:val="en-GB"/>
        </w:rPr>
        <w:t>Hanouna</w:t>
      </w:r>
      <w:proofErr w:type="spellEnd"/>
      <w:r w:rsidRPr="008A4950">
        <w:rPr>
          <w:rFonts w:ascii="Times New Roman" w:eastAsia="Times New Roman" w:hAnsi="Times New Roman" w:cs="Times New Roman"/>
          <w:sz w:val="24"/>
          <w:szCs w:val="24"/>
          <w:highlight w:val="white"/>
          <w:lang w:val="en-GB"/>
        </w:rPr>
        <w:t>, 2019</w:t>
      </w:r>
      <w:r w:rsidRPr="008A4950">
        <w:rPr>
          <w:rFonts w:ascii="Times New Roman" w:eastAsia="Times New Roman" w:hAnsi="Times New Roman" w:cs="Times New Roman"/>
          <w:sz w:val="24"/>
          <w:szCs w:val="24"/>
          <w:lang w:val="en-GB"/>
        </w:rPr>
        <w:t xml:space="preserve">). </w:t>
      </w:r>
    </w:p>
    <w:p w14:paraId="6431E938" w14:textId="77777777" w:rsidR="009315B4" w:rsidRPr="008A4950" w:rsidRDefault="006455DF" w:rsidP="00712B6F">
      <w:pPr>
        <w:pStyle w:val="Normal1"/>
        <w:numPr>
          <w:ilvl w:val="0"/>
          <w:numId w:val="2"/>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lastRenderedPageBreak/>
        <w:t xml:space="preserve">IFRS can be treated as an effective part of international finance that can also be helpful to save money through abiding by the rules regarding reporting on an individual accounting standard. </w:t>
      </w:r>
    </w:p>
    <w:p w14:paraId="69CCE6DA" w14:textId="77777777" w:rsidR="009315B4" w:rsidRPr="008A4950" w:rsidRDefault="006455DF" w:rsidP="00712B6F">
      <w:pPr>
        <w:pStyle w:val="Normal1"/>
        <w:numPr>
          <w:ilvl w:val="0"/>
          <w:numId w:val="2"/>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IFM plays a vital role to assess the basics regarding all international entities along with keeping the essential balance intact among them across the market.</w:t>
      </w:r>
    </w:p>
    <w:p w14:paraId="74C12D68" w14:textId="77777777" w:rsidR="009315B4" w:rsidRPr="008A4950" w:rsidRDefault="006455DF" w:rsidP="0027399B">
      <w:pPr>
        <w:pStyle w:val="Heading1"/>
        <w:rPr>
          <w:sz w:val="28"/>
          <w:szCs w:val="28"/>
        </w:rPr>
      </w:pPr>
      <w:bookmarkStart w:id="3" w:name="_Toc133015462"/>
      <w:r w:rsidRPr="008A4950">
        <w:rPr>
          <w:sz w:val="28"/>
          <w:szCs w:val="28"/>
        </w:rPr>
        <w:t>3.0 Challenges Experienced by MNCs in Different International Financial Markets</w:t>
      </w:r>
      <w:bookmarkEnd w:id="3"/>
    </w:p>
    <w:p w14:paraId="31F7E46B"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The critical challenges that can be experienced by MNCs in various International Financial Markets can be demonstrated in the following:</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5970"/>
      </w:tblGrid>
      <w:tr w:rsidR="009315B4" w:rsidRPr="008A4950" w14:paraId="57F26DB6" w14:textId="77777777">
        <w:tc>
          <w:tcPr>
            <w:tcW w:w="3030" w:type="dxa"/>
            <w:shd w:val="clear" w:color="auto" w:fill="auto"/>
            <w:tcMar>
              <w:top w:w="100" w:type="dxa"/>
              <w:left w:w="100" w:type="dxa"/>
              <w:bottom w:w="100" w:type="dxa"/>
              <w:right w:w="100" w:type="dxa"/>
            </w:tcMar>
          </w:tcPr>
          <w:p w14:paraId="0E02BD9B" w14:textId="77777777" w:rsidR="009315B4" w:rsidRPr="008A4950" w:rsidRDefault="006455DF" w:rsidP="00712B6F">
            <w:pPr>
              <w:pStyle w:val="Normal1"/>
              <w:widowControl w:val="0"/>
              <w:pBdr>
                <w:top w:val="nil"/>
                <w:left w:val="nil"/>
                <w:bottom w:val="nil"/>
                <w:right w:val="nil"/>
                <w:between w:val="nil"/>
              </w:pBdr>
              <w:spacing w:before="240" w:after="240" w:line="360" w:lineRule="auto"/>
              <w:jc w:val="center"/>
              <w:rPr>
                <w:rFonts w:ascii="Times New Roman" w:eastAsia="Times New Roman" w:hAnsi="Times New Roman" w:cs="Times New Roman"/>
                <w:b/>
                <w:sz w:val="24"/>
                <w:szCs w:val="24"/>
                <w:lang w:val="en-GB"/>
              </w:rPr>
            </w:pPr>
            <w:r w:rsidRPr="008A4950">
              <w:rPr>
                <w:rFonts w:ascii="Times New Roman" w:eastAsia="Times New Roman" w:hAnsi="Times New Roman" w:cs="Times New Roman"/>
                <w:b/>
                <w:sz w:val="24"/>
                <w:szCs w:val="24"/>
                <w:lang w:val="en-GB"/>
              </w:rPr>
              <w:t>Challenges</w:t>
            </w:r>
          </w:p>
        </w:tc>
        <w:tc>
          <w:tcPr>
            <w:tcW w:w="5970" w:type="dxa"/>
            <w:shd w:val="clear" w:color="auto" w:fill="auto"/>
            <w:tcMar>
              <w:top w:w="100" w:type="dxa"/>
              <w:left w:w="100" w:type="dxa"/>
              <w:bottom w:w="100" w:type="dxa"/>
              <w:right w:w="100" w:type="dxa"/>
            </w:tcMar>
          </w:tcPr>
          <w:p w14:paraId="1A30A9E5" w14:textId="77777777" w:rsidR="009315B4" w:rsidRPr="008A4950" w:rsidRDefault="006455DF" w:rsidP="00712B6F">
            <w:pPr>
              <w:pStyle w:val="Normal1"/>
              <w:widowControl w:val="0"/>
              <w:pBdr>
                <w:top w:val="nil"/>
                <w:left w:val="nil"/>
                <w:bottom w:val="nil"/>
                <w:right w:val="nil"/>
                <w:between w:val="nil"/>
              </w:pBdr>
              <w:spacing w:before="240" w:after="240" w:line="360" w:lineRule="auto"/>
              <w:jc w:val="center"/>
              <w:rPr>
                <w:rFonts w:ascii="Times New Roman" w:eastAsia="Times New Roman" w:hAnsi="Times New Roman" w:cs="Times New Roman"/>
                <w:b/>
                <w:sz w:val="24"/>
                <w:szCs w:val="24"/>
                <w:lang w:val="en-GB"/>
              </w:rPr>
            </w:pPr>
            <w:r w:rsidRPr="008A4950">
              <w:rPr>
                <w:rFonts w:ascii="Times New Roman" w:eastAsia="Times New Roman" w:hAnsi="Times New Roman" w:cs="Times New Roman"/>
                <w:b/>
                <w:sz w:val="24"/>
                <w:szCs w:val="24"/>
                <w:lang w:val="en-GB"/>
              </w:rPr>
              <w:t>Effects</w:t>
            </w:r>
          </w:p>
        </w:tc>
      </w:tr>
      <w:tr w:rsidR="009315B4" w:rsidRPr="008A4950" w14:paraId="512D7943" w14:textId="77777777">
        <w:tc>
          <w:tcPr>
            <w:tcW w:w="3030" w:type="dxa"/>
            <w:shd w:val="clear" w:color="auto" w:fill="auto"/>
            <w:tcMar>
              <w:top w:w="100" w:type="dxa"/>
              <w:left w:w="100" w:type="dxa"/>
              <w:bottom w:w="100" w:type="dxa"/>
              <w:right w:w="100" w:type="dxa"/>
            </w:tcMar>
          </w:tcPr>
          <w:p w14:paraId="0A67CFD0"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b/>
                <w:i/>
                <w:sz w:val="24"/>
                <w:szCs w:val="24"/>
                <w:lang w:val="en-GB"/>
              </w:rPr>
            </w:pPr>
            <w:r w:rsidRPr="008A4950">
              <w:rPr>
                <w:rFonts w:ascii="Times New Roman" w:eastAsia="Times New Roman" w:hAnsi="Times New Roman" w:cs="Times New Roman"/>
                <w:b/>
                <w:i/>
                <w:sz w:val="24"/>
                <w:szCs w:val="24"/>
                <w:lang w:val="en-GB"/>
              </w:rPr>
              <w:t>Currency Exchange and Inflation Rate Issues</w:t>
            </w:r>
          </w:p>
        </w:tc>
        <w:tc>
          <w:tcPr>
            <w:tcW w:w="5970" w:type="dxa"/>
            <w:shd w:val="clear" w:color="auto" w:fill="auto"/>
            <w:tcMar>
              <w:top w:w="100" w:type="dxa"/>
              <w:left w:w="100" w:type="dxa"/>
              <w:bottom w:w="100" w:type="dxa"/>
              <w:right w:w="100" w:type="dxa"/>
            </w:tcMar>
          </w:tcPr>
          <w:p w14:paraId="4B9C193B" w14:textId="77777777" w:rsidR="009315B4" w:rsidRPr="008A4950" w:rsidRDefault="006455DF" w:rsidP="00712B6F">
            <w:pPr>
              <w:pStyle w:val="Normal1"/>
              <w:widowControl w:val="0"/>
              <w:numPr>
                <w:ilvl w:val="0"/>
                <w:numId w:val="6"/>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An international business can be engaged in receiving payments from various nations.</w:t>
            </w:r>
          </w:p>
          <w:p w14:paraId="3E80CEE4" w14:textId="77777777" w:rsidR="009315B4" w:rsidRPr="008A4950" w:rsidRDefault="006455DF" w:rsidP="00712B6F">
            <w:pPr>
              <w:pStyle w:val="Normal1"/>
              <w:widowControl w:val="0"/>
              <w:numPr>
                <w:ilvl w:val="0"/>
                <w:numId w:val="6"/>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The value of a pound in the native country cannot be always equivalent to the identical amount in other currencies (</w:t>
            </w:r>
            <w:r w:rsidRPr="008A4950">
              <w:rPr>
                <w:rFonts w:ascii="Times New Roman" w:eastAsia="Times New Roman" w:hAnsi="Times New Roman" w:cs="Times New Roman"/>
                <w:sz w:val="24"/>
                <w:szCs w:val="24"/>
                <w:highlight w:val="white"/>
                <w:lang w:val="en-GB"/>
              </w:rPr>
              <w:t>Cooke et al., 2019</w:t>
            </w:r>
            <w:r w:rsidRPr="008A4950">
              <w:rPr>
                <w:rFonts w:ascii="Times New Roman" w:eastAsia="Times New Roman" w:hAnsi="Times New Roman" w:cs="Times New Roman"/>
                <w:sz w:val="24"/>
                <w:szCs w:val="24"/>
                <w:lang w:val="en-GB"/>
              </w:rPr>
              <w:t>).</w:t>
            </w:r>
          </w:p>
          <w:p w14:paraId="6E8DCE3A" w14:textId="77777777" w:rsidR="009315B4" w:rsidRPr="008A4950" w:rsidRDefault="006455DF" w:rsidP="00712B6F">
            <w:pPr>
              <w:pStyle w:val="Normal1"/>
              <w:widowControl w:val="0"/>
              <w:numPr>
                <w:ilvl w:val="0"/>
                <w:numId w:val="6"/>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As a result, it can be treated as one of the critical problems regarding international business as the value of the currency fluctuates in a consistent way for the identical </w:t>
            </w:r>
            <w:r w:rsidR="0027399B" w:rsidRPr="008A4950">
              <w:rPr>
                <w:rFonts w:ascii="Times New Roman" w:eastAsia="Times New Roman" w:hAnsi="Times New Roman" w:cs="Times New Roman"/>
                <w:sz w:val="24"/>
                <w:szCs w:val="24"/>
                <w:lang w:val="en-GB"/>
              </w:rPr>
              <w:t>number</w:t>
            </w:r>
            <w:r w:rsidRPr="008A4950">
              <w:rPr>
                <w:rFonts w:ascii="Times New Roman" w:eastAsia="Times New Roman" w:hAnsi="Times New Roman" w:cs="Times New Roman"/>
                <w:sz w:val="24"/>
                <w:szCs w:val="24"/>
                <w:lang w:val="en-GB"/>
              </w:rPr>
              <w:t xml:space="preserve"> of products and services.</w:t>
            </w:r>
          </w:p>
        </w:tc>
      </w:tr>
      <w:tr w:rsidR="009315B4" w:rsidRPr="008A4950" w14:paraId="48BD992D" w14:textId="77777777">
        <w:trPr>
          <w:trHeight w:val="638"/>
        </w:trPr>
        <w:tc>
          <w:tcPr>
            <w:tcW w:w="3030" w:type="dxa"/>
            <w:shd w:val="clear" w:color="auto" w:fill="auto"/>
            <w:tcMar>
              <w:top w:w="100" w:type="dxa"/>
              <w:left w:w="100" w:type="dxa"/>
              <w:bottom w:w="100" w:type="dxa"/>
              <w:right w:w="100" w:type="dxa"/>
            </w:tcMar>
          </w:tcPr>
          <w:p w14:paraId="5891D249"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b/>
                <w:i/>
                <w:sz w:val="24"/>
                <w:szCs w:val="24"/>
                <w:lang w:val="en-GB"/>
              </w:rPr>
            </w:pPr>
            <w:r w:rsidRPr="008A4950">
              <w:rPr>
                <w:rFonts w:ascii="Times New Roman" w:eastAsia="Times New Roman" w:hAnsi="Times New Roman" w:cs="Times New Roman"/>
                <w:b/>
                <w:i/>
                <w:sz w:val="24"/>
                <w:szCs w:val="24"/>
                <w:lang w:val="en-GB"/>
              </w:rPr>
              <w:t>Supply Chain Risks</w:t>
            </w:r>
          </w:p>
        </w:tc>
        <w:tc>
          <w:tcPr>
            <w:tcW w:w="5970" w:type="dxa"/>
            <w:shd w:val="clear" w:color="auto" w:fill="auto"/>
            <w:tcMar>
              <w:top w:w="100" w:type="dxa"/>
              <w:left w:w="100" w:type="dxa"/>
              <w:bottom w:w="100" w:type="dxa"/>
              <w:right w:w="100" w:type="dxa"/>
            </w:tcMar>
          </w:tcPr>
          <w:p w14:paraId="6D3D1747" w14:textId="77777777" w:rsidR="009315B4" w:rsidRPr="008A4950" w:rsidRDefault="006455DF" w:rsidP="00712B6F">
            <w:pPr>
              <w:pStyle w:val="Normal1"/>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Regulating the supply chain which encompasses the national borders primarily lies among the critical problems related to international business.</w:t>
            </w:r>
          </w:p>
          <w:p w14:paraId="5BB2FA0C" w14:textId="77777777" w:rsidR="009315B4" w:rsidRPr="008A4950" w:rsidRDefault="006455DF" w:rsidP="00712B6F">
            <w:pPr>
              <w:pStyle w:val="Normal1"/>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The particulars of related logistics, offshore shipping, imports, and exports have been steered by </w:t>
            </w:r>
            <w:r w:rsidRPr="008A4950">
              <w:rPr>
                <w:rFonts w:ascii="Times New Roman" w:eastAsia="Times New Roman" w:hAnsi="Times New Roman" w:cs="Times New Roman"/>
                <w:sz w:val="24"/>
                <w:szCs w:val="24"/>
                <w:lang w:val="en-GB"/>
              </w:rPr>
              <w:lastRenderedPageBreak/>
              <w:t>international laws as well as other international legislations (</w:t>
            </w:r>
            <w:r w:rsidRPr="008A4950">
              <w:rPr>
                <w:rFonts w:ascii="Times New Roman" w:eastAsia="Times New Roman" w:hAnsi="Times New Roman" w:cs="Times New Roman"/>
                <w:sz w:val="24"/>
                <w:szCs w:val="24"/>
                <w:highlight w:val="white"/>
                <w:lang w:val="en-GB"/>
              </w:rPr>
              <w:t>Jaiswal et al., 2022</w:t>
            </w:r>
            <w:r w:rsidRPr="008A4950">
              <w:rPr>
                <w:rFonts w:ascii="Times New Roman" w:eastAsia="Times New Roman" w:hAnsi="Times New Roman" w:cs="Times New Roman"/>
                <w:sz w:val="24"/>
                <w:szCs w:val="24"/>
                <w:lang w:val="en-GB"/>
              </w:rPr>
              <w:t xml:space="preserve">). </w:t>
            </w:r>
          </w:p>
          <w:p w14:paraId="7C2F96EA" w14:textId="77777777" w:rsidR="009315B4" w:rsidRPr="008A4950" w:rsidRDefault="006455DF" w:rsidP="00712B6F">
            <w:pPr>
              <w:pStyle w:val="Normal1"/>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Managing the supply chains can lead to a critical threat to international business. </w:t>
            </w:r>
          </w:p>
        </w:tc>
      </w:tr>
      <w:tr w:rsidR="009315B4" w:rsidRPr="008A4950" w14:paraId="13D9F48E" w14:textId="77777777">
        <w:tc>
          <w:tcPr>
            <w:tcW w:w="3030" w:type="dxa"/>
            <w:shd w:val="clear" w:color="auto" w:fill="auto"/>
            <w:tcMar>
              <w:top w:w="100" w:type="dxa"/>
              <w:left w:w="100" w:type="dxa"/>
              <w:bottom w:w="100" w:type="dxa"/>
              <w:right w:w="100" w:type="dxa"/>
            </w:tcMar>
          </w:tcPr>
          <w:p w14:paraId="2CAA2B17"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b/>
                <w:i/>
                <w:sz w:val="24"/>
                <w:szCs w:val="24"/>
                <w:lang w:val="en-GB"/>
              </w:rPr>
            </w:pPr>
            <w:r w:rsidRPr="008A4950">
              <w:rPr>
                <w:rFonts w:ascii="Times New Roman" w:eastAsia="Times New Roman" w:hAnsi="Times New Roman" w:cs="Times New Roman"/>
                <w:b/>
                <w:i/>
                <w:sz w:val="24"/>
                <w:szCs w:val="24"/>
                <w:lang w:val="en-GB"/>
              </w:rPr>
              <w:lastRenderedPageBreak/>
              <w:t>Talent Acquisition and Onboarding</w:t>
            </w:r>
          </w:p>
        </w:tc>
        <w:tc>
          <w:tcPr>
            <w:tcW w:w="5970" w:type="dxa"/>
            <w:shd w:val="clear" w:color="auto" w:fill="auto"/>
            <w:tcMar>
              <w:top w:w="100" w:type="dxa"/>
              <w:left w:w="100" w:type="dxa"/>
              <w:bottom w:w="100" w:type="dxa"/>
              <w:right w:w="100" w:type="dxa"/>
            </w:tcMar>
          </w:tcPr>
          <w:p w14:paraId="1743DFBC" w14:textId="77777777" w:rsidR="009315B4" w:rsidRPr="008A4950" w:rsidRDefault="006455DF" w:rsidP="00712B6F">
            <w:pPr>
              <w:pStyle w:val="Normal1"/>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Retaining and hiring talented employees can be treated as an important aspect of international expansion (</w:t>
            </w:r>
            <w:r w:rsidRPr="008A4950">
              <w:rPr>
                <w:rFonts w:ascii="Times New Roman" w:eastAsia="Times New Roman" w:hAnsi="Times New Roman" w:cs="Times New Roman"/>
                <w:sz w:val="24"/>
                <w:szCs w:val="24"/>
                <w:highlight w:val="white"/>
                <w:lang w:val="en-GB"/>
              </w:rPr>
              <w:t>Paul and Mas, 2020</w:t>
            </w:r>
            <w:r w:rsidRPr="008A4950">
              <w:rPr>
                <w:rFonts w:ascii="Times New Roman" w:eastAsia="Times New Roman" w:hAnsi="Times New Roman" w:cs="Times New Roman"/>
                <w:sz w:val="24"/>
                <w:szCs w:val="24"/>
                <w:lang w:val="en-GB"/>
              </w:rPr>
              <w:t>).</w:t>
            </w:r>
          </w:p>
          <w:p w14:paraId="21EAE2A0" w14:textId="77777777" w:rsidR="009315B4" w:rsidRPr="008A4950" w:rsidRDefault="006455DF" w:rsidP="00712B6F">
            <w:pPr>
              <w:pStyle w:val="Normal1"/>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Motivated and talented staff with the required base of knowledge and industry experience regarding the specific region can be demonstrated as assets to multinational corporations such as HSBC Holdings.</w:t>
            </w:r>
          </w:p>
          <w:p w14:paraId="4B04D7DC" w14:textId="77777777" w:rsidR="009315B4" w:rsidRPr="008A4950" w:rsidRDefault="006455DF" w:rsidP="00712B6F">
            <w:pPr>
              <w:pStyle w:val="Normal1"/>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Lack of experience among the business employees that can be engaged in acting as an anchor for respective locations can impose critical challenges for the concerned MNCs in terms of international expansion. </w:t>
            </w:r>
          </w:p>
        </w:tc>
      </w:tr>
    </w:tbl>
    <w:p w14:paraId="2B87B910" w14:textId="77777777" w:rsidR="009315B4" w:rsidRPr="008A4950" w:rsidRDefault="006455DF" w:rsidP="00712B6F">
      <w:pPr>
        <w:pStyle w:val="Normal1"/>
        <w:spacing w:before="240" w:after="240" w:line="360" w:lineRule="auto"/>
        <w:jc w:val="center"/>
        <w:rPr>
          <w:rFonts w:ascii="Times New Roman" w:eastAsia="Times New Roman" w:hAnsi="Times New Roman" w:cs="Times New Roman"/>
          <w:b/>
          <w:sz w:val="24"/>
          <w:szCs w:val="24"/>
          <w:lang w:val="en-GB"/>
        </w:rPr>
      </w:pPr>
      <w:r w:rsidRPr="008A4950">
        <w:rPr>
          <w:rFonts w:ascii="Times New Roman" w:eastAsia="Times New Roman" w:hAnsi="Times New Roman" w:cs="Times New Roman"/>
          <w:b/>
          <w:sz w:val="24"/>
          <w:szCs w:val="24"/>
          <w:lang w:val="en-GB"/>
        </w:rPr>
        <w:t>Table 1: Obstacles faced by MNCs in various IFM</w:t>
      </w:r>
    </w:p>
    <w:p w14:paraId="10D36D9D" w14:textId="77777777" w:rsidR="009315B4" w:rsidRPr="008A4950" w:rsidRDefault="006455DF" w:rsidP="00712B6F">
      <w:pPr>
        <w:pStyle w:val="Normal1"/>
        <w:spacing w:before="240" w:after="240" w:line="360" w:lineRule="auto"/>
        <w:jc w:val="center"/>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(Source: Created by the Author)</w:t>
      </w:r>
    </w:p>
    <w:p w14:paraId="1A20C880" w14:textId="77777777" w:rsidR="009315B4" w:rsidRPr="008A4950" w:rsidRDefault="006455DF" w:rsidP="0027399B">
      <w:pPr>
        <w:pStyle w:val="Heading1"/>
        <w:rPr>
          <w:sz w:val="28"/>
          <w:szCs w:val="28"/>
        </w:rPr>
      </w:pPr>
      <w:bookmarkStart w:id="4" w:name="_Toc133015463"/>
      <w:r w:rsidRPr="008A4950">
        <w:rPr>
          <w:sz w:val="28"/>
          <w:szCs w:val="28"/>
        </w:rPr>
        <w:t>4.0 Dividend Distribution Policy of HSBC Holdings</w:t>
      </w:r>
      <w:bookmarkEnd w:id="4"/>
    </w:p>
    <w:p w14:paraId="76B88D45"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A dividend refers to the payment that can be made by the organisation to its shareholders in terms of the distribution of its profit over a specific period. The profits that have been generated by the organisation can either be retained within the business organisation and can be utilised for diversification, expansion or acquisition (</w:t>
      </w:r>
      <w:r w:rsidRPr="008A4950">
        <w:rPr>
          <w:rFonts w:ascii="Times New Roman" w:eastAsia="Times New Roman" w:hAnsi="Times New Roman" w:cs="Times New Roman"/>
          <w:sz w:val="24"/>
          <w:szCs w:val="24"/>
          <w:highlight w:val="white"/>
          <w:lang w:val="en-GB"/>
        </w:rPr>
        <w:t>Chan et al., 2021</w:t>
      </w:r>
      <w:r w:rsidRPr="008A4950">
        <w:rPr>
          <w:rFonts w:ascii="Times New Roman" w:eastAsia="Times New Roman" w:hAnsi="Times New Roman" w:cs="Times New Roman"/>
          <w:sz w:val="24"/>
          <w:szCs w:val="24"/>
          <w:lang w:val="en-GB"/>
        </w:rPr>
        <w:t xml:space="preserve">). It can also be distributed to the key shareholders of the business organisation in an appropriate manner. </w:t>
      </w:r>
    </w:p>
    <w:p w14:paraId="211087CE" w14:textId="77777777" w:rsidR="009315B4" w:rsidRPr="008A4950" w:rsidRDefault="006455DF" w:rsidP="00712B6F">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HSBC Holdings is highly engaged in setting up to enhance the payments of dividends sharply in the year 2022. It can be demonstrated as an effective attempt for placating </w:t>
      </w:r>
      <w:r w:rsidRPr="008A4950">
        <w:rPr>
          <w:rFonts w:ascii="Times New Roman" w:eastAsia="Times New Roman" w:hAnsi="Times New Roman" w:cs="Times New Roman"/>
          <w:sz w:val="24"/>
          <w:szCs w:val="24"/>
          <w:lang w:val="en-GB"/>
        </w:rPr>
        <w:lastRenderedPageBreak/>
        <w:t xml:space="preserve">investors calling for its breakup. However, the </w:t>
      </w:r>
      <w:r w:rsidR="0027399B" w:rsidRPr="008A4950">
        <w:rPr>
          <w:rFonts w:ascii="Times New Roman" w:eastAsia="Times New Roman" w:hAnsi="Times New Roman" w:cs="Times New Roman"/>
          <w:sz w:val="24"/>
          <w:szCs w:val="24"/>
          <w:lang w:val="en-GB"/>
        </w:rPr>
        <w:t>pay-outs</w:t>
      </w:r>
      <w:r w:rsidRPr="008A4950">
        <w:rPr>
          <w:rFonts w:ascii="Times New Roman" w:eastAsia="Times New Roman" w:hAnsi="Times New Roman" w:cs="Times New Roman"/>
          <w:sz w:val="24"/>
          <w:szCs w:val="24"/>
          <w:lang w:val="en-GB"/>
        </w:rPr>
        <w:t xml:space="preserve"> can be unlikely to reach the pre-pandemic levels in an effective way. </w:t>
      </w:r>
    </w:p>
    <w:p w14:paraId="1236A781" w14:textId="77777777" w:rsidR="009315B4" w:rsidRPr="008A4950" w:rsidRDefault="006455DF" w:rsidP="00712B6F">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It has been forecasted by the concerned entity for making a payment of a dividend per share of 31 cents in the year 2022, which is 24% higher as compared to the year 2021. The concerned figure is still 40% lower in comparison with 51 cents for each share paid in the year 2019 (HSBC, 2023). </w:t>
      </w:r>
    </w:p>
    <w:p w14:paraId="55C4C625" w14:textId="77777777" w:rsidR="009315B4" w:rsidRPr="008A4950" w:rsidRDefault="006455DF" w:rsidP="00712B6F">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It has also been targeted by HSBC Holdings to make an improved </w:t>
      </w:r>
      <w:r w:rsidR="0027399B" w:rsidRPr="008A4950">
        <w:rPr>
          <w:rFonts w:ascii="Times New Roman" w:eastAsia="Times New Roman" w:hAnsi="Times New Roman" w:cs="Times New Roman"/>
          <w:sz w:val="24"/>
          <w:szCs w:val="24"/>
          <w:lang w:val="en-GB"/>
        </w:rPr>
        <w:t>pay-out</w:t>
      </w:r>
      <w:r w:rsidRPr="008A4950">
        <w:rPr>
          <w:rFonts w:ascii="Times New Roman" w:eastAsia="Times New Roman" w:hAnsi="Times New Roman" w:cs="Times New Roman"/>
          <w:sz w:val="24"/>
          <w:szCs w:val="24"/>
          <w:lang w:val="en-GB"/>
        </w:rPr>
        <w:t xml:space="preserve"> ratio regarding 50% of its reported earnings for each year for the years 2023 and 2024. The concerned MNC is also engaged in targeting a return on tangible equity, which can be treated as a measure of the profitability of around 12% from the year 2023 onward (</w:t>
      </w:r>
      <w:r w:rsidRPr="008A4950">
        <w:rPr>
          <w:rFonts w:ascii="Times New Roman" w:eastAsia="Times New Roman" w:hAnsi="Times New Roman" w:cs="Times New Roman"/>
          <w:sz w:val="24"/>
          <w:szCs w:val="24"/>
          <w:highlight w:val="white"/>
          <w:lang w:val="en-GB"/>
        </w:rPr>
        <w:t>Froese et al., 2020</w:t>
      </w:r>
      <w:r w:rsidRPr="008A4950">
        <w:rPr>
          <w:rFonts w:ascii="Times New Roman" w:eastAsia="Times New Roman" w:hAnsi="Times New Roman" w:cs="Times New Roman"/>
          <w:sz w:val="24"/>
          <w:szCs w:val="24"/>
          <w:lang w:val="en-GB"/>
        </w:rPr>
        <w:t xml:space="preserve">). </w:t>
      </w:r>
    </w:p>
    <w:p w14:paraId="78F261D0"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Finance stocks cannot always be engaged in making a payment of dividends. However, HSBC Holdings significantly indulged in making the payment for its dividend in terms of the reward to its key shareholders across the respective market. </w:t>
      </w:r>
    </w:p>
    <w:p w14:paraId="059F69BE" w14:textId="77777777" w:rsidR="009315B4" w:rsidRPr="008A4950" w:rsidRDefault="006455DF" w:rsidP="0027399B">
      <w:pPr>
        <w:pStyle w:val="Heading1"/>
        <w:rPr>
          <w:sz w:val="28"/>
          <w:szCs w:val="28"/>
        </w:rPr>
      </w:pPr>
      <w:bookmarkStart w:id="5" w:name="_Toc133015464"/>
      <w:r w:rsidRPr="008A4950">
        <w:rPr>
          <w:sz w:val="28"/>
          <w:szCs w:val="28"/>
        </w:rPr>
        <w:t>5.0 Efficient Market Hypothesis Theory of HSBC Holdings</w:t>
      </w:r>
      <w:bookmarkEnd w:id="5"/>
    </w:p>
    <w:p w14:paraId="4FA85731"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The Efficient Market Hypothesis (EMH) can also be known as an "Efficient Market Theory." It can be contemplated as a hypothesis, which states that share prices primarily reflect all the necessary information and the consistent generation of Alpha is impossible (</w:t>
      </w:r>
      <w:r w:rsidRPr="008A4950">
        <w:rPr>
          <w:rFonts w:ascii="Times New Roman" w:eastAsia="Times New Roman" w:hAnsi="Times New Roman" w:cs="Times New Roman"/>
          <w:sz w:val="24"/>
          <w:szCs w:val="24"/>
          <w:highlight w:val="white"/>
          <w:lang w:val="en-GB"/>
        </w:rPr>
        <w:t>Le et al., 2019</w:t>
      </w:r>
      <w:r w:rsidRPr="008A4950">
        <w:rPr>
          <w:rFonts w:ascii="Times New Roman" w:eastAsia="Times New Roman" w:hAnsi="Times New Roman" w:cs="Times New Roman"/>
          <w:sz w:val="24"/>
          <w:szCs w:val="24"/>
          <w:lang w:val="en-GB"/>
        </w:rPr>
        <w:t xml:space="preserve">). As per the aspects of EMH, stocks can always be engaged in trading at their fair value on exchanges, which makes it difficult for investors to sell stocks or purchase undervalued stocks for inflated prices. As a result, it can be impossible to outperform the overall market with the help of market timing or expert stock selection. </w:t>
      </w:r>
    </w:p>
    <w:p w14:paraId="0825E359" w14:textId="77777777" w:rsidR="009315B4" w:rsidRPr="008A4950" w:rsidRDefault="006455DF" w:rsidP="00712B6F">
      <w:pPr>
        <w:pStyle w:val="Normal1"/>
        <w:spacing w:before="240" w:after="240" w:line="360" w:lineRule="auto"/>
        <w:jc w:val="center"/>
        <w:rPr>
          <w:rFonts w:ascii="Times New Roman" w:eastAsia="Times New Roman" w:hAnsi="Times New Roman" w:cs="Times New Roman"/>
          <w:sz w:val="24"/>
          <w:szCs w:val="24"/>
          <w:lang w:val="en-GB"/>
        </w:rPr>
      </w:pPr>
      <w:r w:rsidRPr="008A4950">
        <w:rPr>
          <w:rFonts w:ascii="Times New Roman" w:eastAsia="Times New Roman" w:hAnsi="Times New Roman" w:cs="Times New Roman"/>
          <w:noProof/>
          <w:sz w:val="24"/>
          <w:szCs w:val="24"/>
          <w:lang w:val="en-GB"/>
        </w:rPr>
        <w:lastRenderedPageBreak/>
        <w:drawing>
          <wp:inline distT="114300" distB="114300" distL="114300" distR="114300" wp14:anchorId="2A185789" wp14:editId="02E2F3C5">
            <wp:extent cx="4891088" cy="2884279"/>
            <wp:effectExtent l="76200" t="76200" r="138430" b="12573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891088" cy="28842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8F7A11" w14:textId="77777777" w:rsidR="009315B4" w:rsidRPr="008A4950" w:rsidRDefault="006455DF" w:rsidP="00712B6F">
      <w:pPr>
        <w:pStyle w:val="Normal1"/>
        <w:spacing w:before="240" w:after="240" w:line="360" w:lineRule="auto"/>
        <w:jc w:val="center"/>
        <w:rPr>
          <w:rFonts w:ascii="Times New Roman" w:eastAsia="Times New Roman" w:hAnsi="Times New Roman" w:cs="Times New Roman"/>
          <w:b/>
          <w:sz w:val="24"/>
          <w:szCs w:val="24"/>
          <w:lang w:val="en-GB"/>
        </w:rPr>
      </w:pPr>
      <w:r w:rsidRPr="008A4950">
        <w:rPr>
          <w:rFonts w:ascii="Times New Roman" w:eastAsia="Times New Roman" w:hAnsi="Times New Roman" w:cs="Times New Roman"/>
          <w:b/>
          <w:sz w:val="24"/>
          <w:szCs w:val="24"/>
          <w:lang w:val="en-GB"/>
        </w:rPr>
        <w:t>Figure: Efficient Market Hypothesis</w:t>
      </w:r>
    </w:p>
    <w:p w14:paraId="0B4AA284" w14:textId="77777777" w:rsidR="009315B4" w:rsidRPr="008A4950" w:rsidRDefault="006455DF" w:rsidP="00712B6F">
      <w:pPr>
        <w:pStyle w:val="Normal1"/>
        <w:spacing w:before="240" w:after="240" w:line="360" w:lineRule="auto"/>
        <w:jc w:val="center"/>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(Source: </w:t>
      </w:r>
      <w:r w:rsidRPr="008A4950">
        <w:rPr>
          <w:rFonts w:ascii="Times New Roman" w:eastAsia="Times New Roman" w:hAnsi="Times New Roman" w:cs="Times New Roman"/>
          <w:sz w:val="24"/>
          <w:szCs w:val="24"/>
          <w:highlight w:val="white"/>
          <w:lang w:val="en-GB"/>
        </w:rPr>
        <w:t>Mees-Buss et al., 2019</w:t>
      </w:r>
      <w:r w:rsidRPr="008A4950">
        <w:rPr>
          <w:rFonts w:ascii="Times New Roman" w:eastAsia="Times New Roman" w:hAnsi="Times New Roman" w:cs="Times New Roman"/>
          <w:sz w:val="24"/>
          <w:szCs w:val="24"/>
          <w:lang w:val="en-GB"/>
        </w:rPr>
        <w:t>)</w:t>
      </w:r>
    </w:p>
    <w:p w14:paraId="4949483E"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It can also be demonstrated as an effective way for obtaining higher returns by investors through purchasing riskier investments across the definite market. The relevant proponents of EMH can posit that the investors can gain a necessary benefit from investing in a passive and low-cost portfolio. Monopolistic competition can be evolved across the banking market of Europe. It can be treated as a major cause for making an advancement in the loan and deposit market hypothesis in Europe, which is perfectly competitive (</w:t>
      </w:r>
      <w:proofErr w:type="spellStart"/>
      <w:r w:rsidRPr="008A4950">
        <w:rPr>
          <w:rFonts w:ascii="Times New Roman" w:eastAsia="Times New Roman" w:hAnsi="Times New Roman" w:cs="Times New Roman"/>
          <w:sz w:val="24"/>
          <w:szCs w:val="24"/>
          <w:highlight w:val="white"/>
          <w:lang w:val="en-GB"/>
        </w:rPr>
        <w:t>Shahwan</w:t>
      </w:r>
      <w:proofErr w:type="spellEnd"/>
      <w:r w:rsidRPr="008A4950">
        <w:rPr>
          <w:rFonts w:ascii="Times New Roman" w:eastAsia="Times New Roman" w:hAnsi="Times New Roman" w:cs="Times New Roman"/>
          <w:sz w:val="24"/>
          <w:szCs w:val="24"/>
          <w:highlight w:val="white"/>
          <w:lang w:val="en-GB"/>
        </w:rPr>
        <w:t xml:space="preserve"> and </w:t>
      </w:r>
      <w:proofErr w:type="spellStart"/>
      <w:r w:rsidRPr="008A4950">
        <w:rPr>
          <w:rFonts w:ascii="Times New Roman" w:eastAsia="Times New Roman" w:hAnsi="Times New Roman" w:cs="Times New Roman"/>
          <w:sz w:val="24"/>
          <w:szCs w:val="24"/>
          <w:highlight w:val="white"/>
          <w:lang w:val="en-GB"/>
        </w:rPr>
        <w:t>Almubaydeen</w:t>
      </w:r>
      <w:proofErr w:type="spellEnd"/>
      <w:r w:rsidRPr="008A4950">
        <w:rPr>
          <w:rFonts w:ascii="Times New Roman" w:eastAsia="Times New Roman" w:hAnsi="Times New Roman" w:cs="Times New Roman"/>
          <w:sz w:val="24"/>
          <w:szCs w:val="24"/>
          <w:highlight w:val="white"/>
          <w:lang w:val="en-GB"/>
        </w:rPr>
        <w:t>, 2020</w:t>
      </w:r>
      <w:r w:rsidRPr="008A4950">
        <w:rPr>
          <w:rFonts w:ascii="Times New Roman" w:eastAsia="Times New Roman" w:hAnsi="Times New Roman" w:cs="Times New Roman"/>
          <w:sz w:val="24"/>
          <w:szCs w:val="24"/>
          <w:lang w:val="en-GB"/>
        </w:rPr>
        <w:t xml:space="preserve">). It cannot be rejected irrespective of whether the power of the test in terms of an alternative or not equilibrium is not very high. Barriers can also be developed across the banking market in case of a substantial switching cost, which is included in shifting from one bank to another across the respective market for HSBC Holdings. </w:t>
      </w:r>
    </w:p>
    <w:p w14:paraId="1B654566" w14:textId="77777777" w:rsidR="009315B4" w:rsidRPr="008A4950" w:rsidRDefault="006455DF" w:rsidP="00AE0F9A">
      <w:pPr>
        <w:pStyle w:val="Heading1"/>
        <w:rPr>
          <w:sz w:val="28"/>
          <w:szCs w:val="28"/>
        </w:rPr>
      </w:pPr>
      <w:bookmarkStart w:id="6" w:name="_Toc133015465"/>
      <w:r w:rsidRPr="008A4950">
        <w:rPr>
          <w:sz w:val="28"/>
          <w:szCs w:val="28"/>
        </w:rPr>
        <w:t>6.0 Methods of Appraising Projects of HSBC Holdings</w:t>
      </w:r>
      <w:bookmarkEnd w:id="6"/>
    </w:p>
    <w:p w14:paraId="1724097D"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HSBC Holdings can be highly engaged in conducting stress tests in a regular way for assessing the resilience regarding its capital adequacy and balance sheet (</w:t>
      </w:r>
      <w:r w:rsidRPr="008A4950">
        <w:rPr>
          <w:rFonts w:ascii="Times New Roman" w:eastAsia="Times New Roman" w:hAnsi="Times New Roman" w:cs="Times New Roman"/>
          <w:sz w:val="24"/>
          <w:szCs w:val="24"/>
          <w:highlight w:val="white"/>
          <w:lang w:val="en-GB"/>
        </w:rPr>
        <w:t>Mees-Buss et al., 2019</w:t>
      </w:r>
      <w:r w:rsidRPr="008A4950">
        <w:rPr>
          <w:rFonts w:ascii="Times New Roman" w:eastAsia="Times New Roman" w:hAnsi="Times New Roman" w:cs="Times New Roman"/>
          <w:sz w:val="24"/>
          <w:szCs w:val="24"/>
          <w:lang w:val="en-GB"/>
        </w:rPr>
        <w:t xml:space="preserve">). It also plays an important role to offer actionable insights into determining the essential elements regarding its portfolio along with its behaviour during the financial crisis respectively. </w:t>
      </w:r>
    </w:p>
    <w:p w14:paraId="5C8CB30F" w14:textId="77777777" w:rsidR="009315B4" w:rsidRPr="008A4950" w:rsidRDefault="006455DF" w:rsidP="00712B6F">
      <w:pPr>
        <w:pStyle w:val="Normal1"/>
        <w:numPr>
          <w:ilvl w:val="0"/>
          <w:numId w:val="5"/>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lastRenderedPageBreak/>
        <w:t xml:space="preserve">The concerned outcomes can effectively be utilised within the present MNC for calibrating its risk appetite along with reviewing the robustness related to its financial and strategic plans. </w:t>
      </w:r>
    </w:p>
    <w:p w14:paraId="1CBE3E90" w14:textId="77777777" w:rsidR="009315B4" w:rsidRPr="008A4950" w:rsidRDefault="006455DF" w:rsidP="00712B6F">
      <w:pPr>
        <w:pStyle w:val="Normal1"/>
        <w:numPr>
          <w:ilvl w:val="0"/>
          <w:numId w:val="5"/>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It can be considered a vital factor for making an improvement in the quality of the decision-making within the management extensively (</w:t>
      </w:r>
      <w:r w:rsidRPr="008A4950">
        <w:rPr>
          <w:rFonts w:ascii="Times New Roman" w:eastAsia="Times New Roman" w:hAnsi="Times New Roman" w:cs="Times New Roman"/>
          <w:sz w:val="24"/>
          <w:szCs w:val="24"/>
          <w:highlight w:val="white"/>
          <w:lang w:val="en-GB"/>
        </w:rPr>
        <w:t>Aguilera et al., 2019</w:t>
      </w:r>
      <w:r w:rsidRPr="008A4950">
        <w:rPr>
          <w:rFonts w:ascii="Times New Roman" w:eastAsia="Times New Roman" w:hAnsi="Times New Roman" w:cs="Times New Roman"/>
          <w:sz w:val="24"/>
          <w:szCs w:val="24"/>
          <w:lang w:val="en-GB"/>
        </w:rPr>
        <w:t xml:space="preserve">). </w:t>
      </w:r>
    </w:p>
    <w:p w14:paraId="4972D44F" w14:textId="77777777" w:rsidR="009315B4" w:rsidRPr="008A4950" w:rsidRDefault="006455DF" w:rsidP="00712B6F">
      <w:pPr>
        <w:pStyle w:val="Normal1"/>
        <w:numPr>
          <w:ilvl w:val="0"/>
          <w:numId w:val="5"/>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Analysis based on stress testing can be contemplated as a vital factor for the management in order to understand the extent and nature of the vulnerability, to which the Group has been exposed. </w:t>
      </w:r>
    </w:p>
    <w:p w14:paraId="5547A4CD" w14:textId="77777777" w:rsidR="009315B4" w:rsidRPr="008A4950" w:rsidRDefault="006455DF" w:rsidP="00712B6F">
      <w:pPr>
        <w:pStyle w:val="Normal1"/>
        <w:numPr>
          <w:ilvl w:val="0"/>
          <w:numId w:val="5"/>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The relevant outcomes from the stress test can also be engaged in driving resolution and recovery planning to assist the financial stability of the Group under several macroeconomic scenarios. </w:t>
      </w:r>
    </w:p>
    <w:p w14:paraId="388A3EF7" w14:textId="77777777" w:rsidR="009315B4" w:rsidRPr="008A4950" w:rsidRDefault="006455DF" w:rsidP="00712B6F">
      <w:pPr>
        <w:pStyle w:val="Normal1"/>
        <w:numPr>
          <w:ilvl w:val="0"/>
          <w:numId w:val="5"/>
        </w:numPr>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 xml:space="preserve">Effective selection regarding the stress scenarios can be based upon the assessment and identification of its emerging and top risk identified along with its risk appetite over a definite period. </w:t>
      </w:r>
    </w:p>
    <w:p w14:paraId="2A9E5230"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lang w:val="en-GB"/>
        </w:rPr>
        <w:t>Internal stress tests can also be conducted within the present business entity that has explored the relevant effects of the key vulnerabilities in order to assess its exposition involving the COVID-19 pandemic and geopolitical issues respectively (</w:t>
      </w:r>
      <w:r w:rsidRPr="008A4950">
        <w:rPr>
          <w:rFonts w:ascii="Times New Roman" w:eastAsia="Times New Roman" w:hAnsi="Times New Roman" w:cs="Times New Roman"/>
          <w:sz w:val="24"/>
          <w:szCs w:val="24"/>
          <w:highlight w:val="white"/>
          <w:lang w:val="en-GB"/>
        </w:rPr>
        <w:t>Cooper and Nguyen, 2020</w:t>
      </w:r>
      <w:r w:rsidRPr="008A4950">
        <w:rPr>
          <w:rFonts w:ascii="Times New Roman" w:eastAsia="Times New Roman" w:hAnsi="Times New Roman" w:cs="Times New Roman"/>
          <w:sz w:val="24"/>
          <w:szCs w:val="24"/>
          <w:lang w:val="en-GB"/>
        </w:rPr>
        <w:t xml:space="preserve">). The consideration of the internal stress test imposed the impacts of several scenarios across all the types of risk on the capital resources extensively. </w:t>
      </w:r>
    </w:p>
    <w:p w14:paraId="16C3C7B8" w14:textId="77777777" w:rsidR="009315B4" w:rsidRPr="008A4950" w:rsidRDefault="006455DF" w:rsidP="00AE0F9A">
      <w:pPr>
        <w:pStyle w:val="Heading1"/>
        <w:rPr>
          <w:sz w:val="28"/>
          <w:szCs w:val="28"/>
        </w:rPr>
      </w:pPr>
      <w:bookmarkStart w:id="7" w:name="_Toc133015466"/>
      <w:r w:rsidRPr="008A4950">
        <w:rPr>
          <w:sz w:val="28"/>
          <w:szCs w:val="28"/>
        </w:rPr>
        <w:t>7.0 Conclusion</w:t>
      </w:r>
      <w:bookmarkEnd w:id="7"/>
    </w:p>
    <w:p w14:paraId="6FD18DDF" w14:textId="77777777" w:rsidR="009315B4" w:rsidRPr="008A4950" w:rsidRDefault="006455DF" w:rsidP="00712B6F">
      <w:pPr>
        <w:pStyle w:val="Normal1"/>
        <w:spacing w:before="240" w:after="240" w:line="360" w:lineRule="auto"/>
        <w:jc w:val="both"/>
        <w:rPr>
          <w:rFonts w:ascii="Times New Roman" w:eastAsia="Times New Roman" w:hAnsi="Times New Roman" w:cs="Times New Roman"/>
          <w:b/>
          <w:sz w:val="24"/>
          <w:szCs w:val="24"/>
          <w:lang w:val="en-GB"/>
        </w:rPr>
      </w:pPr>
      <w:r w:rsidRPr="008A4950">
        <w:rPr>
          <w:rFonts w:ascii="Times New Roman" w:eastAsia="Times New Roman" w:hAnsi="Times New Roman" w:cs="Times New Roman"/>
          <w:sz w:val="24"/>
          <w:szCs w:val="24"/>
          <w:lang w:val="en-GB"/>
        </w:rPr>
        <w:t>The above study reflects on the potential aspects based on international financial management that can be evolved by the financial manager of HSBC Holdings in an accurate way. The relevant significance of executing IFM within business organisations helps to achieve the organisational objectives over a definite period. The critical challenges can also be faced by the financial managers in terms of implementing IFM in the respective market which is important to overcome through developing relevant strategies extensively. Dividend distribution policy, efficient market hypothesis theory and relevant methods of appraising projects utilised within HSBC Holdings have also been reflected in the present study in a detailed way.</w:t>
      </w:r>
      <w:bookmarkEnd w:id="0"/>
      <w:r w:rsidRPr="008A4950">
        <w:rPr>
          <w:rFonts w:ascii="Times New Roman" w:hAnsi="Times New Roman" w:cs="Times New Roman"/>
          <w:lang w:val="en-GB"/>
        </w:rPr>
        <w:br w:type="page"/>
      </w:r>
    </w:p>
    <w:p w14:paraId="553C8E69" w14:textId="77777777" w:rsidR="009315B4" w:rsidRPr="008A4950" w:rsidRDefault="006455DF" w:rsidP="00AE0F9A">
      <w:pPr>
        <w:pStyle w:val="Heading1"/>
        <w:rPr>
          <w:sz w:val="28"/>
          <w:szCs w:val="28"/>
        </w:rPr>
      </w:pPr>
      <w:bookmarkStart w:id="8" w:name="_Toc133015467"/>
      <w:r w:rsidRPr="008A4950">
        <w:rPr>
          <w:sz w:val="28"/>
          <w:szCs w:val="28"/>
        </w:rPr>
        <w:lastRenderedPageBreak/>
        <w:t>Reference List</w:t>
      </w:r>
      <w:bookmarkEnd w:id="8"/>
    </w:p>
    <w:p w14:paraId="0F30294A"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Aguilera, R.V., </w:t>
      </w:r>
      <w:proofErr w:type="spellStart"/>
      <w:r w:rsidRPr="008A4950">
        <w:rPr>
          <w:rFonts w:ascii="Times New Roman" w:eastAsia="Times New Roman" w:hAnsi="Times New Roman" w:cs="Times New Roman"/>
          <w:sz w:val="24"/>
          <w:szCs w:val="24"/>
          <w:highlight w:val="white"/>
          <w:lang w:val="en-GB"/>
        </w:rPr>
        <w:t>Marano</w:t>
      </w:r>
      <w:proofErr w:type="spellEnd"/>
      <w:r w:rsidRPr="008A4950">
        <w:rPr>
          <w:rFonts w:ascii="Times New Roman" w:eastAsia="Times New Roman" w:hAnsi="Times New Roman" w:cs="Times New Roman"/>
          <w:sz w:val="24"/>
          <w:szCs w:val="24"/>
          <w:highlight w:val="white"/>
          <w:lang w:val="en-GB"/>
        </w:rPr>
        <w:t xml:space="preserve">, V. and </w:t>
      </w:r>
      <w:proofErr w:type="spellStart"/>
      <w:r w:rsidRPr="008A4950">
        <w:rPr>
          <w:rFonts w:ascii="Times New Roman" w:eastAsia="Times New Roman" w:hAnsi="Times New Roman" w:cs="Times New Roman"/>
          <w:sz w:val="24"/>
          <w:szCs w:val="24"/>
          <w:highlight w:val="white"/>
          <w:lang w:val="en-GB"/>
        </w:rPr>
        <w:t>Haxhi</w:t>
      </w:r>
      <w:proofErr w:type="spellEnd"/>
      <w:r w:rsidRPr="008A4950">
        <w:rPr>
          <w:rFonts w:ascii="Times New Roman" w:eastAsia="Times New Roman" w:hAnsi="Times New Roman" w:cs="Times New Roman"/>
          <w:sz w:val="24"/>
          <w:szCs w:val="24"/>
          <w:highlight w:val="white"/>
          <w:lang w:val="en-GB"/>
        </w:rPr>
        <w:t xml:space="preserve">, I., (2019). International corporate governance: A review and opportunities for future research. </w:t>
      </w:r>
      <w:r w:rsidRPr="008A4950">
        <w:rPr>
          <w:rFonts w:ascii="Times New Roman" w:eastAsia="Times New Roman" w:hAnsi="Times New Roman" w:cs="Times New Roman"/>
          <w:i/>
          <w:sz w:val="24"/>
          <w:szCs w:val="24"/>
          <w:lang w:val="en-GB"/>
        </w:rPr>
        <w:t>Journal of International Business Studies</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50</w:t>
      </w:r>
      <w:r w:rsidRPr="008A4950">
        <w:rPr>
          <w:rFonts w:ascii="Times New Roman" w:eastAsia="Times New Roman" w:hAnsi="Times New Roman" w:cs="Times New Roman"/>
          <w:sz w:val="24"/>
          <w:szCs w:val="24"/>
          <w:lang w:val="en-GB"/>
        </w:rPr>
        <w:t>, pp.457-498.</w:t>
      </w:r>
    </w:p>
    <w:p w14:paraId="45ACB8E0"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Chan, T.H., Boo, H.L. and Ali, R., (2021). Dividend </w:t>
      </w:r>
      <w:proofErr w:type="spellStart"/>
      <w:r w:rsidRPr="008A4950">
        <w:rPr>
          <w:rFonts w:ascii="Times New Roman" w:eastAsia="Times New Roman" w:hAnsi="Times New Roman" w:cs="Times New Roman"/>
          <w:sz w:val="24"/>
          <w:szCs w:val="24"/>
          <w:highlight w:val="white"/>
          <w:lang w:val="en-GB"/>
        </w:rPr>
        <w:t>Payout</w:t>
      </w:r>
      <w:proofErr w:type="spellEnd"/>
      <w:r w:rsidRPr="008A4950">
        <w:rPr>
          <w:rFonts w:ascii="Times New Roman" w:eastAsia="Times New Roman" w:hAnsi="Times New Roman" w:cs="Times New Roman"/>
          <w:sz w:val="24"/>
          <w:szCs w:val="24"/>
          <w:highlight w:val="white"/>
          <w:lang w:val="en-GB"/>
        </w:rPr>
        <w:t xml:space="preserve"> Policy and Global Financial Crisis: A Study on Malaysian Non-Financial Listed Companies. </w:t>
      </w:r>
      <w:r w:rsidRPr="008A4950">
        <w:rPr>
          <w:rFonts w:ascii="Times New Roman" w:eastAsia="Times New Roman" w:hAnsi="Times New Roman" w:cs="Times New Roman"/>
          <w:i/>
          <w:sz w:val="24"/>
          <w:szCs w:val="24"/>
          <w:lang w:val="en-GB"/>
        </w:rPr>
        <w:t>Asian Journal of Business and Accounting</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14</w:t>
      </w:r>
      <w:r w:rsidRPr="008A4950">
        <w:rPr>
          <w:rFonts w:ascii="Times New Roman" w:eastAsia="Times New Roman" w:hAnsi="Times New Roman" w:cs="Times New Roman"/>
          <w:sz w:val="24"/>
          <w:szCs w:val="24"/>
          <w:lang w:val="en-GB"/>
        </w:rPr>
        <w:t>(1), pp.145-170.</w:t>
      </w:r>
    </w:p>
    <w:p w14:paraId="0E3D3DAC"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Cooke, F.L., Liu, M., Liu, L.A. and Chen, C.C., (2019). Human resource management and industrial relations in multinational corporations in and from China: Challenges and new insights. </w:t>
      </w:r>
      <w:r w:rsidRPr="008A4950">
        <w:rPr>
          <w:rFonts w:ascii="Times New Roman" w:eastAsia="Times New Roman" w:hAnsi="Times New Roman" w:cs="Times New Roman"/>
          <w:i/>
          <w:sz w:val="24"/>
          <w:szCs w:val="24"/>
          <w:lang w:val="en-GB"/>
        </w:rPr>
        <w:t>Human Resource Management</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58</w:t>
      </w:r>
      <w:r w:rsidRPr="008A4950">
        <w:rPr>
          <w:rFonts w:ascii="Times New Roman" w:eastAsia="Times New Roman" w:hAnsi="Times New Roman" w:cs="Times New Roman"/>
          <w:sz w:val="24"/>
          <w:szCs w:val="24"/>
          <w:lang w:val="en-GB"/>
        </w:rPr>
        <w:t>(5), pp.455-471.</w:t>
      </w:r>
    </w:p>
    <w:p w14:paraId="5E73B039"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Cooper, M. and Nguyen, Q.T., (2020). Multinational enterprises and corporate tax planning: A review of literature and suggestions for a future research agenda. </w:t>
      </w:r>
      <w:r w:rsidRPr="008A4950">
        <w:rPr>
          <w:rFonts w:ascii="Times New Roman" w:eastAsia="Times New Roman" w:hAnsi="Times New Roman" w:cs="Times New Roman"/>
          <w:i/>
          <w:sz w:val="24"/>
          <w:szCs w:val="24"/>
          <w:lang w:val="en-GB"/>
        </w:rPr>
        <w:t>International Business Review</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29</w:t>
      </w:r>
      <w:r w:rsidRPr="008A4950">
        <w:rPr>
          <w:rFonts w:ascii="Times New Roman" w:eastAsia="Times New Roman" w:hAnsi="Times New Roman" w:cs="Times New Roman"/>
          <w:sz w:val="24"/>
          <w:szCs w:val="24"/>
          <w:lang w:val="en-GB"/>
        </w:rPr>
        <w:t>(3), p.101692.</w:t>
      </w:r>
    </w:p>
    <w:p w14:paraId="173C5227"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Froese, F.J., Shen, J., Sekiguchi, T. and Davies, S., (2020). Liability of </w:t>
      </w:r>
      <w:proofErr w:type="spellStart"/>
      <w:r w:rsidRPr="008A4950">
        <w:rPr>
          <w:rFonts w:ascii="Times New Roman" w:eastAsia="Times New Roman" w:hAnsi="Times New Roman" w:cs="Times New Roman"/>
          <w:sz w:val="24"/>
          <w:szCs w:val="24"/>
          <w:highlight w:val="white"/>
          <w:lang w:val="en-GB"/>
        </w:rPr>
        <w:t>Asianness</w:t>
      </w:r>
      <w:proofErr w:type="spellEnd"/>
      <w:r w:rsidRPr="008A4950">
        <w:rPr>
          <w:rFonts w:ascii="Times New Roman" w:eastAsia="Times New Roman" w:hAnsi="Times New Roman" w:cs="Times New Roman"/>
          <w:sz w:val="24"/>
          <w:szCs w:val="24"/>
          <w:highlight w:val="white"/>
          <w:lang w:val="en-GB"/>
        </w:rPr>
        <w:t xml:space="preserve">? Global talent management challenges of Chinese, Japanese, and Korean multinationals. </w:t>
      </w:r>
      <w:r w:rsidRPr="008A4950">
        <w:rPr>
          <w:rFonts w:ascii="Times New Roman" w:eastAsia="Times New Roman" w:hAnsi="Times New Roman" w:cs="Times New Roman"/>
          <w:i/>
          <w:sz w:val="24"/>
          <w:szCs w:val="24"/>
          <w:lang w:val="en-GB"/>
        </w:rPr>
        <w:t>Human Resource Management Review</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30</w:t>
      </w:r>
      <w:r w:rsidRPr="008A4950">
        <w:rPr>
          <w:rFonts w:ascii="Times New Roman" w:eastAsia="Times New Roman" w:hAnsi="Times New Roman" w:cs="Times New Roman"/>
          <w:sz w:val="24"/>
          <w:szCs w:val="24"/>
          <w:lang w:val="en-GB"/>
        </w:rPr>
        <w:t>(4), p.100776.</w:t>
      </w:r>
    </w:p>
    <w:p w14:paraId="002854AD"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highlight w:val="white"/>
          <w:lang w:val="en-GB"/>
        </w:rPr>
      </w:pPr>
      <w:r w:rsidRPr="008A4950">
        <w:rPr>
          <w:rFonts w:ascii="Times New Roman" w:eastAsia="Times New Roman" w:hAnsi="Times New Roman" w:cs="Times New Roman"/>
          <w:sz w:val="24"/>
          <w:szCs w:val="24"/>
          <w:highlight w:val="white"/>
          <w:lang w:val="en-GB"/>
        </w:rPr>
        <w:t xml:space="preserve">HSBC (2023). </w:t>
      </w:r>
      <w:r w:rsidRPr="008A4950">
        <w:rPr>
          <w:rFonts w:ascii="Times New Roman" w:eastAsia="Times New Roman" w:hAnsi="Times New Roman" w:cs="Times New Roman"/>
          <w:i/>
          <w:sz w:val="24"/>
          <w:szCs w:val="24"/>
          <w:highlight w:val="white"/>
          <w:lang w:val="en-GB"/>
        </w:rPr>
        <w:t>Who We Are</w:t>
      </w:r>
      <w:r w:rsidRPr="008A4950">
        <w:rPr>
          <w:rFonts w:ascii="Times New Roman" w:eastAsia="Times New Roman" w:hAnsi="Times New Roman" w:cs="Times New Roman"/>
          <w:sz w:val="24"/>
          <w:szCs w:val="24"/>
          <w:highlight w:val="white"/>
          <w:lang w:val="en-GB"/>
        </w:rPr>
        <w:t>. Available at</w:t>
      </w:r>
      <w:hyperlink r:id="rId9">
        <w:r w:rsidRPr="008A4950">
          <w:rPr>
            <w:rFonts w:ascii="Times New Roman" w:eastAsia="Times New Roman" w:hAnsi="Times New Roman" w:cs="Times New Roman"/>
            <w:sz w:val="24"/>
            <w:szCs w:val="24"/>
            <w:highlight w:val="white"/>
            <w:lang w:val="en-GB"/>
          </w:rPr>
          <w:t xml:space="preserve"> https://www.hsbc.com/</w:t>
        </w:r>
      </w:hyperlink>
      <w:r w:rsidRPr="008A4950">
        <w:rPr>
          <w:rFonts w:ascii="Times New Roman" w:eastAsia="Times New Roman" w:hAnsi="Times New Roman" w:cs="Times New Roman"/>
          <w:sz w:val="24"/>
          <w:szCs w:val="24"/>
          <w:highlight w:val="white"/>
          <w:lang w:val="en-GB"/>
        </w:rPr>
        <w:t xml:space="preserve"> [Accessed on 26 March 2023]</w:t>
      </w:r>
    </w:p>
    <w:p w14:paraId="26450E4C"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Jaiswal, A., Arun, C.J. and Varma, A., (2022). Rebooting employees: Upskilling for artificial intelligence in multinational corporations. </w:t>
      </w:r>
      <w:r w:rsidRPr="008A4950">
        <w:rPr>
          <w:rFonts w:ascii="Times New Roman" w:eastAsia="Times New Roman" w:hAnsi="Times New Roman" w:cs="Times New Roman"/>
          <w:i/>
          <w:sz w:val="24"/>
          <w:szCs w:val="24"/>
          <w:lang w:val="en-GB"/>
        </w:rPr>
        <w:t>The International Journal of Human Resource Management</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33</w:t>
      </w:r>
      <w:r w:rsidRPr="008A4950">
        <w:rPr>
          <w:rFonts w:ascii="Times New Roman" w:eastAsia="Times New Roman" w:hAnsi="Times New Roman" w:cs="Times New Roman"/>
          <w:sz w:val="24"/>
          <w:szCs w:val="24"/>
          <w:lang w:val="en-GB"/>
        </w:rPr>
        <w:t>(6), pp.1179-1208.</w:t>
      </w:r>
    </w:p>
    <w:p w14:paraId="42423BD9"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A4950">
        <w:rPr>
          <w:rFonts w:ascii="Times New Roman" w:eastAsia="Times New Roman" w:hAnsi="Times New Roman" w:cs="Times New Roman"/>
          <w:sz w:val="24"/>
          <w:szCs w:val="24"/>
          <w:highlight w:val="white"/>
          <w:lang w:val="en-GB"/>
        </w:rPr>
        <w:t>Jawaad</w:t>
      </w:r>
      <w:proofErr w:type="spellEnd"/>
      <w:r w:rsidRPr="008A4950">
        <w:rPr>
          <w:rFonts w:ascii="Times New Roman" w:eastAsia="Times New Roman" w:hAnsi="Times New Roman" w:cs="Times New Roman"/>
          <w:sz w:val="24"/>
          <w:szCs w:val="24"/>
          <w:highlight w:val="white"/>
          <w:lang w:val="en-GB"/>
        </w:rPr>
        <w:t xml:space="preserve">, M., Amir, A., Bashir, A. and Hasan, T., (2019). Human resource practices and organizational commitment: The mediating role of job satisfaction in emerging economy. </w:t>
      </w:r>
      <w:r w:rsidRPr="008A4950">
        <w:rPr>
          <w:rFonts w:ascii="Times New Roman" w:eastAsia="Times New Roman" w:hAnsi="Times New Roman" w:cs="Times New Roman"/>
          <w:i/>
          <w:sz w:val="24"/>
          <w:szCs w:val="24"/>
          <w:lang w:val="en-GB"/>
        </w:rPr>
        <w:t>Cogent Business &amp; Management</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6</w:t>
      </w:r>
      <w:r w:rsidRPr="008A4950">
        <w:rPr>
          <w:rFonts w:ascii="Times New Roman" w:eastAsia="Times New Roman" w:hAnsi="Times New Roman" w:cs="Times New Roman"/>
          <w:sz w:val="24"/>
          <w:szCs w:val="24"/>
          <w:lang w:val="en-GB"/>
        </w:rPr>
        <w:t>(1), p.1608668.</w:t>
      </w:r>
    </w:p>
    <w:p w14:paraId="01FECB94"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Le, T.T.H., Nguyen, X.H. and Tran, M.D., (2019). Determinants of dividend </w:t>
      </w:r>
      <w:proofErr w:type="spellStart"/>
      <w:r w:rsidRPr="008A4950">
        <w:rPr>
          <w:rFonts w:ascii="Times New Roman" w:eastAsia="Times New Roman" w:hAnsi="Times New Roman" w:cs="Times New Roman"/>
          <w:sz w:val="24"/>
          <w:szCs w:val="24"/>
          <w:highlight w:val="white"/>
          <w:lang w:val="en-GB"/>
        </w:rPr>
        <w:t>payout</w:t>
      </w:r>
      <w:proofErr w:type="spellEnd"/>
      <w:r w:rsidRPr="008A4950">
        <w:rPr>
          <w:rFonts w:ascii="Times New Roman" w:eastAsia="Times New Roman" w:hAnsi="Times New Roman" w:cs="Times New Roman"/>
          <w:sz w:val="24"/>
          <w:szCs w:val="24"/>
          <w:highlight w:val="white"/>
          <w:lang w:val="en-GB"/>
        </w:rPr>
        <w:t xml:space="preserve"> policy in emerging markets: Evidence from the ASEAN region. </w:t>
      </w:r>
      <w:r w:rsidRPr="008A4950">
        <w:rPr>
          <w:rFonts w:ascii="Times New Roman" w:eastAsia="Times New Roman" w:hAnsi="Times New Roman" w:cs="Times New Roman"/>
          <w:i/>
          <w:sz w:val="24"/>
          <w:szCs w:val="24"/>
          <w:lang w:val="en-GB"/>
        </w:rPr>
        <w:t>Asian Economic and Financial Review</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9</w:t>
      </w:r>
      <w:r w:rsidRPr="008A4950">
        <w:rPr>
          <w:rFonts w:ascii="Times New Roman" w:eastAsia="Times New Roman" w:hAnsi="Times New Roman" w:cs="Times New Roman"/>
          <w:sz w:val="24"/>
          <w:szCs w:val="24"/>
          <w:lang w:val="en-GB"/>
        </w:rPr>
        <w:t>(4), pp.531-546.</w:t>
      </w:r>
    </w:p>
    <w:p w14:paraId="26D494C7"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Madura, J., (2020). </w:t>
      </w:r>
      <w:r w:rsidRPr="008A4950">
        <w:rPr>
          <w:rFonts w:ascii="Times New Roman" w:eastAsia="Times New Roman" w:hAnsi="Times New Roman" w:cs="Times New Roman"/>
          <w:i/>
          <w:sz w:val="24"/>
          <w:szCs w:val="24"/>
          <w:lang w:val="en-GB"/>
        </w:rPr>
        <w:t>International financial management</w:t>
      </w:r>
      <w:r w:rsidRPr="008A4950">
        <w:rPr>
          <w:rFonts w:ascii="Times New Roman" w:eastAsia="Times New Roman" w:hAnsi="Times New Roman" w:cs="Times New Roman"/>
          <w:sz w:val="24"/>
          <w:szCs w:val="24"/>
          <w:lang w:val="en-GB"/>
        </w:rPr>
        <w:t>. Cengage Learning.</w:t>
      </w:r>
    </w:p>
    <w:p w14:paraId="445C6FFC"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lastRenderedPageBreak/>
        <w:t xml:space="preserve">Mees-Buss, J., Welch, C. and </w:t>
      </w:r>
      <w:proofErr w:type="spellStart"/>
      <w:r w:rsidRPr="008A4950">
        <w:rPr>
          <w:rFonts w:ascii="Times New Roman" w:eastAsia="Times New Roman" w:hAnsi="Times New Roman" w:cs="Times New Roman"/>
          <w:sz w:val="24"/>
          <w:szCs w:val="24"/>
          <w:highlight w:val="white"/>
          <w:lang w:val="en-GB"/>
        </w:rPr>
        <w:t>Westney</w:t>
      </w:r>
      <w:proofErr w:type="spellEnd"/>
      <w:r w:rsidRPr="008A4950">
        <w:rPr>
          <w:rFonts w:ascii="Times New Roman" w:eastAsia="Times New Roman" w:hAnsi="Times New Roman" w:cs="Times New Roman"/>
          <w:sz w:val="24"/>
          <w:szCs w:val="24"/>
          <w:highlight w:val="white"/>
          <w:lang w:val="en-GB"/>
        </w:rPr>
        <w:t xml:space="preserve">, D.E., (2019). What happened to the transnational? The emergence of the neo-global corporation. </w:t>
      </w:r>
      <w:r w:rsidRPr="008A4950">
        <w:rPr>
          <w:rFonts w:ascii="Times New Roman" w:eastAsia="Times New Roman" w:hAnsi="Times New Roman" w:cs="Times New Roman"/>
          <w:i/>
          <w:sz w:val="24"/>
          <w:szCs w:val="24"/>
          <w:lang w:val="en-GB"/>
        </w:rPr>
        <w:t>Journal of International Business Studies</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50</w:t>
      </w:r>
      <w:r w:rsidRPr="008A4950">
        <w:rPr>
          <w:rFonts w:ascii="Times New Roman" w:eastAsia="Times New Roman" w:hAnsi="Times New Roman" w:cs="Times New Roman"/>
          <w:sz w:val="24"/>
          <w:szCs w:val="24"/>
          <w:lang w:val="en-GB"/>
        </w:rPr>
        <w:t>, pp.1513-1543.</w:t>
      </w:r>
    </w:p>
    <w:p w14:paraId="2940F149"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Paul, J. and Mas, E., (2020). Toward a 7-P framework for international marketing. </w:t>
      </w:r>
      <w:r w:rsidRPr="008A4950">
        <w:rPr>
          <w:rFonts w:ascii="Times New Roman" w:eastAsia="Times New Roman" w:hAnsi="Times New Roman" w:cs="Times New Roman"/>
          <w:i/>
          <w:sz w:val="24"/>
          <w:szCs w:val="24"/>
          <w:lang w:val="en-GB"/>
        </w:rPr>
        <w:t>Journal of Strategic Marketing</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28</w:t>
      </w:r>
      <w:r w:rsidRPr="008A4950">
        <w:rPr>
          <w:rFonts w:ascii="Times New Roman" w:eastAsia="Times New Roman" w:hAnsi="Times New Roman" w:cs="Times New Roman"/>
          <w:sz w:val="24"/>
          <w:szCs w:val="24"/>
          <w:lang w:val="en-GB"/>
        </w:rPr>
        <w:t>(8), pp.681-701.</w:t>
      </w:r>
    </w:p>
    <w:p w14:paraId="3B755616"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A4950">
        <w:rPr>
          <w:rFonts w:ascii="Times New Roman" w:eastAsia="Times New Roman" w:hAnsi="Times New Roman" w:cs="Times New Roman"/>
          <w:sz w:val="24"/>
          <w:szCs w:val="24"/>
          <w:highlight w:val="white"/>
          <w:lang w:val="en-GB"/>
        </w:rPr>
        <w:t>Shahwan</w:t>
      </w:r>
      <w:proofErr w:type="spellEnd"/>
      <w:r w:rsidRPr="008A4950">
        <w:rPr>
          <w:rFonts w:ascii="Times New Roman" w:eastAsia="Times New Roman" w:hAnsi="Times New Roman" w:cs="Times New Roman"/>
          <w:sz w:val="24"/>
          <w:szCs w:val="24"/>
          <w:highlight w:val="white"/>
          <w:lang w:val="en-GB"/>
        </w:rPr>
        <w:t xml:space="preserve">, Y. and </w:t>
      </w:r>
      <w:proofErr w:type="spellStart"/>
      <w:r w:rsidRPr="008A4950">
        <w:rPr>
          <w:rFonts w:ascii="Times New Roman" w:eastAsia="Times New Roman" w:hAnsi="Times New Roman" w:cs="Times New Roman"/>
          <w:sz w:val="24"/>
          <w:szCs w:val="24"/>
          <w:highlight w:val="white"/>
          <w:lang w:val="en-GB"/>
        </w:rPr>
        <w:t>Almubaydeen</w:t>
      </w:r>
      <w:proofErr w:type="spellEnd"/>
      <w:r w:rsidRPr="008A4950">
        <w:rPr>
          <w:rFonts w:ascii="Times New Roman" w:eastAsia="Times New Roman" w:hAnsi="Times New Roman" w:cs="Times New Roman"/>
          <w:sz w:val="24"/>
          <w:szCs w:val="24"/>
          <w:highlight w:val="white"/>
          <w:lang w:val="en-GB"/>
        </w:rPr>
        <w:t xml:space="preserve">, T.H., (2020). Effects of board size, board composition and dividend policy on real earnings management in the Jordanian listed industrial firms. </w:t>
      </w:r>
      <w:r w:rsidRPr="008A4950">
        <w:rPr>
          <w:rFonts w:ascii="Times New Roman" w:eastAsia="Times New Roman" w:hAnsi="Times New Roman" w:cs="Times New Roman"/>
          <w:i/>
          <w:sz w:val="24"/>
          <w:szCs w:val="24"/>
          <w:lang w:val="en-GB"/>
        </w:rPr>
        <w:t>International Journal of Financial Research</w:t>
      </w:r>
      <w:r w:rsidRPr="008A4950">
        <w:rPr>
          <w:rFonts w:ascii="Times New Roman" w:eastAsia="Times New Roman" w:hAnsi="Times New Roman" w:cs="Times New Roman"/>
          <w:sz w:val="24"/>
          <w:szCs w:val="24"/>
          <w:lang w:val="en-GB"/>
        </w:rPr>
        <w:t xml:space="preserve">, </w:t>
      </w:r>
      <w:r w:rsidRPr="008A4950">
        <w:rPr>
          <w:rFonts w:ascii="Times New Roman" w:eastAsia="Times New Roman" w:hAnsi="Times New Roman" w:cs="Times New Roman"/>
          <w:i/>
          <w:sz w:val="24"/>
          <w:szCs w:val="24"/>
          <w:lang w:val="en-GB"/>
        </w:rPr>
        <w:t>11</w:t>
      </w:r>
      <w:r w:rsidRPr="008A4950">
        <w:rPr>
          <w:rFonts w:ascii="Times New Roman" w:eastAsia="Times New Roman" w:hAnsi="Times New Roman" w:cs="Times New Roman"/>
          <w:sz w:val="24"/>
          <w:szCs w:val="24"/>
          <w:lang w:val="en-GB"/>
        </w:rPr>
        <w:t>(4), pp.195-202.</w:t>
      </w:r>
    </w:p>
    <w:p w14:paraId="1F74584B" w14:textId="77777777" w:rsidR="00CB73B1" w:rsidRPr="008A4950" w:rsidRDefault="00CB73B1" w:rsidP="00712B6F">
      <w:pPr>
        <w:pStyle w:val="Normal1"/>
        <w:spacing w:before="240" w:after="240" w:line="360" w:lineRule="auto"/>
        <w:jc w:val="both"/>
        <w:rPr>
          <w:rFonts w:ascii="Times New Roman" w:eastAsia="Times New Roman" w:hAnsi="Times New Roman" w:cs="Times New Roman"/>
          <w:sz w:val="24"/>
          <w:szCs w:val="24"/>
          <w:lang w:val="en-GB"/>
        </w:rPr>
      </w:pPr>
      <w:r w:rsidRPr="008A4950">
        <w:rPr>
          <w:rFonts w:ascii="Times New Roman" w:eastAsia="Times New Roman" w:hAnsi="Times New Roman" w:cs="Times New Roman"/>
          <w:sz w:val="24"/>
          <w:szCs w:val="24"/>
          <w:highlight w:val="white"/>
          <w:lang w:val="en-GB"/>
        </w:rPr>
        <w:t xml:space="preserve">Shapiro, A.C. and </w:t>
      </w:r>
      <w:proofErr w:type="spellStart"/>
      <w:r w:rsidRPr="008A4950">
        <w:rPr>
          <w:rFonts w:ascii="Times New Roman" w:eastAsia="Times New Roman" w:hAnsi="Times New Roman" w:cs="Times New Roman"/>
          <w:sz w:val="24"/>
          <w:szCs w:val="24"/>
          <w:highlight w:val="white"/>
          <w:lang w:val="en-GB"/>
        </w:rPr>
        <w:t>Hanouna</w:t>
      </w:r>
      <w:proofErr w:type="spellEnd"/>
      <w:r w:rsidRPr="008A4950">
        <w:rPr>
          <w:rFonts w:ascii="Times New Roman" w:eastAsia="Times New Roman" w:hAnsi="Times New Roman" w:cs="Times New Roman"/>
          <w:sz w:val="24"/>
          <w:szCs w:val="24"/>
          <w:highlight w:val="white"/>
          <w:lang w:val="en-GB"/>
        </w:rPr>
        <w:t xml:space="preserve">, P., (2019). </w:t>
      </w:r>
      <w:r w:rsidRPr="008A4950">
        <w:rPr>
          <w:rFonts w:ascii="Times New Roman" w:eastAsia="Times New Roman" w:hAnsi="Times New Roman" w:cs="Times New Roman"/>
          <w:i/>
          <w:sz w:val="24"/>
          <w:szCs w:val="24"/>
          <w:lang w:val="en-GB"/>
        </w:rPr>
        <w:t>Multinational financial management</w:t>
      </w:r>
      <w:r w:rsidRPr="008A4950">
        <w:rPr>
          <w:rFonts w:ascii="Times New Roman" w:eastAsia="Times New Roman" w:hAnsi="Times New Roman" w:cs="Times New Roman"/>
          <w:sz w:val="24"/>
          <w:szCs w:val="24"/>
          <w:lang w:val="en-GB"/>
        </w:rPr>
        <w:t>. John Wiley &amp; Sons.</w:t>
      </w:r>
    </w:p>
    <w:p w14:paraId="4D6C07F7" w14:textId="77777777" w:rsidR="009315B4" w:rsidRPr="008A4950" w:rsidRDefault="009315B4" w:rsidP="00712B6F">
      <w:pPr>
        <w:pStyle w:val="Normal1"/>
        <w:spacing w:before="240" w:after="240" w:line="360" w:lineRule="auto"/>
        <w:jc w:val="both"/>
        <w:rPr>
          <w:rFonts w:ascii="Times New Roman" w:eastAsia="Times New Roman" w:hAnsi="Times New Roman" w:cs="Times New Roman"/>
          <w:sz w:val="24"/>
          <w:szCs w:val="24"/>
          <w:lang w:val="en-GB"/>
        </w:rPr>
      </w:pPr>
    </w:p>
    <w:p w14:paraId="447A7CF3" w14:textId="77777777" w:rsidR="009315B4" w:rsidRPr="008A4950" w:rsidRDefault="009315B4" w:rsidP="00712B6F">
      <w:pPr>
        <w:pStyle w:val="Normal1"/>
        <w:spacing w:before="240" w:after="240" w:line="360" w:lineRule="auto"/>
        <w:jc w:val="both"/>
        <w:rPr>
          <w:rFonts w:ascii="Times New Roman" w:eastAsia="Times New Roman" w:hAnsi="Times New Roman" w:cs="Times New Roman"/>
          <w:b/>
          <w:sz w:val="24"/>
          <w:szCs w:val="24"/>
          <w:lang w:val="en-GB"/>
        </w:rPr>
      </w:pPr>
    </w:p>
    <w:sectPr w:rsidR="009315B4" w:rsidRPr="008A4950">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AE03A" w14:textId="77777777" w:rsidR="00FA710E" w:rsidRDefault="00FA710E" w:rsidP="00D57458">
      <w:pPr>
        <w:spacing w:line="240" w:lineRule="auto"/>
      </w:pPr>
      <w:r>
        <w:separator/>
      </w:r>
    </w:p>
  </w:endnote>
  <w:endnote w:type="continuationSeparator" w:id="0">
    <w:p w14:paraId="3203A677" w14:textId="77777777" w:rsidR="00FA710E" w:rsidRDefault="00FA710E" w:rsidP="00D574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089286"/>
      <w:docPartObj>
        <w:docPartGallery w:val="Page Numbers (Bottom of Page)"/>
        <w:docPartUnique/>
      </w:docPartObj>
    </w:sdtPr>
    <w:sdtEndPr>
      <w:rPr>
        <w:rFonts w:asciiTheme="majorBidi" w:hAnsiTheme="majorBidi" w:cstheme="majorBidi"/>
        <w:noProof/>
        <w:color w:val="000000" w:themeColor="text1"/>
        <w:sz w:val="20"/>
        <w:szCs w:val="20"/>
      </w:rPr>
    </w:sdtEndPr>
    <w:sdtContent>
      <w:p w14:paraId="7B367C2A" w14:textId="77777777" w:rsidR="00D57458" w:rsidRPr="00D57458" w:rsidRDefault="00D57458">
        <w:pPr>
          <w:pStyle w:val="Footer"/>
          <w:jc w:val="right"/>
          <w:rPr>
            <w:rFonts w:asciiTheme="majorBidi" w:hAnsiTheme="majorBidi" w:cstheme="majorBidi"/>
            <w:color w:val="000000" w:themeColor="text1"/>
            <w:sz w:val="20"/>
            <w:szCs w:val="20"/>
          </w:rPr>
        </w:pPr>
        <w:r w:rsidRPr="00D57458">
          <w:rPr>
            <w:rFonts w:asciiTheme="majorBidi" w:hAnsiTheme="majorBidi" w:cstheme="majorBidi"/>
            <w:color w:val="000000" w:themeColor="text1"/>
            <w:sz w:val="20"/>
            <w:szCs w:val="20"/>
          </w:rPr>
          <w:fldChar w:fldCharType="begin"/>
        </w:r>
        <w:r w:rsidRPr="00D57458">
          <w:rPr>
            <w:rFonts w:asciiTheme="majorBidi" w:hAnsiTheme="majorBidi" w:cstheme="majorBidi"/>
            <w:color w:val="000000" w:themeColor="text1"/>
            <w:sz w:val="20"/>
            <w:szCs w:val="20"/>
          </w:rPr>
          <w:instrText xml:space="preserve"> PAGE   \* MERGEFORMAT </w:instrText>
        </w:r>
        <w:r w:rsidRPr="00D57458">
          <w:rPr>
            <w:rFonts w:asciiTheme="majorBidi" w:hAnsiTheme="majorBidi" w:cstheme="majorBidi"/>
            <w:color w:val="000000" w:themeColor="text1"/>
            <w:sz w:val="20"/>
            <w:szCs w:val="20"/>
          </w:rPr>
          <w:fldChar w:fldCharType="separate"/>
        </w:r>
        <w:r w:rsidRPr="00D57458">
          <w:rPr>
            <w:rFonts w:asciiTheme="majorBidi" w:hAnsiTheme="majorBidi" w:cstheme="majorBidi"/>
            <w:noProof/>
            <w:color w:val="000000" w:themeColor="text1"/>
            <w:sz w:val="20"/>
            <w:szCs w:val="20"/>
          </w:rPr>
          <w:t>2</w:t>
        </w:r>
        <w:r w:rsidRPr="00D57458">
          <w:rPr>
            <w:rFonts w:asciiTheme="majorBidi" w:hAnsiTheme="majorBidi" w:cstheme="majorBidi"/>
            <w:noProof/>
            <w:color w:val="000000" w:themeColor="text1"/>
            <w:sz w:val="20"/>
            <w:szCs w:val="20"/>
          </w:rPr>
          <w:fldChar w:fldCharType="end"/>
        </w:r>
      </w:p>
    </w:sdtContent>
  </w:sdt>
  <w:p w14:paraId="7446537C" w14:textId="77777777" w:rsidR="00D57458" w:rsidRDefault="00D57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23B4D" w14:textId="77777777" w:rsidR="00FA710E" w:rsidRDefault="00FA710E" w:rsidP="00D57458">
      <w:pPr>
        <w:spacing w:line="240" w:lineRule="auto"/>
      </w:pPr>
      <w:r>
        <w:separator/>
      </w:r>
    </w:p>
  </w:footnote>
  <w:footnote w:type="continuationSeparator" w:id="0">
    <w:p w14:paraId="73954318" w14:textId="77777777" w:rsidR="00FA710E" w:rsidRDefault="00FA710E" w:rsidP="00D574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1AA65"/>
    <w:multiLevelType w:val="hybridMultilevel"/>
    <w:tmpl w:val="00000000"/>
    <w:lvl w:ilvl="0" w:tplc="366A01E6">
      <w:start w:val="1"/>
      <w:numFmt w:val="bullet"/>
      <w:lvlText w:val="●"/>
      <w:lvlJc w:val="left"/>
      <w:pPr>
        <w:ind w:left="720" w:hanging="360"/>
      </w:pPr>
      <w:rPr>
        <w:u w:val="none"/>
      </w:rPr>
    </w:lvl>
    <w:lvl w:ilvl="1" w:tplc="1632F080">
      <w:start w:val="1"/>
      <w:numFmt w:val="bullet"/>
      <w:lvlText w:val="○"/>
      <w:lvlJc w:val="left"/>
      <w:pPr>
        <w:ind w:left="1440" w:hanging="360"/>
      </w:pPr>
      <w:rPr>
        <w:u w:val="none"/>
      </w:rPr>
    </w:lvl>
    <w:lvl w:ilvl="2" w:tplc="27B8293C">
      <w:start w:val="1"/>
      <w:numFmt w:val="bullet"/>
      <w:lvlText w:val="■"/>
      <w:lvlJc w:val="left"/>
      <w:pPr>
        <w:ind w:left="2160" w:hanging="360"/>
      </w:pPr>
      <w:rPr>
        <w:u w:val="none"/>
      </w:rPr>
    </w:lvl>
    <w:lvl w:ilvl="3" w:tplc="2CC86FEA">
      <w:start w:val="1"/>
      <w:numFmt w:val="bullet"/>
      <w:lvlText w:val="●"/>
      <w:lvlJc w:val="left"/>
      <w:pPr>
        <w:ind w:left="2880" w:hanging="360"/>
      </w:pPr>
      <w:rPr>
        <w:u w:val="none"/>
      </w:rPr>
    </w:lvl>
    <w:lvl w:ilvl="4" w:tplc="D57C8D50">
      <w:start w:val="1"/>
      <w:numFmt w:val="bullet"/>
      <w:lvlText w:val="○"/>
      <w:lvlJc w:val="left"/>
      <w:pPr>
        <w:ind w:left="3600" w:hanging="360"/>
      </w:pPr>
      <w:rPr>
        <w:u w:val="none"/>
      </w:rPr>
    </w:lvl>
    <w:lvl w:ilvl="5" w:tplc="B7EEA4CC">
      <w:start w:val="1"/>
      <w:numFmt w:val="bullet"/>
      <w:lvlText w:val="■"/>
      <w:lvlJc w:val="left"/>
      <w:pPr>
        <w:ind w:left="4320" w:hanging="360"/>
      </w:pPr>
      <w:rPr>
        <w:u w:val="none"/>
      </w:rPr>
    </w:lvl>
    <w:lvl w:ilvl="6" w:tplc="B37E7892">
      <w:start w:val="1"/>
      <w:numFmt w:val="bullet"/>
      <w:lvlText w:val="●"/>
      <w:lvlJc w:val="left"/>
      <w:pPr>
        <w:ind w:left="5040" w:hanging="360"/>
      </w:pPr>
      <w:rPr>
        <w:u w:val="none"/>
      </w:rPr>
    </w:lvl>
    <w:lvl w:ilvl="7" w:tplc="1A92C60A">
      <w:start w:val="1"/>
      <w:numFmt w:val="bullet"/>
      <w:lvlText w:val="○"/>
      <w:lvlJc w:val="left"/>
      <w:pPr>
        <w:ind w:left="5760" w:hanging="360"/>
      </w:pPr>
      <w:rPr>
        <w:u w:val="none"/>
      </w:rPr>
    </w:lvl>
    <w:lvl w:ilvl="8" w:tplc="1374A300">
      <w:start w:val="1"/>
      <w:numFmt w:val="bullet"/>
      <w:lvlText w:val="■"/>
      <w:lvlJc w:val="left"/>
      <w:pPr>
        <w:ind w:left="6480" w:hanging="360"/>
      </w:pPr>
      <w:rPr>
        <w:u w:val="none"/>
      </w:rPr>
    </w:lvl>
  </w:abstractNum>
  <w:abstractNum w:abstractNumId="1" w15:restartNumberingAfterBreak="0">
    <w:nsid w:val="18DCBAD3"/>
    <w:multiLevelType w:val="hybridMultilevel"/>
    <w:tmpl w:val="00000000"/>
    <w:lvl w:ilvl="0" w:tplc="CD90B7DA">
      <w:start w:val="1"/>
      <w:numFmt w:val="bullet"/>
      <w:lvlText w:val="●"/>
      <w:lvlJc w:val="left"/>
      <w:pPr>
        <w:ind w:left="720" w:hanging="360"/>
      </w:pPr>
      <w:rPr>
        <w:u w:val="none"/>
      </w:rPr>
    </w:lvl>
    <w:lvl w:ilvl="1" w:tplc="BFE2F4E2">
      <w:start w:val="1"/>
      <w:numFmt w:val="bullet"/>
      <w:lvlText w:val="○"/>
      <w:lvlJc w:val="left"/>
      <w:pPr>
        <w:ind w:left="1440" w:hanging="360"/>
      </w:pPr>
      <w:rPr>
        <w:u w:val="none"/>
      </w:rPr>
    </w:lvl>
    <w:lvl w:ilvl="2" w:tplc="36A6FBE0">
      <w:start w:val="1"/>
      <w:numFmt w:val="bullet"/>
      <w:lvlText w:val="■"/>
      <w:lvlJc w:val="left"/>
      <w:pPr>
        <w:ind w:left="2160" w:hanging="360"/>
      </w:pPr>
      <w:rPr>
        <w:u w:val="none"/>
      </w:rPr>
    </w:lvl>
    <w:lvl w:ilvl="3" w:tplc="74BCEF4C">
      <w:start w:val="1"/>
      <w:numFmt w:val="bullet"/>
      <w:lvlText w:val="●"/>
      <w:lvlJc w:val="left"/>
      <w:pPr>
        <w:ind w:left="2880" w:hanging="360"/>
      </w:pPr>
      <w:rPr>
        <w:u w:val="none"/>
      </w:rPr>
    </w:lvl>
    <w:lvl w:ilvl="4" w:tplc="BEAA1BE6">
      <w:start w:val="1"/>
      <w:numFmt w:val="bullet"/>
      <w:lvlText w:val="○"/>
      <w:lvlJc w:val="left"/>
      <w:pPr>
        <w:ind w:left="3600" w:hanging="360"/>
      </w:pPr>
      <w:rPr>
        <w:u w:val="none"/>
      </w:rPr>
    </w:lvl>
    <w:lvl w:ilvl="5" w:tplc="B65A246C">
      <w:start w:val="1"/>
      <w:numFmt w:val="bullet"/>
      <w:lvlText w:val="■"/>
      <w:lvlJc w:val="left"/>
      <w:pPr>
        <w:ind w:left="4320" w:hanging="360"/>
      </w:pPr>
      <w:rPr>
        <w:u w:val="none"/>
      </w:rPr>
    </w:lvl>
    <w:lvl w:ilvl="6" w:tplc="BCF0B5C0">
      <w:start w:val="1"/>
      <w:numFmt w:val="bullet"/>
      <w:lvlText w:val="●"/>
      <w:lvlJc w:val="left"/>
      <w:pPr>
        <w:ind w:left="5040" w:hanging="360"/>
      </w:pPr>
      <w:rPr>
        <w:u w:val="none"/>
      </w:rPr>
    </w:lvl>
    <w:lvl w:ilvl="7" w:tplc="36D876E8">
      <w:start w:val="1"/>
      <w:numFmt w:val="bullet"/>
      <w:lvlText w:val="○"/>
      <w:lvlJc w:val="left"/>
      <w:pPr>
        <w:ind w:left="5760" w:hanging="360"/>
      </w:pPr>
      <w:rPr>
        <w:u w:val="none"/>
      </w:rPr>
    </w:lvl>
    <w:lvl w:ilvl="8" w:tplc="148206EA">
      <w:start w:val="1"/>
      <w:numFmt w:val="bullet"/>
      <w:lvlText w:val="■"/>
      <w:lvlJc w:val="left"/>
      <w:pPr>
        <w:ind w:left="6480" w:hanging="360"/>
      </w:pPr>
      <w:rPr>
        <w:u w:val="none"/>
      </w:rPr>
    </w:lvl>
  </w:abstractNum>
  <w:abstractNum w:abstractNumId="2" w15:restartNumberingAfterBreak="0">
    <w:nsid w:val="2B731371"/>
    <w:multiLevelType w:val="hybridMultilevel"/>
    <w:tmpl w:val="00000000"/>
    <w:lvl w:ilvl="0" w:tplc="B1521D7A">
      <w:start w:val="1"/>
      <w:numFmt w:val="bullet"/>
      <w:lvlText w:val="●"/>
      <w:lvlJc w:val="left"/>
      <w:pPr>
        <w:ind w:left="720" w:hanging="360"/>
      </w:pPr>
      <w:rPr>
        <w:u w:val="none"/>
      </w:rPr>
    </w:lvl>
    <w:lvl w:ilvl="1" w:tplc="5BCAC00C">
      <w:start w:val="1"/>
      <w:numFmt w:val="bullet"/>
      <w:lvlText w:val="○"/>
      <w:lvlJc w:val="left"/>
      <w:pPr>
        <w:ind w:left="1440" w:hanging="360"/>
      </w:pPr>
      <w:rPr>
        <w:u w:val="none"/>
      </w:rPr>
    </w:lvl>
    <w:lvl w:ilvl="2" w:tplc="197E5B60">
      <w:start w:val="1"/>
      <w:numFmt w:val="bullet"/>
      <w:lvlText w:val="■"/>
      <w:lvlJc w:val="left"/>
      <w:pPr>
        <w:ind w:left="2160" w:hanging="360"/>
      </w:pPr>
      <w:rPr>
        <w:u w:val="none"/>
      </w:rPr>
    </w:lvl>
    <w:lvl w:ilvl="3" w:tplc="CCB62156">
      <w:start w:val="1"/>
      <w:numFmt w:val="bullet"/>
      <w:lvlText w:val="●"/>
      <w:lvlJc w:val="left"/>
      <w:pPr>
        <w:ind w:left="2880" w:hanging="360"/>
      </w:pPr>
      <w:rPr>
        <w:u w:val="none"/>
      </w:rPr>
    </w:lvl>
    <w:lvl w:ilvl="4" w:tplc="21BA28C4">
      <w:start w:val="1"/>
      <w:numFmt w:val="bullet"/>
      <w:lvlText w:val="○"/>
      <w:lvlJc w:val="left"/>
      <w:pPr>
        <w:ind w:left="3600" w:hanging="360"/>
      </w:pPr>
      <w:rPr>
        <w:u w:val="none"/>
      </w:rPr>
    </w:lvl>
    <w:lvl w:ilvl="5" w:tplc="377022D8">
      <w:start w:val="1"/>
      <w:numFmt w:val="bullet"/>
      <w:lvlText w:val="■"/>
      <w:lvlJc w:val="left"/>
      <w:pPr>
        <w:ind w:left="4320" w:hanging="360"/>
      </w:pPr>
      <w:rPr>
        <w:u w:val="none"/>
      </w:rPr>
    </w:lvl>
    <w:lvl w:ilvl="6" w:tplc="3A206E76">
      <w:start w:val="1"/>
      <w:numFmt w:val="bullet"/>
      <w:lvlText w:val="●"/>
      <w:lvlJc w:val="left"/>
      <w:pPr>
        <w:ind w:left="5040" w:hanging="360"/>
      </w:pPr>
      <w:rPr>
        <w:u w:val="none"/>
      </w:rPr>
    </w:lvl>
    <w:lvl w:ilvl="7" w:tplc="25767102">
      <w:start w:val="1"/>
      <w:numFmt w:val="bullet"/>
      <w:lvlText w:val="○"/>
      <w:lvlJc w:val="left"/>
      <w:pPr>
        <w:ind w:left="5760" w:hanging="360"/>
      </w:pPr>
      <w:rPr>
        <w:u w:val="none"/>
      </w:rPr>
    </w:lvl>
    <w:lvl w:ilvl="8" w:tplc="D40A1C34">
      <w:start w:val="1"/>
      <w:numFmt w:val="bullet"/>
      <w:lvlText w:val="■"/>
      <w:lvlJc w:val="left"/>
      <w:pPr>
        <w:ind w:left="6480" w:hanging="360"/>
      </w:pPr>
      <w:rPr>
        <w:u w:val="none"/>
      </w:rPr>
    </w:lvl>
  </w:abstractNum>
  <w:abstractNum w:abstractNumId="3" w15:restartNumberingAfterBreak="0">
    <w:nsid w:val="2C1FE391"/>
    <w:multiLevelType w:val="hybridMultilevel"/>
    <w:tmpl w:val="00000000"/>
    <w:lvl w:ilvl="0" w:tplc="0E264C40">
      <w:start w:val="1"/>
      <w:numFmt w:val="bullet"/>
      <w:lvlText w:val="●"/>
      <w:lvlJc w:val="left"/>
      <w:pPr>
        <w:ind w:left="720" w:hanging="360"/>
      </w:pPr>
      <w:rPr>
        <w:u w:val="none"/>
      </w:rPr>
    </w:lvl>
    <w:lvl w:ilvl="1" w:tplc="B1024A2C">
      <w:start w:val="1"/>
      <w:numFmt w:val="bullet"/>
      <w:lvlText w:val="○"/>
      <w:lvlJc w:val="left"/>
      <w:pPr>
        <w:ind w:left="1440" w:hanging="360"/>
      </w:pPr>
      <w:rPr>
        <w:u w:val="none"/>
      </w:rPr>
    </w:lvl>
    <w:lvl w:ilvl="2" w:tplc="FF38A69E">
      <w:start w:val="1"/>
      <w:numFmt w:val="bullet"/>
      <w:lvlText w:val="■"/>
      <w:lvlJc w:val="left"/>
      <w:pPr>
        <w:ind w:left="2160" w:hanging="360"/>
      </w:pPr>
      <w:rPr>
        <w:u w:val="none"/>
      </w:rPr>
    </w:lvl>
    <w:lvl w:ilvl="3" w:tplc="9C283FBA">
      <w:start w:val="1"/>
      <w:numFmt w:val="bullet"/>
      <w:lvlText w:val="●"/>
      <w:lvlJc w:val="left"/>
      <w:pPr>
        <w:ind w:left="2880" w:hanging="360"/>
      </w:pPr>
      <w:rPr>
        <w:u w:val="none"/>
      </w:rPr>
    </w:lvl>
    <w:lvl w:ilvl="4" w:tplc="2D44F88C">
      <w:start w:val="1"/>
      <w:numFmt w:val="bullet"/>
      <w:lvlText w:val="○"/>
      <w:lvlJc w:val="left"/>
      <w:pPr>
        <w:ind w:left="3600" w:hanging="360"/>
      </w:pPr>
      <w:rPr>
        <w:u w:val="none"/>
      </w:rPr>
    </w:lvl>
    <w:lvl w:ilvl="5" w:tplc="A3EE8D80">
      <w:start w:val="1"/>
      <w:numFmt w:val="bullet"/>
      <w:lvlText w:val="■"/>
      <w:lvlJc w:val="left"/>
      <w:pPr>
        <w:ind w:left="4320" w:hanging="360"/>
      </w:pPr>
      <w:rPr>
        <w:u w:val="none"/>
      </w:rPr>
    </w:lvl>
    <w:lvl w:ilvl="6" w:tplc="0E6A7778">
      <w:start w:val="1"/>
      <w:numFmt w:val="bullet"/>
      <w:lvlText w:val="●"/>
      <w:lvlJc w:val="left"/>
      <w:pPr>
        <w:ind w:left="5040" w:hanging="360"/>
      </w:pPr>
      <w:rPr>
        <w:u w:val="none"/>
      </w:rPr>
    </w:lvl>
    <w:lvl w:ilvl="7" w:tplc="A46C4448">
      <w:start w:val="1"/>
      <w:numFmt w:val="bullet"/>
      <w:lvlText w:val="○"/>
      <w:lvlJc w:val="left"/>
      <w:pPr>
        <w:ind w:left="5760" w:hanging="360"/>
      </w:pPr>
      <w:rPr>
        <w:u w:val="none"/>
      </w:rPr>
    </w:lvl>
    <w:lvl w:ilvl="8" w:tplc="C986CF3A">
      <w:start w:val="1"/>
      <w:numFmt w:val="bullet"/>
      <w:lvlText w:val="■"/>
      <w:lvlJc w:val="left"/>
      <w:pPr>
        <w:ind w:left="6480" w:hanging="360"/>
      </w:pPr>
      <w:rPr>
        <w:u w:val="none"/>
      </w:rPr>
    </w:lvl>
  </w:abstractNum>
  <w:abstractNum w:abstractNumId="4" w15:restartNumberingAfterBreak="0">
    <w:nsid w:val="3BD69D6F"/>
    <w:multiLevelType w:val="hybridMultilevel"/>
    <w:tmpl w:val="00000000"/>
    <w:lvl w:ilvl="0" w:tplc="3CE0E816">
      <w:start w:val="1"/>
      <w:numFmt w:val="bullet"/>
      <w:lvlText w:val="●"/>
      <w:lvlJc w:val="left"/>
      <w:pPr>
        <w:ind w:left="720" w:hanging="360"/>
      </w:pPr>
      <w:rPr>
        <w:u w:val="none"/>
      </w:rPr>
    </w:lvl>
    <w:lvl w:ilvl="1" w:tplc="5BE6FA4C">
      <w:start w:val="1"/>
      <w:numFmt w:val="bullet"/>
      <w:lvlText w:val="○"/>
      <w:lvlJc w:val="left"/>
      <w:pPr>
        <w:ind w:left="1440" w:hanging="360"/>
      </w:pPr>
      <w:rPr>
        <w:u w:val="none"/>
      </w:rPr>
    </w:lvl>
    <w:lvl w:ilvl="2" w:tplc="E68AD1DE">
      <w:start w:val="1"/>
      <w:numFmt w:val="bullet"/>
      <w:lvlText w:val="■"/>
      <w:lvlJc w:val="left"/>
      <w:pPr>
        <w:ind w:left="2160" w:hanging="360"/>
      </w:pPr>
      <w:rPr>
        <w:u w:val="none"/>
      </w:rPr>
    </w:lvl>
    <w:lvl w:ilvl="3" w:tplc="D9F4F2D6">
      <w:start w:val="1"/>
      <w:numFmt w:val="bullet"/>
      <w:lvlText w:val="●"/>
      <w:lvlJc w:val="left"/>
      <w:pPr>
        <w:ind w:left="2880" w:hanging="360"/>
      </w:pPr>
      <w:rPr>
        <w:u w:val="none"/>
      </w:rPr>
    </w:lvl>
    <w:lvl w:ilvl="4" w:tplc="A910339A">
      <w:start w:val="1"/>
      <w:numFmt w:val="bullet"/>
      <w:lvlText w:val="○"/>
      <w:lvlJc w:val="left"/>
      <w:pPr>
        <w:ind w:left="3600" w:hanging="360"/>
      </w:pPr>
      <w:rPr>
        <w:u w:val="none"/>
      </w:rPr>
    </w:lvl>
    <w:lvl w:ilvl="5" w:tplc="0D3879EC">
      <w:start w:val="1"/>
      <w:numFmt w:val="bullet"/>
      <w:lvlText w:val="■"/>
      <w:lvlJc w:val="left"/>
      <w:pPr>
        <w:ind w:left="4320" w:hanging="360"/>
      </w:pPr>
      <w:rPr>
        <w:u w:val="none"/>
      </w:rPr>
    </w:lvl>
    <w:lvl w:ilvl="6" w:tplc="E9364C50">
      <w:start w:val="1"/>
      <w:numFmt w:val="bullet"/>
      <w:lvlText w:val="●"/>
      <w:lvlJc w:val="left"/>
      <w:pPr>
        <w:ind w:left="5040" w:hanging="360"/>
      </w:pPr>
      <w:rPr>
        <w:u w:val="none"/>
      </w:rPr>
    </w:lvl>
    <w:lvl w:ilvl="7" w:tplc="FCBC7E22">
      <w:start w:val="1"/>
      <w:numFmt w:val="bullet"/>
      <w:lvlText w:val="○"/>
      <w:lvlJc w:val="left"/>
      <w:pPr>
        <w:ind w:left="5760" w:hanging="360"/>
      </w:pPr>
      <w:rPr>
        <w:u w:val="none"/>
      </w:rPr>
    </w:lvl>
    <w:lvl w:ilvl="8" w:tplc="6C94E474">
      <w:start w:val="1"/>
      <w:numFmt w:val="bullet"/>
      <w:lvlText w:val="■"/>
      <w:lvlJc w:val="left"/>
      <w:pPr>
        <w:ind w:left="6480" w:hanging="360"/>
      </w:pPr>
      <w:rPr>
        <w:u w:val="none"/>
      </w:rPr>
    </w:lvl>
  </w:abstractNum>
  <w:abstractNum w:abstractNumId="5" w15:restartNumberingAfterBreak="0">
    <w:nsid w:val="50DFB09B"/>
    <w:multiLevelType w:val="hybridMultilevel"/>
    <w:tmpl w:val="00000000"/>
    <w:lvl w:ilvl="0" w:tplc="0AF824D8">
      <w:start w:val="1"/>
      <w:numFmt w:val="bullet"/>
      <w:lvlText w:val="●"/>
      <w:lvlJc w:val="left"/>
      <w:pPr>
        <w:ind w:left="720" w:hanging="360"/>
      </w:pPr>
      <w:rPr>
        <w:u w:val="none"/>
      </w:rPr>
    </w:lvl>
    <w:lvl w:ilvl="1" w:tplc="D0E0AE4C">
      <w:start w:val="1"/>
      <w:numFmt w:val="bullet"/>
      <w:lvlText w:val="○"/>
      <w:lvlJc w:val="left"/>
      <w:pPr>
        <w:ind w:left="1440" w:hanging="360"/>
      </w:pPr>
      <w:rPr>
        <w:u w:val="none"/>
      </w:rPr>
    </w:lvl>
    <w:lvl w:ilvl="2" w:tplc="0A720028">
      <w:start w:val="1"/>
      <w:numFmt w:val="bullet"/>
      <w:lvlText w:val="■"/>
      <w:lvlJc w:val="left"/>
      <w:pPr>
        <w:ind w:left="2160" w:hanging="360"/>
      </w:pPr>
      <w:rPr>
        <w:u w:val="none"/>
      </w:rPr>
    </w:lvl>
    <w:lvl w:ilvl="3" w:tplc="5DBA2898">
      <w:start w:val="1"/>
      <w:numFmt w:val="bullet"/>
      <w:lvlText w:val="●"/>
      <w:lvlJc w:val="left"/>
      <w:pPr>
        <w:ind w:left="2880" w:hanging="360"/>
      </w:pPr>
      <w:rPr>
        <w:u w:val="none"/>
      </w:rPr>
    </w:lvl>
    <w:lvl w:ilvl="4" w:tplc="9F5E5916">
      <w:start w:val="1"/>
      <w:numFmt w:val="bullet"/>
      <w:lvlText w:val="○"/>
      <w:lvlJc w:val="left"/>
      <w:pPr>
        <w:ind w:left="3600" w:hanging="360"/>
      </w:pPr>
      <w:rPr>
        <w:u w:val="none"/>
      </w:rPr>
    </w:lvl>
    <w:lvl w:ilvl="5" w:tplc="05C6D418">
      <w:start w:val="1"/>
      <w:numFmt w:val="bullet"/>
      <w:lvlText w:val="■"/>
      <w:lvlJc w:val="left"/>
      <w:pPr>
        <w:ind w:left="4320" w:hanging="360"/>
      </w:pPr>
      <w:rPr>
        <w:u w:val="none"/>
      </w:rPr>
    </w:lvl>
    <w:lvl w:ilvl="6" w:tplc="198EC170">
      <w:start w:val="1"/>
      <w:numFmt w:val="bullet"/>
      <w:lvlText w:val="●"/>
      <w:lvlJc w:val="left"/>
      <w:pPr>
        <w:ind w:left="5040" w:hanging="360"/>
      </w:pPr>
      <w:rPr>
        <w:u w:val="none"/>
      </w:rPr>
    </w:lvl>
    <w:lvl w:ilvl="7" w:tplc="714843A0">
      <w:start w:val="1"/>
      <w:numFmt w:val="bullet"/>
      <w:lvlText w:val="○"/>
      <w:lvlJc w:val="left"/>
      <w:pPr>
        <w:ind w:left="5760" w:hanging="360"/>
      </w:pPr>
      <w:rPr>
        <w:u w:val="none"/>
      </w:rPr>
    </w:lvl>
    <w:lvl w:ilvl="8" w:tplc="A002EDEC">
      <w:start w:val="1"/>
      <w:numFmt w:val="bullet"/>
      <w:lvlText w:val="■"/>
      <w:lvlJc w:val="left"/>
      <w:pPr>
        <w:ind w:left="6480" w:hanging="360"/>
      </w:pPr>
      <w:rPr>
        <w:u w:val="none"/>
      </w:rPr>
    </w:lvl>
  </w:abstractNum>
  <w:num w:numId="1" w16cid:durableId="1255820056">
    <w:abstractNumId w:val="5"/>
  </w:num>
  <w:num w:numId="2" w16cid:durableId="1641422029">
    <w:abstractNumId w:val="0"/>
  </w:num>
  <w:num w:numId="3" w16cid:durableId="1701780849">
    <w:abstractNumId w:val="4"/>
  </w:num>
  <w:num w:numId="4" w16cid:durableId="1540169985">
    <w:abstractNumId w:val="3"/>
  </w:num>
  <w:num w:numId="5" w16cid:durableId="47195211">
    <w:abstractNumId w:val="2"/>
  </w:num>
  <w:num w:numId="6" w16cid:durableId="474032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5B4"/>
    <w:rsid w:val="000733C6"/>
    <w:rsid w:val="00095BF8"/>
    <w:rsid w:val="0027399B"/>
    <w:rsid w:val="0036713A"/>
    <w:rsid w:val="003C4215"/>
    <w:rsid w:val="004666AE"/>
    <w:rsid w:val="005E7624"/>
    <w:rsid w:val="006455DF"/>
    <w:rsid w:val="00712B6F"/>
    <w:rsid w:val="008A4950"/>
    <w:rsid w:val="009315B4"/>
    <w:rsid w:val="00A65BEB"/>
    <w:rsid w:val="00AE0F9A"/>
    <w:rsid w:val="00CB73B1"/>
    <w:rsid w:val="00CE434B"/>
    <w:rsid w:val="00D40CE5"/>
    <w:rsid w:val="00D57458"/>
    <w:rsid w:val="00F201D2"/>
    <w:rsid w:val="00FA710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4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7399B"/>
    <w:pPr>
      <w:spacing w:before="240" w:after="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57458"/>
    <w:pPr>
      <w:tabs>
        <w:tab w:val="center" w:pos="4513"/>
        <w:tab w:val="right" w:pos="9026"/>
      </w:tabs>
      <w:spacing w:line="240" w:lineRule="auto"/>
    </w:pPr>
  </w:style>
  <w:style w:type="character" w:customStyle="1" w:styleId="HeaderChar">
    <w:name w:val="Header Char"/>
    <w:basedOn w:val="DefaultParagraphFont"/>
    <w:link w:val="Header"/>
    <w:uiPriority w:val="99"/>
    <w:rsid w:val="00D57458"/>
  </w:style>
  <w:style w:type="paragraph" w:styleId="Footer">
    <w:name w:val="footer"/>
    <w:basedOn w:val="Normal"/>
    <w:link w:val="FooterChar"/>
    <w:uiPriority w:val="99"/>
    <w:unhideWhenUsed/>
    <w:rsid w:val="00D57458"/>
    <w:pPr>
      <w:tabs>
        <w:tab w:val="center" w:pos="4513"/>
        <w:tab w:val="right" w:pos="9026"/>
      </w:tabs>
      <w:spacing w:line="240" w:lineRule="auto"/>
    </w:pPr>
  </w:style>
  <w:style w:type="character" w:customStyle="1" w:styleId="FooterChar">
    <w:name w:val="Footer Char"/>
    <w:basedOn w:val="DefaultParagraphFont"/>
    <w:link w:val="Footer"/>
    <w:uiPriority w:val="99"/>
    <w:rsid w:val="00D57458"/>
  </w:style>
  <w:style w:type="paragraph" w:styleId="TOCHeading">
    <w:name w:val="TOC Heading"/>
    <w:basedOn w:val="Heading1"/>
    <w:next w:val="Normal"/>
    <w:uiPriority w:val="39"/>
    <w:unhideWhenUsed/>
    <w:qFormat/>
    <w:rsid w:val="00AE0F9A"/>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E0F9A"/>
    <w:pPr>
      <w:spacing w:after="100"/>
    </w:pPr>
  </w:style>
  <w:style w:type="character" w:styleId="Hyperlink">
    <w:name w:val="Hyperlink"/>
    <w:basedOn w:val="DefaultParagraphFont"/>
    <w:uiPriority w:val="99"/>
    <w:unhideWhenUsed/>
    <w:rsid w:val="00AE0F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sb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0019C-EB87-4F1C-8359-945853D97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2033</Words>
  <Characters>11590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2023-04-21T06:05:00Z</dcterms:created>
  <dcterms:modified xsi:type="dcterms:W3CDTF">2023-05-09T10:41:00Z</dcterms:modified>
</cp:coreProperties>
</file>