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FD990" w14:textId="77777777" w:rsidR="00446BDA" w:rsidRDefault="00AD435C">
      <w:pPr>
        <w:spacing w:after="0" w:line="404" w:lineRule="auto"/>
        <w:ind w:left="0" w:right="7674" w:firstLine="180"/>
      </w:pPr>
      <w:r>
        <w:rPr>
          <w:noProof/>
        </w:rPr>
        <w:drawing>
          <wp:inline distT="0" distB="0" distL="0" distR="0" wp14:anchorId="1AEBB29D" wp14:editId="5F2FFAEA">
            <wp:extent cx="1955800" cy="685800"/>
            <wp:effectExtent l="0" t="0" r="0" b="0"/>
            <wp:docPr id="962" name="Picture 962"/>
            <wp:cNvGraphicFramePr/>
            <a:graphic xmlns:a="http://schemas.openxmlformats.org/drawingml/2006/main">
              <a:graphicData uri="http://schemas.openxmlformats.org/drawingml/2006/picture">
                <pic:pic xmlns:pic="http://schemas.openxmlformats.org/drawingml/2006/picture">
                  <pic:nvPicPr>
                    <pic:cNvPr id="962" name="Picture 962"/>
                    <pic:cNvPicPr/>
                  </pic:nvPicPr>
                  <pic:blipFill>
                    <a:blip r:embed="rId6"/>
                    <a:stretch>
                      <a:fillRect/>
                    </a:stretch>
                  </pic:blipFill>
                  <pic:spPr>
                    <a:xfrm>
                      <a:off x="0" y="0"/>
                      <a:ext cx="1955800" cy="685800"/>
                    </a:xfrm>
                    <a:prstGeom prst="rect">
                      <a:avLst/>
                    </a:prstGeom>
                  </pic:spPr>
                </pic:pic>
              </a:graphicData>
            </a:graphic>
          </wp:inline>
        </w:drawing>
      </w:r>
      <w:r>
        <w:t xml:space="preserve"> </w:t>
      </w:r>
      <w:r>
        <w:rPr>
          <w:rFonts w:ascii="Georgia" w:eastAsia="Georgia" w:hAnsi="Georgia" w:cs="Georgia"/>
          <w:sz w:val="21"/>
        </w:rPr>
        <w:t xml:space="preserve"> </w:t>
      </w:r>
    </w:p>
    <w:p w14:paraId="448A6159" w14:textId="77777777" w:rsidR="00446BDA" w:rsidRDefault="00AD435C">
      <w:pPr>
        <w:spacing w:after="28" w:line="259" w:lineRule="auto"/>
        <w:ind w:left="327" w:firstLine="0"/>
        <w:jc w:val="center"/>
      </w:pPr>
      <w:r>
        <w:rPr>
          <w:rFonts w:ascii="Arial" w:eastAsia="Arial" w:hAnsi="Arial" w:cs="Arial"/>
          <w:b/>
          <w:sz w:val="28"/>
        </w:rPr>
        <w:t xml:space="preserve">Postgraduate/Distance Learning </w:t>
      </w:r>
      <w:r>
        <w:rPr>
          <w:rFonts w:ascii="Arial" w:eastAsia="Arial" w:hAnsi="Arial" w:cs="Arial"/>
          <w:sz w:val="28"/>
        </w:rPr>
        <w:t xml:space="preserve"> </w:t>
      </w:r>
    </w:p>
    <w:p w14:paraId="0BC56CBA" w14:textId="77777777" w:rsidR="00446BDA" w:rsidRDefault="00AD435C">
      <w:pPr>
        <w:spacing w:after="95" w:line="280" w:lineRule="auto"/>
        <w:ind w:left="181" w:right="2529" w:firstLine="2761"/>
      </w:pPr>
      <w:r>
        <w:rPr>
          <w:rFonts w:ascii="Arial" w:eastAsia="Arial" w:hAnsi="Arial" w:cs="Arial"/>
          <w:b/>
          <w:sz w:val="28"/>
        </w:rPr>
        <w:t>Assignment coversheet &amp; feedback form</w:t>
      </w:r>
      <w:r>
        <w:rPr>
          <w:rFonts w:ascii="Arial" w:eastAsia="Arial" w:hAnsi="Arial" w:cs="Arial"/>
          <w:sz w:val="28"/>
        </w:rPr>
        <w:t xml:space="preserve">  </w:t>
      </w:r>
    </w:p>
    <w:p w14:paraId="2FE8C36F" w14:textId="77777777" w:rsidR="00446BDA" w:rsidRDefault="00AD435C">
      <w:pPr>
        <w:spacing w:after="70" w:line="276" w:lineRule="auto"/>
        <w:ind w:left="4858" w:hanging="3947"/>
      </w:pPr>
      <w:r>
        <w:rPr>
          <w:rFonts w:ascii="Tahoma" w:eastAsia="Tahoma" w:hAnsi="Tahoma" w:cs="Tahoma"/>
          <w:b/>
          <w:color w:val="0F4761"/>
          <w:sz w:val="20"/>
        </w:rPr>
        <w:t xml:space="preserve">THIS SHEET MUST BE THE FIRST PAGE OF THE ASSIGNMENT YOU ARE SUBMITTING  (DO NOT SEND AS A SEPARATE FILE) </w:t>
      </w:r>
    </w:p>
    <w:p w14:paraId="0F9E4514" w14:textId="77777777" w:rsidR="00446BDA" w:rsidRDefault="00AD435C">
      <w:pPr>
        <w:spacing w:after="0" w:line="259" w:lineRule="auto"/>
        <w:ind w:left="961" w:firstLine="0"/>
        <w:jc w:val="center"/>
      </w:pPr>
      <w:r>
        <w:rPr>
          <w:rFonts w:ascii="Trebuchet MS" w:eastAsia="Trebuchet MS" w:hAnsi="Trebuchet MS" w:cs="Trebuchet MS"/>
          <w:b/>
          <w:sz w:val="20"/>
        </w:rPr>
        <w:t xml:space="preserve"> </w:t>
      </w:r>
    </w:p>
    <w:tbl>
      <w:tblPr>
        <w:tblStyle w:val="TableGrid"/>
        <w:tblW w:w="9362" w:type="dxa"/>
        <w:tblInd w:w="75" w:type="dxa"/>
        <w:tblCellMar>
          <w:top w:w="17" w:type="dxa"/>
          <w:left w:w="106" w:type="dxa"/>
          <w:right w:w="83" w:type="dxa"/>
        </w:tblCellMar>
        <w:tblLook w:val="04A0" w:firstRow="1" w:lastRow="0" w:firstColumn="1" w:lastColumn="0" w:noHBand="0" w:noVBand="1"/>
      </w:tblPr>
      <w:tblGrid>
        <w:gridCol w:w="1869"/>
        <w:gridCol w:w="5623"/>
        <w:gridCol w:w="1870"/>
      </w:tblGrid>
      <w:tr w:rsidR="00446BDA" w14:paraId="5F2A1767" w14:textId="77777777">
        <w:trPr>
          <w:trHeight w:val="615"/>
        </w:trPr>
        <w:tc>
          <w:tcPr>
            <w:tcW w:w="9362" w:type="dxa"/>
            <w:gridSpan w:val="3"/>
            <w:tcBorders>
              <w:top w:val="single" w:sz="6" w:space="0" w:color="000000"/>
              <w:left w:val="single" w:sz="6" w:space="0" w:color="000000"/>
              <w:bottom w:val="single" w:sz="6" w:space="0" w:color="000000"/>
              <w:right w:val="single" w:sz="6" w:space="0" w:color="000000"/>
            </w:tcBorders>
            <w:vAlign w:val="center"/>
          </w:tcPr>
          <w:p w14:paraId="45CCDC3E" w14:textId="77777777" w:rsidR="00446BDA" w:rsidRDefault="00AD435C">
            <w:pPr>
              <w:spacing w:after="0" w:line="259" w:lineRule="auto"/>
              <w:ind w:left="0" w:firstLine="0"/>
            </w:pPr>
            <w:r>
              <w:rPr>
                <w:rFonts w:ascii="Arial" w:eastAsia="Arial" w:hAnsi="Arial" w:cs="Arial"/>
                <w:b/>
                <w:sz w:val="22"/>
              </w:rPr>
              <w:t>For completion by the student</w:t>
            </w:r>
            <w:r>
              <w:rPr>
                <w:rFonts w:ascii="Arial" w:eastAsia="Arial" w:hAnsi="Arial" w:cs="Arial"/>
                <w:sz w:val="22"/>
              </w:rPr>
              <w:t xml:space="preserve">: </w:t>
            </w:r>
          </w:p>
        </w:tc>
      </w:tr>
      <w:tr w:rsidR="00446BDA" w14:paraId="1B5A6233" w14:textId="77777777">
        <w:trPr>
          <w:trHeight w:val="1190"/>
        </w:trPr>
        <w:tc>
          <w:tcPr>
            <w:tcW w:w="9362" w:type="dxa"/>
            <w:gridSpan w:val="3"/>
            <w:tcBorders>
              <w:top w:val="single" w:sz="6" w:space="0" w:color="000000"/>
              <w:left w:val="single" w:sz="6" w:space="0" w:color="000000"/>
              <w:bottom w:val="single" w:sz="6" w:space="0" w:color="000000"/>
              <w:right w:val="single" w:sz="6" w:space="0" w:color="000000"/>
            </w:tcBorders>
          </w:tcPr>
          <w:p w14:paraId="6CD0C54C" w14:textId="77777777" w:rsidR="00446BDA" w:rsidRDefault="00AD435C">
            <w:pPr>
              <w:spacing w:after="22" w:line="259" w:lineRule="auto"/>
              <w:ind w:left="0" w:firstLine="0"/>
            </w:pPr>
            <w:r>
              <w:rPr>
                <w:rFonts w:ascii="Arial" w:eastAsia="Arial" w:hAnsi="Arial" w:cs="Arial"/>
                <w:sz w:val="22"/>
              </w:rPr>
              <w:t xml:space="preserve">Student Name: </w:t>
            </w:r>
            <w:r>
              <w:rPr>
                <w:rFonts w:ascii="Arial" w:eastAsia="Arial" w:hAnsi="Arial" w:cs="Arial"/>
                <w:b/>
                <w:sz w:val="22"/>
              </w:rPr>
              <w:t>ISABELLE WAINE</w:t>
            </w:r>
            <w:r>
              <w:rPr>
                <w:rFonts w:ascii="Arial" w:eastAsia="Arial" w:hAnsi="Arial" w:cs="Arial"/>
                <w:sz w:val="22"/>
              </w:rPr>
              <w:t xml:space="preserve"> </w:t>
            </w:r>
          </w:p>
          <w:p w14:paraId="202DF09E" w14:textId="77777777" w:rsidR="00446BDA" w:rsidRDefault="00AD435C">
            <w:pPr>
              <w:spacing w:after="22" w:line="259" w:lineRule="auto"/>
              <w:ind w:left="0" w:firstLine="0"/>
            </w:pPr>
            <w:r>
              <w:rPr>
                <w:rFonts w:ascii="Arial" w:eastAsia="Arial" w:hAnsi="Arial" w:cs="Arial"/>
                <w:sz w:val="22"/>
              </w:rPr>
              <w:t xml:space="preserve"> </w:t>
            </w:r>
          </w:p>
          <w:p w14:paraId="1D74A88E" w14:textId="77777777" w:rsidR="00446BDA" w:rsidRDefault="00AD435C">
            <w:pPr>
              <w:spacing w:after="22" w:line="259" w:lineRule="auto"/>
              <w:ind w:left="0" w:firstLine="0"/>
            </w:pPr>
            <w:r>
              <w:rPr>
                <w:rFonts w:ascii="Arial" w:eastAsia="Arial" w:hAnsi="Arial" w:cs="Arial"/>
                <w:sz w:val="22"/>
              </w:rPr>
              <w:t xml:space="preserve">Student </w:t>
            </w:r>
            <w:r>
              <w:rPr>
                <w:rFonts w:ascii="Arial" w:eastAsia="Arial" w:hAnsi="Arial" w:cs="Arial"/>
                <w:b/>
                <w:sz w:val="22"/>
                <w:u w:val="single" w:color="000000"/>
              </w:rPr>
              <w:t>University</w:t>
            </w:r>
            <w:r>
              <w:rPr>
                <w:rFonts w:ascii="Arial" w:eastAsia="Arial" w:hAnsi="Arial" w:cs="Arial"/>
                <w:sz w:val="22"/>
                <w:u w:val="single" w:color="000000"/>
              </w:rPr>
              <w:t xml:space="preserve"> </w:t>
            </w:r>
            <w:r>
              <w:rPr>
                <w:rFonts w:ascii="Arial" w:eastAsia="Arial" w:hAnsi="Arial" w:cs="Arial"/>
                <w:sz w:val="22"/>
              </w:rPr>
              <w:t xml:space="preserve">Email: </w:t>
            </w:r>
            <w:r>
              <w:rPr>
                <w:rFonts w:ascii="Arial" w:eastAsia="Arial" w:hAnsi="Arial" w:cs="Arial"/>
                <w:b/>
                <w:color w:val="467886"/>
                <w:sz w:val="22"/>
                <w:u w:val="single" w:color="467886"/>
              </w:rPr>
              <w:t>2417718@student.uwtsd.ac.uk</w:t>
            </w:r>
            <w:r>
              <w:rPr>
                <w:rFonts w:ascii="Arial" w:eastAsia="Arial" w:hAnsi="Arial" w:cs="Arial"/>
                <w:sz w:val="22"/>
              </w:rPr>
              <w:t xml:space="preserve"> </w:t>
            </w:r>
          </w:p>
          <w:p w14:paraId="1F730A2F" w14:textId="77777777" w:rsidR="00446BDA" w:rsidRDefault="00AD435C">
            <w:pPr>
              <w:spacing w:after="0" w:line="259" w:lineRule="auto"/>
              <w:ind w:left="0" w:firstLine="0"/>
            </w:pPr>
            <w:r>
              <w:rPr>
                <w:rFonts w:ascii="Arial" w:eastAsia="Arial" w:hAnsi="Arial" w:cs="Arial"/>
                <w:sz w:val="22"/>
              </w:rPr>
              <w:t xml:space="preserve"> </w:t>
            </w:r>
          </w:p>
        </w:tc>
      </w:tr>
      <w:tr w:rsidR="00446BDA" w14:paraId="2DDE54F3" w14:textId="77777777">
        <w:trPr>
          <w:trHeight w:val="2961"/>
        </w:trPr>
        <w:tc>
          <w:tcPr>
            <w:tcW w:w="1869" w:type="dxa"/>
            <w:tcBorders>
              <w:top w:val="single" w:sz="6" w:space="0" w:color="000000"/>
              <w:left w:val="single" w:sz="6" w:space="0" w:color="000000"/>
              <w:bottom w:val="single" w:sz="6" w:space="0" w:color="000000"/>
              <w:right w:val="single" w:sz="6" w:space="0" w:color="000000"/>
            </w:tcBorders>
          </w:tcPr>
          <w:p w14:paraId="7576100C" w14:textId="77777777" w:rsidR="00446BDA" w:rsidRDefault="00AD435C">
            <w:pPr>
              <w:spacing w:after="22" w:line="259" w:lineRule="auto"/>
              <w:ind w:left="0" w:firstLine="0"/>
            </w:pPr>
            <w:r>
              <w:rPr>
                <w:rFonts w:ascii="Arial" w:eastAsia="Arial" w:hAnsi="Arial" w:cs="Arial"/>
                <w:sz w:val="22"/>
              </w:rPr>
              <w:t>Module code:</w:t>
            </w:r>
            <w:r>
              <w:rPr>
                <w:rFonts w:ascii="Georgia" w:eastAsia="Georgia" w:hAnsi="Georgia" w:cs="Georgia"/>
                <w:sz w:val="21"/>
              </w:rPr>
              <w:t xml:space="preserve"> </w:t>
            </w:r>
          </w:p>
          <w:p w14:paraId="4D528E2D" w14:textId="1525BBA8" w:rsidR="00446BDA" w:rsidRDefault="00AD435C">
            <w:pPr>
              <w:spacing w:after="22" w:line="259" w:lineRule="auto"/>
              <w:ind w:left="0" w:firstLine="0"/>
            </w:pPr>
            <w:r>
              <w:rPr>
                <w:rFonts w:ascii="Arial" w:eastAsia="Arial" w:hAnsi="Arial" w:cs="Arial"/>
                <w:b/>
                <w:sz w:val="22"/>
              </w:rPr>
              <w:t>HPCA70</w:t>
            </w:r>
            <w:r w:rsidR="00F718B7">
              <w:rPr>
                <w:rFonts w:ascii="Arial" w:eastAsia="Arial" w:hAnsi="Arial" w:cs="Arial"/>
                <w:b/>
                <w:sz w:val="22"/>
              </w:rPr>
              <w:t>27</w:t>
            </w:r>
            <w:r>
              <w:rPr>
                <w:rFonts w:ascii="Arial" w:eastAsia="Arial" w:hAnsi="Arial" w:cs="Arial"/>
                <w:sz w:val="22"/>
              </w:rPr>
              <w:t xml:space="preserve"> </w:t>
            </w:r>
          </w:p>
          <w:p w14:paraId="73252AE3" w14:textId="77777777" w:rsidR="00446BDA" w:rsidRDefault="00AD435C">
            <w:pPr>
              <w:spacing w:after="22" w:line="259" w:lineRule="auto"/>
              <w:ind w:left="0" w:firstLine="0"/>
            </w:pPr>
            <w:r>
              <w:rPr>
                <w:rFonts w:ascii="Arial" w:eastAsia="Arial" w:hAnsi="Arial" w:cs="Arial"/>
                <w:sz w:val="22"/>
              </w:rPr>
              <w:t xml:space="preserve"> </w:t>
            </w:r>
          </w:p>
          <w:p w14:paraId="73EB3ECC" w14:textId="77777777" w:rsidR="00446BDA" w:rsidRDefault="00AD435C">
            <w:pPr>
              <w:spacing w:after="22" w:line="259" w:lineRule="auto"/>
              <w:ind w:left="0" w:firstLine="0"/>
            </w:pPr>
            <w:r>
              <w:rPr>
                <w:rFonts w:ascii="Arial" w:eastAsia="Arial" w:hAnsi="Arial" w:cs="Arial"/>
                <w:sz w:val="22"/>
              </w:rPr>
              <w:t xml:space="preserve">Module title: </w:t>
            </w:r>
          </w:p>
          <w:p w14:paraId="22D50D60" w14:textId="77777777" w:rsidR="00446BDA" w:rsidRDefault="00AD435C">
            <w:pPr>
              <w:spacing w:after="17" w:line="259" w:lineRule="auto"/>
              <w:ind w:left="0" w:firstLine="0"/>
            </w:pPr>
            <w:r>
              <w:rPr>
                <w:rFonts w:ascii="Arial" w:eastAsia="Arial" w:hAnsi="Arial" w:cs="Arial"/>
                <w:sz w:val="22"/>
              </w:rPr>
              <w:t xml:space="preserve"> </w:t>
            </w:r>
          </w:p>
          <w:p w14:paraId="3AA6D457" w14:textId="0CFBDBB3" w:rsidR="00446BDA" w:rsidRDefault="00A46E29">
            <w:pPr>
              <w:spacing w:after="22" w:line="259" w:lineRule="auto"/>
              <w:ind w:left="0" w:firstLine="0"/>
            </w:pPr>
            <w:r>
              <w:rPr>
                <w:rFonts w:ascii="Arial" w:eastAsia="Arial" w:hAnsi="Arial" w:cs="Arial"/>
                <w:b/>
                <w:sz w:val="22"/>
              </w:rPr>
              <w:t>Cosmology, Magic and Divination</w:t>
            </w:r>
          </w:p>
          <w:p w14:paraId="2D2CE619" w14:textId="77777777" w:rsidR="00446BDA" w:rsidRDefault="00AD435C">
            <w:pPr>
              <w:spacing w:after="0" w:line="259" w:lineRule="auto"/>
              <w:ind w:left="0" w:firstLine="0"/>
            </w:pPr>
            <w:r>
              <w:rPr>
                <w:rFonts w:ascii="Arial" w:eastAsia="Arial" w:hAnsi="Arial" w:cs="Arial"/>
                <w:sz w:val="22"/>
              </w:rPr>
              <w:t xml:space="preserve"> </w:t>
            </w:r>
          </w:p>
        </w:tc>
        <w:tc>
          <w:tcPr>
            <w:tcW w:w="5623" w:type="dxa"/>
            <w:tcBorders>
              <w:top w:val="single" w:sz="6" w:space="0" w:color="000000"/>
              <w:left w:val="single" w:sz="6" w:space="0" w:color="000000"/>
              <w:bottom w:val="single" w:sz="6" w:space="0" w:color="000000"/>
              <w:right w:val="single" w:sz="6" w:space="0" w:color="000000"/>
            </w:tcBorders>
            <w:vAlign w:val="center"/>
          </w:tcPr>
          <w:p w14:paraId="2E84146A" w14:textId="77777777" w:rsidR="00446BDA" w:rsidRDefault="00AD435C">
            <w:pPr>
              <w:spacing w:after="22" w:line="259" w:lineRule="auto"/>
              <w:ind w:left="2" w:firstLine="0"/>
            </w:pPr>
            <w:r>
              <w:rPr>
                <w:rFonts w:ascii="Arial" w:eastAsia="Arial" w:hAnsi="Arial" w:cs="Arial"/>
                <w:sz w:val="22"/>
              </w:rPr>
              <w:t xml:space="preserve">Student ID number: </w:t>
            </w:r>
          </w:p>
          <w:p w14:paraId="1C0FFD5A" w14:textId="77777777" w:rsidR="00446BDA" w:rsidRDefault="00AD435C">
            <w:pPr>
              <w:spacing w:after="22" w:line="259" w:lineRule="auto"/>
              <w:ind w:left="2" w:firstLine="0"/>
            </w:pPr>
            <w:r>
              <w:rPr>
                <w:rFonts w:ascii="Arial" w:eastAsia="Arial" w:hAnsi="Arial" w:cs="Arial"/>
                <w:sz w:val="22"/>
              </w:rPr>
              <w:t xml:space="preserve"> </w:t>
            </w:r>
          </w:p>
          <w:p w14:paraId="2C772D2E" w14:textId="77777777" w:rsidR="00446BDA" w:rsidRDefault="00AD435C">
            <w:pPr>
              <w:spacing w:after="22" w:line="259" w:lineRule="auto"/>
              <w:ind w:left="2" w:firstLine="0"/>
            </w:pPr>
            <w:r>
              <w:rPr>
                <w:rFonts w:ascii="Arial" w:eastAsia="Arial" w:hAnsi="Arial" w:cs="Arial"/>
                <w:sz w:val="22"/>
              </w:rPr>
              <w:t xml:space="preserve"> </w:t>
            </w:r>
          </w:p>
          <w:p w14:paraId="730CFC20" w14:textId="77777777" w:rsidR="00446BDA" w:rsidRDefault="00AD435C">
            <w:pPr>
              <w:spacing w:after="22" w:line="259" w:lineRule="auto"/>
              <w:ind w:left="2" w:firstLine="0"/>
            </w:pPr>
            <w:r>
              <w:rPr>
                <w:rFonts w:ascii="Arial" w:eastAsia="Arial" w:hAnsi="Arial" w:cs="Arial"/>
                <w:sz w:val="22"/>
              </w:rPr>
              <w:t xml:space="preserve"> </w:t>
            </w:r>
          </w:p>
          <w:p w14:paraId="54313D3A" w14:textId="77777777" w:rsidR="00446BDA" w:rsidRDefault="00AD435C">
            <w:pPr>
              <w:spacing w:after="0" w:line="259" w:lineRule="auto"/>
              <w:ind w:left="2" w:firstLine="0"/>
            </w:pPr>
            <w:r>
              <w:rPr>
                <w:rFonts w:ascii="Arial" w:eastAsia="Arial" w:hAnsi="Arial" w:cs="Arial"/>
                <w:b/>
                <w:sz w:val="22"/>
              </w:rPr>
              <w:t>2417718</w:t>
            </w:r>
            <w:r>
              <w:rPr>
                <w:rFonts w:ascii="Arial" w:eastAsia="Arial" w:hAnsi="Arial" w:cs="Arial"/>
                <w:sz w:val="22"/>
              </w:rPr>
              <w:t xml:space="preserve"> </w:t>
            </w:r>
          </w:p>
        </w:tc>
        <w:tc>
          <w:tcPr>
            <w:tcW w:w="1870" w:type="dxa"/>
            <w:tcBorders>
              <w:top w:val="single" w:sz="6" w:space="0" w:color="000000"/>
              <w:left w:val="single" w:sz="6" w:space="0" w:color="000000"/>
              <w:bottom w:val="single" w:sz="6" w:space="0" w:color="000000"/>
              <w:right w:val="single" w:sz="6" w:space="0" w:color="000000"/>
            </w:tcBorders>
            <w:vAlign w:val="center"/>
          </w:tcPr>
          <w:p w14:paraId="0006BF9A" w14:textId="77777777" w:rsidR="00446BDA" w:rsidRDefault="00AD435C">
            <w:pPr>
              <w:spacing w:after="0" w:line="280" w:lineRule="auto"/>
              <w:ind w:left="2" w:firstLine="0"/>
            </w:pPr>
            <w:r>
              <w:rPr>
                <w:rFonts w:ascii="Arial" w:eastAsia="Arial" w:hAnsi="Arial" w:cs="Arial"/>
                <w:sz w:val="22"/>
              </w:rPr>
              <w:t xml:space="preserve">Educational support needs: </w:t>
            </w:r>
          </w:p>
          <w:p w14:paraId="1DF12F25" w14:textId="77777777" w:rsidR="00446BDA" w:rsidRDefault="00AD435C">
            <w:pPr>
              <w:spacing w:after="22" w:line="259" w:lineRule="auto"/>
              <w:ind w:left="2" w:firstLine="0"/>
            </w:pPr>
            <w:r>
              <w:rPr>
                <w:rFonts w:ascii="Arial" w:eastAsia="Arial" w:hAnsi="Arial" w:cs="Arial"/>
                <w:sz w:val="22"/>
              </w:rPr>
              <w:t xml:space="preserve"> </w:t>
            </w:r>
          </w:p>
          <w:p w14:paraId="48AA5AC3" w14:textId="77777777" w:rsidR="00446BDA" w:rsidRDefault="00AD435C">
            <w:pPr>
              <w:spacing w:after="22" w:line="259" w:lineRule="auto"/>
              <w:ind w:left="2" w:firstLine="0"/>
            </w:pPr>
            <w:r>
              <w:rPr>
                <w:rFonts w:ascii="Arial" w:eastAsia="Arial" w:hAnsi="Arial" w:cs="Arial"/>
                <w:sz w:val="22"/>
              </w:rPr>
              <w:t xml:space="preserve"> </w:t>
            </w:r>
          </w:p>
          <w:p w14:paraId="4A68B46B" w14:textId="77777777" w:rsidR="00446BDA" w:rsidRDefault="00AD435C">
            <w:pPr>
              <w:spacing w:after="0" w:line="259" w:lineRule="auto"/>
              <w:ind w:left="2" w:firstLine="0"/>
            </w:pPr>
            <w:r>
              <w:rPr>
                <w:rFonts w:ascii="Arial" w:eastAsia="Arial" w:hAnsi="Arial" w:cs="Arial"/>
                <w:b/>
                <w:sz w:val="22"/>
              </w:rPr>
              <w:t>No</w:t>
            </w:r>
            <w:r>
              <w:rPr>
                <w:rFonts w:ascii="Arial" w:eastAsia="Arial" w:hAnsi="Arial" w:cs="Arial"/>
                <w:sz w:val="22"/>
              </w:rPr>
              <w:t xml:space="preserve"> </w:t>
            </w:r>
          </w:p>
        </w:tc>
      </w:tr>
      <w:tr w:rsidR="00446BDA" w14:paraId="2E5F1B65" w14:textId="77777777">
        <w:trPr>
          <w:trHeight w:val="1140"/>
        </w:trPr>
        <w:tc>
          <w:tcPr>
            <w:tcW w:w="9362" w:type="dxa"/>
            <w:gridSpan w:val="3"/>
            <w:tcBorders>
              <w:top w:val="single" w:sz="6" w:space="0" w:color="000000"/>
              <w:left w:val="single" w:sz="6" w:space="0" w:color="000000"/>
              <w:bottom w:val="single" w:sz="6" w:space="0" w:color="000000"/>
              <w:right w:val="single" w:sz="6" w:space="0" w:color="000000"/>
            </w:tcBorders>
            <w:vAlign w:val="center"/>
          </w:tcPr>
          <w:p w14:paraId="456DAD38" w14:textId="4CD65424" w:rsidR="00446BDA" w:rsidRPr="0094094F" w:rsidRDefault="00AD435C">
            <w:pPr>
              <w:spacing w:after="22" w:line="259" w:lineRule="auto"/>
              <w:ind w:left="0" w:firstLine="0"/>
              <w:rPr>
                <w:b/>
                <w:bCs/>
              </w:rPr>
            </w:pPr>
            <w:r>
              <w:rPr>
                <w:rFonts w:ascii="Arial" w:eastAsia="Arial" w:hAnsi="Arial" w:cs="Arial"/>
                <w:sz w:val="22"/>
              </w:rPr>
              <w:t xml:space="preserve">Assignment title:    </w:t>
            </w:r>
            <w:r w:rsidR="003F7BF8" w:rsidRPr="0094094F">
              <w:rPr>
                <w:rFonts w:ascii="Arial" w:eastAsia="Arial" w:hAnsi="Arial" w:cs="Arial"/>
                <w:b/>
                <w:bCs/>
              </w:rPr>
              <w:t>Analyse the roles of, and relationship between, cosmology and divination in Ancient Egypt.</w:t>
            </w:r>
          </w:p>
          <w:p w14:paraId="1B9B0700" w14:textId="77777777" w:rsidR="00446BDA" w:rsidRDefault="00AD435C">
            <w:pPr>
              <w:spacing w:after="9" w:line="259" w:lineRule="auto"/>
              <w:ind w:left="0" w:firstLine="0"/>
            </w:pPr>
            <w:r>
              <w:rPr>
                <w:rFonts w:ascii="Arial" w:eastAsia="Arial" w:hAnsi="Arial" w:cs="Arial"/>
                <w:sz w:val="22"/>
              </w:rPr>
              <w:t xml:space="preserve"> </w:t>
            </w:r>
          </w:p>
          <w:p w14:paraId="256853AF" w14:textId="55EF7D85" w:rsidR="00446BDA" w:rsidRDefault="00AD435C">
            <w:pPr>
              <w:spacing w:after="0" w:line="259" w:lineRule="auto"/>
              <w:ind w:left="0" w:firstLine="0"/>
            </w:pPr>
            <w:r>
              <w:rPr>
                <w:rFonts w:ascii="Arial" w:eastAsia="Arial" w:hAnsi="Arial" w:cs="Arial"/>
                <w:sz w:val="22"/>
              </w:rPr>
              <w:t xml:space="preserve">Assignment due date: </w:t>
            </w:r>
            <w:r w:rsidR="00BE543D">
              <w:rPr>
                <w:rFonts w:ascii="Arial" w:eastAsia="Arial" w:hAnsi="Arial" w:cs="Arial"/>
                <w:sz w:val="22"/>
              </w:rPr>
              <w:t>22 April 2025</w:t>
            </w:r>
          </w:p>
        </w:tc>
      </w:tr>
      <w:tr w:rsidR="00446BDA" w14:paraId="5DF06D5D" w14:textId="77777777">
        <w:trPr>
          <w:trHeight w:val="992"/>
        </w:trPr>
        <w:tc>
          <w:tcPr>
            <w:tcW w:w="9362" w:type="dxa"/>
            <w:gridSpan w:val="3"/>
            <w:tcBorders>
              <w:top w:val="single" w:sz="6" w:space="0" w:color="000000"/>
              <w:left w:val="single" w:sz="6" w:space="0" w:color="000000"/>
              <w:bottom w:val="single" w:sz="6" w:space="0" w:color="000000"/>
              <w:right w:val="single" w:sz="6" w:space="0" w:color="000000"/>
            </w:tcBorders>
          </w:tcPr>
          <w:p w14:paraId="11AABBB9" w14:textId="5A5ED6B5" w:rsidR="00446BDA" w:rsidRDefault="00AD435C">
            <w:pPr>
              <w:spacing w:after="0" w:line="259" w:lineRule="auto"/>
              <w:ind w:left="0" w:firstLine="0"/>
            </w:pPr>
            <w:r>
              <w:rPr>
                <w:rFonts w:ascii="Arial" w:eastAsia="Arial" w:hAnsi="Arial" w:cs="Arial"/>
                <w:sz w:val="22"/>
              </w:rPr>
              <w:t>This assignment is for the       1</w:t>
            </w:r>
            <w:r>
              <w:rPr>
                <w:rFonts w:ascii="Arial" w:eastAsia="Arial" w:hAnsi="Arial" w:cs="Arial"/>
                <w:sz w:val="22"/>
                <w:vertAlign w:val="superscript"/>
              </w:rPr>
              <w:t xml:space="preserve">st </w:t>
            </w:r>
            <w:r w:rsidR="003578BF">
              <w:rPr>
                <w:rFonts w:ascii="Arial" w:eastAsia="Arial" w:hAnsi="Arial" w:cs="Arial"/>
                <w:sz w:val="22"/>
                <w:vertAlign w:val="superscript"/>
              </w:rPr>
              <w:t xml:space="preserve"> </w:t>
            </w:r>
            <w:r w:rsidR="003578BF">
              <w:rPr>
                <w:rFonts w:ascii="Arial" w:eastAsia="Arial" w:hAnsi="Arial" w:cs="Arial"/>
                <w:sz w:val="22"/>
              </w:rPr>
              <w:t xml:space="preserve">    </w:t>
            </w:r>
            <w:r>
              <w:rPr>
                <w:rFonts w:ascii="Arial" w:eastAsia="Arial" w:hAnsi="Arial" w:cs="Arial"/>
                <w:sz w:val="22"/>
              </w:rPr>
              <w:t xml:space="preserve">  2</w:t>
            </w:r>
            <w:r>
              <w:rPr>
                <w:rFonts w:ascii="Arial" w:eastAsia="Arial" w:hAnsi="Arial" w:cs="Arial"/>
                <w:sz w:val="22"/>
                <w:vertAlign w:val="superscript"/>
              </w:rPr>
              <w:t>nd</w:t>
            </w:r>
            <w:r w:rsidR="00BE543D" w:rsidRPr="00743807">
              <w:rPr>
                <w:rFonts w:ascii="Arial" w:eastAsia="Arial" w:hAnsi="Arial" w:cs="Arial"/>
                <w:b/>
                <w:bCs/>
                <w:sz w:val="32"/>
                <w:szCs w:val="32"/>
                <w:vertAlign w:val="superscript"/>
              </w:rPr>
              <w:t xml:space="preserve"> X</w:t>
            </w:r>
            <w:r w:rsidR="003578BF">
              <w:rPr>
                <w:rFonts w:ascii="Arial" w:eastAsia="Arial" w:hAnsi="Arial" w:cs="Arial"/>
                <w:sz w:val="22"/>
                <w:vertAlign w:val="superscript"/>
              </w:rPr>
              <w:t xml:space="preserve"> </w:t>
            </w:r>
            <w:r>
              <w:rPr>
                <w:rFonts w:ascii="Arial" w:eastAsia="Arial" w:hAnsi="Arial" w:cs="Arial"/>
                <w:sz w:val="22"/>
              </w:rPr>
              <w:t xml:space="preserve">     3</w:t>
            </w:r>
            <w:r>
              <w:rPr>
                <w:rFonts w:ascii="Arial" w:eastAsia="Arial" w:hAnsi="Arial" w:cs="Arial"/>
                <w:sz w:val="22"/>
                <w:vertAlign w:val="superscript"/>
              </w:rPr>
              <w:t>rd</w:t>
            </w:r>
            <w:r>
              <w:rPr>
                <w:rFonts w:ascii="Arial" w:eastAsia="Arial" w:hAnsi="Arial" w:cs="Arial"/>
                <w:sz w:val="22"/>
              </w:rPr>
              <w:t xml:space="preserve">        4</w:t>
            </w:r>
            <w:r>
              <w:rPr>
                <w:rFonts w:ascii="Arial" w:eastAsia="Arial" w:hAnsi="Arial" w:cs="Arial"/>
                <w:sz w:val="22"/>
                <w:vertAlign w:val="superscript"/>
              </w:rPr>
              <w:t>th</w:t>
            </w:r>
            <w:r>
              <w:rPr>
                <w:rFonts w:ascii="Arial" w:eastAsia="Arial" w:hAnsi="Arial" w:cs="Arial"/>
                <w:sz w:val="22"/>
              </w:rPr>
              <w:t xml:space="preserve">       5</w:t>
            </w:r>
            <w:r>
              <w:rPr>
                <w:rFonts w:ascii="Arial" w:eastAsia="Arial" w:hAnsi="Arial" w:cs="Arial"/>
                <w:sz w:val="22"/>
                <w:vertAlign w:val="superscript"/>
              </w:rPr>
              <w:t>th</w:t>
            </w:r>
            <w:r>
              <w:rPr>
                <w:rFonts w:ascii="Arial" w:eastAsia="Arial" w:hAnsi="Arial" w:cs="Arial"/>
                <w:sz w:val="22"/>
              </w:rPr>
              <w:t xml:space="preserve">       6</w:t>
            </w:r>
            <w:r>
              <w:rPr>
                <w:rFonts w:ascii="Arial" w:eastAsia="Arial" w:hAnsi="Arial" w:cs="Arial"/>
                <w:sz w:val="22"/>
                <w:vertAlign w:val="superscript"/>
              </w:rPr>
              <w:t>th</w:t>
            </w:r>
            <w:r>
              <w:rPr>
                <w:rFonts w:ascii="Arial" w:eastAsia="Arial" w:hAnsi="Arial" w:cs="Arial"/>
                <w:sz w:val="22"/>
              </w:rPr>
              <w:t xml:space="preserve"> </w:t>
            </w:r>
            <w:r>
              <w:rPr>
                <w:rFonts w:ascii="Arial" w:eastAsia="Arial" w:hAnsi="Arial" w:cs="Arial"/>
                <w:b/>
                <w:sz w:val="22"/>
              </w:rPr>
              <w:t xml:space="preserve">   </w:t>
            </w:r>
            <w:r>
              <w:rPr>
                <w:rFonts w:ascii="Arial" w:eastAsia="Arial" w:hAnsi="Arial" w:cs="Arial"/>
                <w:sz w:val="22"/>
              </w:rPr>
              <w:t xml:space="preserve">module of the degree </w:t>
            </w:r>
          </w:p>
        </w:tc>
      </w:tr>
      <w:tr w:rsidR="00446BDA" w14:paraId="44B371D4" w14:textId="77777777">
        <w:trPr>
          <w:trHeight w:val="1607"/>
        </w:trPr>
        <w:tc>
          <w:tcPr>
            <w:tcW w:w="9362" w:type="dxa"/>
            <w:gridSpan w:val="3"/>
            <w:tcBorders>
              <w:top w:val="single" w:sz="6" w:space="0" w:color="000000"/>
              <w:left w:val="single" w:sz="6" w:space="0" w:color="000000"/>
              <w:bottom w:val="single" w:sz="6" w:space="0" w:color="000000"/>
              <w:right w:val="single" w:sz="6" w:space="0" w:color="000000"/>
            </w:tcBorders>
            <w:shd w:val="clear" w:color="auto" w:fill="D9D9D9"/>
          </w:tcPr>
          <w:p w14:paraId="6BA07BB9" w14:textId="77777777" w:rsidR="00446BDA" w:rsidRDefault="00AD435C">
            <w:pPr>
              <w:spacing w:after="44" w:line="275" w:lineRule="auto"/>
              <w:ind w:left="0" w:firstLine="0"/>
            </w:pPr>
            <w:r>
              <w:rPr>
                <w:rFonts w:ascii="Arial" w:eastAsia="Arial" w:hAnsi="Arial" w:cs="Arial"/>
                <w:sz w:val="22"/>
              </w:rPr>
              <w:t xml:space="preserve">I confirm that this is my original work and that I have adhered to the University policy on plagiarism. </w:t>
            </w:r>
          </w:p>
          <w:p w14:paraId="06B75A7A" w14:textId="77777777" w:rsidR="00446BDA" w:rsidRDefault="00AD435C">
            <w:pPr>
              <w:spacing w:after="72" w:line="259" w:lineRule="auto"/>
              <w:ind w:left="0" w:firstLine="0"/>
            </w:pPr>
            <w:r>
              <w:rPr>
                <w:rFonts w:ascii="Arial" w:eastAsia="Arial" w:hAnsi="Arial" w:cs="Arial"/>
                <w:sz w:val="22"/>
              </w:rPr>
              <w:t xml:space="preserve">Signed …………………………………………………………… </w:t>
            </w:r>
          </w:p>
          <w:p w14:paraId="4316ADF2" w14:textId="77777777" w:rsidR="00446BDA" w:rsidRDefault="00AD435C">
            <w:pPr>
              <w:spacing w:after="0" w:line="259" w:lineRule="auto"/>
              <w:ind w:left="0" w:firstLine="0"/>
            </w:pPr>
            <w:r>
              <w:rPr>
                <w:rFonts w:ascii="Calibri" w:eastAsia="Calibri" w:hAnsi="Calibri" w:cs="Calibri"/>
                <w:b/>
              </w:rPr>
              <w:t xml:space="preserve">Email submission:if you are submitting this form via email, please tick this box </w:t>
            </w:r>
            <w:r>
              <w:rPr>
                <w:rFonts w:ascii="Segoe UI Symbol" w:eastAsia="Segoe UI Symbol" w:hAnsi="Segoe UI Symbol" w:cs="Segoe UI Symbol"/>
              </w:rPr>
              <w:t>☑</w:t>
            </w:r>
            <w:r>
              <w:rPr>
                <w:rFonts w:ascii="Calibri" w:eastAsia="Calibri" w:hAnsi="Calibri" w:cs="Calibri"/>
              </w:rPr>
              <w:t xml:space="preserve"> </w:t>
            </w:r>
          </w:p>
          <w:p w14:paraId="581BFC85" w14:textId="77777777" w:rsidR="00446BDA" w:rsidRDefault="00AD435C">
            <w:pPr>
              <w:spacing w:after="0" w:line="259" w:lineRule="auto"/>
              <w:ind w:left="0" w:firstLine="0"/>
            </w:pPr>
            <w:r>
              <w:rPr>
                <w:rFonts w:ascii="Calibri" w:eastAsia="Calibri" w:hAnsi="Calibri" w:cs="Calibri"/>
                <w:b/>
              </w:rPr>
              <w:t>(as a substitute for your signature) to confirm that you agree to the above declaration.</w:t>
            </w:r>
            <w:r>
              <w:rPr>
                <w:rFonts w:ascii="Calibri" w:eastAsia="Calibri" w:hAnsi="Calibri" w:cs="Calibri"/>
              </w:rPr>
              <w:t xml:space="preserve"> </w:t>
            </w:r>
          </w:p>
        </w:tc>
      </w:tr>
    </w:tbl>
    <w:p w14:paraId="3322A0FE" w14:textId="77777777" w:rsidR="00446BDA" w:rsidRDefault="00446BDA">
      <w:pPr>
        <w:spacing w:after="0" w:line="259" w:lineRule="auto"/>
        <w:ind w:left="-540" w:right="1548" w:firstLine="0"/>
      </w:pPr>
    </w:p>
    <w:tbl>
      <w:tblPr>
        <w:tblStyle w:val="TableGrid"/>
        <w:tblW w:w="9364" w:type="dxa"/>
        <w:tblInd w:w="73" w:type="dxa"/>
        <w:tblCellMar>
          <w:top w:w="15" w:type="dxa"/>
          <w:left w:w="108" w:type="dxa"/>
          <w:right w:w="115" w:type="dxa"/>
        </w:tblCellMar>
        <w:tblLook w:val="04A0" w:firstRow="1" w:lastRow="0" w:firstColumn="1" w:lastColumn="0" w:noHBand="0" w:noVBand="1"/>
      </w:tblPr>
      <w:tblGrid>
        <w:gridCol w:w="4104"/>
        <w:gridCol w:w="1520"/>
        <w:gridCol w:w="3758"/>
      </w:tblGrid>
      <w:tr w:rsidR="00446BDA" w14:paraId="0A2A4DEE" w14:textId="77777777">
        <w:trPr>
          <w:trHeight w:val="8107"/>
        </w:trPr>
        <w:tc>
          <w:tcPr>
            <w:tcW w:w="9364" w:type="dxa"/>
            <w:gridSpan w:val="3"/>
            <w:tcBorders>
              <w:top w:val="single" w:sz="6" w:space="0" w:color="000000"/>
              <w:left w:val="single" w:sz="6" w:space="0" w:color="000000"/>
              <w:bottom w:val="single" w:sz="6" w:space="0" w:color="000000"/>
              <w:right w:val="single" w:sz="6" w:space="0" w:color="000000"/>
            </w:tcBorders>
          </w:tcPr>
          <w:p w14:paraId="5286F4FB" w14:textId="77777777" w:rsidR="00446BDA" w:rsidRDefault="00AD435C">
            <w:pPr>
              <w:spacing w:after="182" w:line="259" w:lineRule="auto"/>
              <w:ind w:left="5" w:firstLine="0"/>
            </w:pPr>
            <w:r>
              <w:rPr>
                <w:rFonts w:ascii="Arial" w:eastAsia="Arial" w:hAnsi="Arial" w:cs="Arial"/>
              </w:rPr>
              <w:lastRenderedPageBreak/>
              <w:t xml:space="preserve"> </w:t>
            </w:r>
          </w:p>
          <w:p w14:paraId="1E7130AE" w14:textId="77777777" w:rsidR="00446BDA" w:rsidRDefault="00AD435C">
            <w:pPr>
              <w:spacing w:after="0" w:line="259" w:lineRule="auto"/>
              <w:ind w:left="5" w:firstLine="0"/>
            </w:pPr>
            <w:r>
              <w:rPr>
                <w:rFonts w:ascii="Arial" w:eastAsia="Arial" w:hAnsi="Arial" w:cs="Arial"/>
                <w:b/>
              </w:rPr>
              <w:t>Assignment Mark</w:t>
            </w:r>
            <w:r>
              <w:rPr>
                <w:rFonts w:ascii="Arial" w:eastAsia="Arial" w:hAnsi="Arial" w:cs="Arial"/>
              </w:rPr>
              <w:t xml:space="preserve"> </w:t>
            </w:r>
          </w:p>
          <w:tbl>
            <w:tblPr>
              <w:tblStyle w:val="TableGrid"/>
              <w:tblW w:w="9124" w:type="dxa"/>
              <w:tblInd w:w="18" w:type="dxa"/>
              <w:tblCellMar>
                <w:top w:w="17" w:type="dxa"/>
                <w:left w:w="98" w:type="dxa"/>
                <w:right w:w="115" w:type="dxa"/>
              </w:tblCellMar>
              <w:tblLook w:val="04A0" w:firstRow="1" w:lastRow="0" w:firstColumn="1" w:lastColumn="0" w:noHBand="0" w:noVBand="1"/>
            </w:tblPr>
            <w:tblGrid>
              <w:gridCol w:w="7194"/>
              <w:gridCol w:w="1930"/>
            </w:tblGrid>
            <w:tr w:rsidR="00446BDA" w14:paraId="6BDDEA3C" w14:textId="77777777">
              <w:trPr>
                <w:trHeight w:val="870"/>
              </w:trPr>
              <w:tc>
                <w:tcPr>
                  <w:tcW w:w="7193" w:type="dxa"/>
                  <w:tcBorders>
                    <w:top w:val="single" w:sz="6" w:space="0" w:color="000000"/>
                    <w:left w:val="single" w:sz="6" w:space="0" w:color="000000"/>
                    <w:bottom w:val="single" w:sz="6" w:space="0" w:color="000000"/>
                    <w:right w:val="single" w:sz="6" w:space="0" w:color="000000"/>
                  </w:tcBorders>
                </w:tcPr>
                <w:p w14:paraId="77654179" w14:textId="77777777" w:rsidR="00446BDA" w:rsidRDefault="00AD435C">
                  <w:pPr>
                    <w:spacing w:after="196" w:line="259" w:lineRule="auto"/>
                    <w:ind w:left="0" w:firstLine="0"/>
                  </w:pPr>
                  <w:r>
                    <w:rPr>
                      <w:rFonts w:ascii="Arial" w:eastAsia="Arial" w:hAnsi="Arial" w:cs="Arial"/>
                      <w:sz w:val="20"/>
                    </w:rPr>
                    <w:t xml:space="preserve"> </w:t>
                  </w:r>
                </w:p>
                <w:p w14:paraId="028DBCFE" w14:textId="77777777" w:rsidR="00446BDA" w:rsidRDefault="00AD435C">
                  <w:pPr>
                    <w:spacing w:after="0" w:line="259" w:lineRule="auto"/>
                    <w:ind w:left="0" w:firstLine="0"/>
                  </w:pPr>
                  <w:r>
                    <w:rPr>
                      <w:rFonts w:ascii="Arial" w:eastAsia="Arial" w:hAnsi="Arial" w:cs="Arial"/>
                      <w:sz w:val="20"/>
                    </w:rPr>
                    <w:t>1</w:t>
                  </w:r>
                  <w:r>
                    <w:rPr>
                      <w:rFonts w:ascii="Arial" w:eastAsia="Arial" w:hAnsi="Arial" w:cs="Arial"/>
                      <w:sz w:val="20"/>
                      <w:vertAlign w:val="superscript"/>
                    </w:rPr>
                    <w:t>st</w:t>
                  </w:r>
                  <w:r>
                    <w:rPr>
                      <w:rFonts w:ascii="Arial" w:eastAsia="Arial" w:hAnsi="Arial" w:cs="Arial"/>
                      <w:sz w:val="20"/>
                    </w:rPr>
                    <w:t xml:space="preserve"> Marker’s Provisional mark </w:t>
                  </w:r>
                </w:p>
              </w:tc>
              <w:tc>
                <w:tcPr>
                  <w:tcW w:w="1930" w:type="dxa"/>
                  <w:tcBorders>
                    <w:top w:val="single" w:sz="6" w:space="0" w:color="000000"/>
                    <w:left w:val="single" w:sz="6" w:space="0" w:color="000000"/>
                    <w:bottom w:val="single" w:sz="6" w:space="0" w:color="000000"/>
                    <w:right w:val="single" w:sz="6" w:space="0" w:color="000000"/>
                  </w:tcBorders>
                </w:tcPr>
                <w:p w14:paraId="1297FD52" w14:textId="77777777" w:rsidR="00446BDA" w:rsidRDefault="00AD435C">
                  <w:pPr>
                    <w:spacing w:after="0" w:line="259" w:lineRule="auto"/>
                    <w:ind w:left="10" w:firstLine="0"/>
                  </w:pPr>
                  <w:r>
                    <w:rPr>
                      <w:rFonts w:ascii="Arial" w:eastAsia="Arial" w:hAnsi="Arial" w:cs="Arial"/>
                      <w:sz w:val="20"/>
                    </w:rPr>
                    <w:t xml:space="preserve"> </w:t>
                  </w:r>
                </w:p>
              </w:tc>
            </w:tr>
            <w:tr w:rsidR="00446BDA" w14:paraId="16736D06" w14:textId="77777777">
              <w:trPr>
                <w:trHeight w:val="866"/>
              </w:trPr>
              <w:tc>
                <w:tcPr>
                  <w:tcW w:w="7193" w:type="dxa"/>
                  <w:tcBorders>
                    <w:top w:val="single" w:sz="6" w:space="0" w:color="000000"/>
                    <w:left w:val="single" w:sz="6" w:space="0" w:color="000000"/>
                    <w:bottom w:val="single" w:sz="6" w:space="0" w:color="000000"/>
                    <w:right w:val="single" w:sz="6" w:space="0" w:color="000000"/>
                  </w:tcBorders>
                </w:tcPr>
                <w:p w14:paraId="3B700086" w14:textId="77777777" w:rsidR="00446BDA" w:rsidRDefault="00AD435C">
                  <w:pPr>
                    <w:spacing w:after="197" w:line="259" w:lineRule="auto"/>
                    <w:ind w:left="0" w:firstLine="0"/>
                  </w:pPr>
                  <w:r>
                    <w:rPr>
                      <w:rFonts w:ascii="Arial" w:eastAsia="Arial" w:hAnsi="Arial" w:cs="Arial"/>
                      <w:sz w:val="20"/>
                    </w:rPr>
                    <w:t xml:space="preserve"> </w:t>
                  </w:r>
                </w:p>
                <w:p w14:paraId="52D0F0C4" w14:textId="77777777" w:rsidR="00446BDA" w:rsidRDefault="00AD435C">
                  <w:pPr>
                    <w:spacing w:after="0" w:line="259" w:lineRule="auto"/>
                    <w:ind w:left="0" w:firstLine="0"/>
                  </w:pPr>
                  <w:r>
                    <w:rPr>
                      <w:rFonts w:ascii="Arial" w:eastAsia="Arial" w:hAnsi="Arial" w:cs="Arial"/>
                      <w:sz w:val="20"/>
                    </w:rPr>
                    <w:t>2</w:t>
                  </w:r>
                  <w:r>
                    <w:rPr>
                      <w:rFonts w:ascii="Arial" w:eastAsia="Arial" w:hAnsi="Arial" w:cs="Arial"/>
                      <w:sz w:val="20"/>
                      <w:vertAlign w:val="superscript"/>
                    </w:rPr>
                    <w:t>nd</w:t>
                  </w:r>
                  <w:r>
                    <w:rPr>
                      <w:rFonts w:ascii="Arial" w:eastAsia="Arial" w:hAnsi="Arial" w:cs="Arial"/>
                      <w:sz w:val="20"/>
                    </w:rPr>
                    <w:t xml:space="preserve"> Marker’s/Moderator’s provisional mark </w:t>
                  </w:r>
                </w:p>
              </w:tc>
              <w:tc>
                <w:tcPr>
                  <w:tcW w:w="1930" w:type="dxa"/>
                  <w:tcBorders>
                    <w:top w:val="single" w:sz="6" w:space="0" w:color="000000"/>
                    <w:left w:val="single" w:sz="6" w:space="0" w:color="000000"/>
                    <w:bottom w:val="single" w:sz="6" w:space="0" w:color="000000"/>
                    <w:right w:val="single" w:sz="6" w:space="0" w:color="000000"/>
                  </w:tcBorders>
                </w:tcPr>
                <w:p w14:paraId="34B1721C" w14:textId="77777777" w:rsidR="00446BDA" w:rsidRDefault="00AD435C">
                  <w:pPr>
                    <w:spacing w:after="0" w:line="259" w:lineRule="auto"/>
                    <w:ind w:left="10" w:firstLine="0"/>
                  </w:pPr>
                  <w:r>
                    <w:rPr>
                      <w:rFonts w:ascii="Arial" w:eastAsia="Arial" w:hAnsi="Arial" w:cs="Arial"/>
                      <w:sz w:val="20"/>
                    </w:rPr>
                    <w:t xml:space="preserve"> </w:t>
                  </w:r>
                </w:p>
              </w:tc>
            </w:tr>
            <w:tr w:rsidR="00446BDA" w14:paraId="578DE7DE" w14:textId="77777777">
              <w:trPr>
                <w:trHeight w:val="870"/>
              </w:trPr>
              <w:tc>
                <w:tcPr>
                  <w:tcW w:w="7193" w:type="dxa"/>
                  <w:tcBorders>
                    <w:top w:val="single" w:sz="6" w:space="0" w:color="000000"/>
                    <w:left w:val="single" w:sz="6" w:space="0" w:color="000000"/>
                    <w:bottom w:val="single" w:sz="6" w:space="0" w:color="000000"/>
                    <w:right w:val="single" w:sz="6" w:space="0" w:color="000000"/>
                  </w:tcBorders>
                </w:tcPr>
                <w:p w14:paraId="652A3247" w14:textId="77777777" w:rsidR="00446BDA" w:rsidRDefault="00AD435C">
                  <w:pPr>
                    <w:spacing w:after="216" w:line="259" w:lineRule="auto"/>
                    <w:ind w:left="0" w:firstLine="0"/>
                  </w:pPr>
                  <w:r>
                    <w:rPr>
                      <w:rFonts w:ascii="Arial" w:eastAsia="Arial" w:hAnsi="Arial" w:cs="Arial"/>
                      <w:sz w:val="20"/>
                    </w:rPr>
                    <w:t xml:space="preserve"> </w:t>
                  </w:r>
                </w:p>
                <w:p w14:paraId="1ED7C95A" w14:textId="77777777" w:rsidR="00446BDA" w:rsidRDefault="00AD435C">
                  <w:pPr>
                    <w:spacing w:after="0" w:line="259" w:lineRule="auto"/>
                    <w:ind w:left="0" w:firstLine="0"/>
                  </w:pPr>
                  <w:r>
                    <w:rPr>
                      <w:rFonts w:ascii="Arial" w:eastAsia="Arial" w:hAnsi="Arial" w:cs="Arial"/>
                      <w:sz w:val="20"/>
                    </w:rPr>
                    <w:t xml:space="preserve">External Examiner’s mark (if relevant) </w:t>
                  </w:r>
                </w:p>
              </w:tc>
              <w:tc>
                <w:tcPr>
                  <w:tcW w:w="1930" w:type="dxa"/>
                  <w:tcBorders>
                    <w:top w:val="single" w:sz="6" w:space="0" w:color="000000"/>
                    <w:left w:val="single" w:sz="6" w:space="0" w:color="000000"/>
                    <w:bottom w:val="single" w:sz="6" w:space="0" w:color="000000"/>
                    <w:right w:val="single" w:sz="6" w:space="0" w:color="000000"/>
                  </w:tcBorders>
                </w:tcPr>
                <w:p w14:paraId="57544953" w14:textId="77777777" w:rsidR="00446BDA" w:rsidRDefault="00AD435C">
                  <w:pPr>
                    <w:spacing w:after="0" w:line="259" w:lineRule="auto"/>
                    <w:ind w:left="10" w:firstLine="0"/>
                  </w:pPr>
                  <w:r>
                    <w:rPr>
                      <w:rFonts w:ascii="Arial" w:eastAsia="Arial" w:hAnsi="Arial" w:cs="Arial"/>
                      <w:sz w:val="20"/>
                    </w:rPr>
                    <w:t xml:space="preserve"> </w:t>
                  </w:r>
                </w:p>
              </w:tc>
            </w:tr>
            <w:tr w:rsidR="00446BDA" w14:paraId="11304CFC" w14:textId="77777777">
              <w:trPr>
                <w:trHeight w:val="1300"/>
              </w:trPr>
              <w:tc>
                <w:tcPr>
                  <w:tcW w:w="7193" w:type="dxa"/>
                  <w:tcBorders>
                    <w:top w:val="single" w:sz="6" w:space="0" w:color="000000"/>
                    <w:left w:val="single" w:sz="6" w:space="0" w:color="000000"/>
                    <w:bottom w:val="single" w:sz="6" w:space="0" w:color="000000"/>
                    <w:right w:val="single" w:sz="6" w:space="0" w:color="000000"/>
                  </w:tcBorders>
                </w:tcPr>
                <w:p w14:paraId="7A050D02" w14:textId="77777777" w:rsidR="00446BDA" w:rsidRDefault="00AD435C">
                  <w:pPr>
                    <w:spacing w:after="182" w:line="259" w:lineRule="auto"/>
                    <w:ind w:left="0" w:firstLine="0"/>
                  </w:pPr>
                  <w:r>
                    <w:rPr>
                      <w:rFonts w:ascii="Arial" w:eastAsia="Arial" w:hAnsi="Arial" w:cs="Arial"/>
                      <w:sz w:val="20"/>
                    </w:rPr>
                    <w:t xml:space="preserve"> </w:t>
                  </w:r>
                </w:p>
                <w:p w14:paraId="2ED0EC01" w14:textId="77777777" w:rsidR="00446BDA" w:rsidRDefault="00AD435C">
                  <w:pPr>
                    <w:spacing w:after="177" w:line="259" w:lineRule="auto"/>
                    <w:ind w:left="0" w:firstLine="0"/>
                  </w:pPr>
                  <w:r>
                    <w:rPr>
                      <w:rFonts w:ascii="Arial" w:eastAsia="Arial" w:hAnsi="Arial" w:cs="Arial"/>
                      <w:b/>
                      <w:sz w:val="20"/>
                    </w:rPr>
                    <w:t>Final Mark</w:t>
                  </w:r>
                  <w:r>
                    <w:rPr>
                      <w:rFonts w:ascii="Arial" w:eastAsia="Arial" w:hAnsi="Arial" w:cs="Arial"/>
                      <w:sz w:val="20"/>
                    </w:rPr>
                    <w:t xml:space="preserve"> </w:t>
                  </w:r>
                </w:p>
                <w:p w14:paraId="1FFAB9F5" w14:textId="77777777" w:rsidR="00446BDA" w:rsidRDefault="00AD435C">
                  <w:pPr>
                    <w:spacing w:after="0" w:line="259" w:lineRule="auto"/>
                    <w:ind w:left="0" w:firstLine="0"/>
                  </w:pPr>
                  <w:r>
                    <w:rPr>
                      <w:rFonts w:ascii="Arial" w:eastAsia="Arial" w:hAnsi="Arial" w:cs="Arial"/>
                      <w:sz w:val="20"/>
                    </w:rPr>
                    <w:t xml:space="preserve"> </w:t>
                  </w:r>
                </w:p>
              </w:tc>
              <w:tc>
                <w:tcPr>
                  <w:tcW w:w="1930" w:type="dxa"/>
                  <w:tcBorders>
                    <w:top w:val="single" w:sz="6" w:space="0" w:color="000000"/>
                    <w:left w:val="single" w:sz="6" w:space="0" w:color="000000"/>
                    <w:bottom w:val="single" w:sz="6" w:space="0" w:color="000000"/>
                    <w:right w:val="single" w:sz="6" w:space="0" w:color="000000"/>
                  </w:tcBorders>
                </w:tcPr>
                <w:p w14:paraId="70BCAC71" w14:textId="77777777" w:rsidR="00446BDA" w:rsidRDefault="00AD435C">
                  <w:pPr>
                    <w:spacing w:after="0" w:line="259" w:lineRule="auto"/>
                    <w:ind w:left="10" w:firstLine="0"/>
                  </w:pPr>
                  <w:r>
                    <w:rPr>
                      <w:rFonts w:ascii="Arial" w:eastAsia="Arial" w:hAnsi="Arial" w:cs="Arial"/>
                      <w:sz w:val="20"/>
                    </w:rPr>
                    <w:t xml:space="preserve"> </w:t>
                  </w:r>
                </w:p>
              </w:tc>
            </w:tr>
          </w:tbl>
          <w:p w14:paraId="0506229D" w14:textId="77777777" w:rsidR="00446BDA" w:rsidRDefault="00AD435C">
            <w:pPr>
              <w:spacing w:after="22" w:line="259" w:lineRule="auto"/>
              <w:ind w:left="145" w:firstLine="0"/>
            </w:pPr>
            <w:r>
              <w:rPr>
                <w:rFonts w:ascii="Arial" w:eastAsia="Arial" w:hAnsi="Arial" w:cs="Arial"/>
                <w:sz w:val="22"/>
              </w:rPr>
              <w:t xml:space="preserve"> </w:t>
            </w:r>
          </w:p>
          <w:p w14:paraId="576A83F3" w14:textId="77777777" w:rsidR="00446BDA" w:rsidRDefault="00AD435C">
            <w:pPr>
              <w:spacing w:after="17" w:line="259" w:lineRule="auto"/>
              <w:ind w:left="145" w:firstLine="0"/>
            </w:pPr>
            <w:r>
              <w:rPr>
                <w:rFonts w:ascii="Arial" w:eastAsia="Arial" w:hAnsi="Arial" w:cs="Arial"/>
                <w:b/>
                <w:sz w:val="22"/>
              </w:rPr>
              <w:t>NB.</w:t>
            </w:r>
            <w:r>
              <w:rPr>
                <w:rFonts w:ascii="Arial" w:eastAsia="Arial" w:hAnsi="Arial" w:cs="Arial"/>
                <w:sz w:val="22"/>
              </w:rPr>
              <w:t xml:space="preserve">  All marks are provisional until confirmed by the Final Examination Board. </w:t>
            </w:r>
          </w:p>
          <w:p w14:paraId="2C54F3D8" w14:textId="77777777" w:rsidR="00446BDA" w:rsidRDefault="00AD435C">
            <w:pPr>
              <w:spacing w:after="22" w:line="259" w:lineRule="auto"/>
              <w:ind w:left="5" w:firstLine="0"/>
            </w:pPr>
            <w:r>
              <w:rPr>
                <w:rFonts w:ascii="Arial" w:eastAsia="Arial" w:hAnsi="Arial" w:cs="Arial"/>
                <w:sz w:val="22"/>
              </w:rPr>
              <w:t xml:space="preserve"> </w:t>
            </w:r>
          </w:p>
          <w:p w14:paraId="521B74E4" w14:textId="77777777" w:rsidR="00446BDA" w:rsidRDefault="00AD435C">
            <w:pPr>
              <w:spacing w:after="22" w:line="259" w:lineRule="auto"/>
              <w:ind w:left="5" w:firstLine="0"/>
            </w:pPr>
            <w:r>
              <w:rPr>
                <w:rFonts w:ascii="Arial" w:eastAsia="Arial" w:hAnsi="Arial" w:cs="Arial"/>
                <w:sz w:val="22"/>
              </w:rPr>
              <w:t xml:space="preserve"> </w:t>
            </w:r>
          </w:p>
          <w:p w14:paraId="02603D5A" w14:textId="77777777" w:rsidR="00446BDA" w:rsidRDefault="00AD435C">
            <w:pPr>
              <w:spacing w:after="22" w:line="259" w:lineRule="auto"/>
              <w:ind w:left="5" w:firstLine="0"/>
            </w:pPr>
            <w:r>
              <w:rPr>
                <w:rFonts w:ascii="Arial" w:eastAsia="Arial" w:hAnsi="Arial" w:cs="Arial"/>
                <w:sz w:val="22"/>
              </w:rPr>
              <w:t xml:space="preserve"> </w:t>
            </w:r>
          </w:p>
          <w:p w14:paraId="411E5619" w14:textId="77777777" w:rsidR="00446BDA" w:rsidRDefault="00AD435C">
            <w:pPr>
              <w:spacing w:after="22" w:line="259" w:lineRule="auto"/>
              <w:ind w:left="5" w:firstLine="0"/>
            </w:pPr>
            <w:r>
              <w:rPr>
                <w:rFonts w:ascii="Arial" w:eastAsia="Arial" w:hAnsi="Arial" w:cs="Arial"/>
                <w:sz w:val="22"/>
              </w:rPr>
              <w:t xml:space="preserve"> </w:t>
            </w:r>
          </w:p>
          <w:p w14:paraId="43D9E3F6" w14:textId="77777777" w:rsidR="00446BDA" w:rsidRDefault="00AD435C">
            <w:pPr>
              <w:spacing w:after="302" w:line="259" w:lineRule="auto"/>
              <w:ind w:left="5" w:firstLine="0"/>
            </w:pPr>
            <w:r>
              <w:rPr>
                <w:rFonts w:ascii="Arial" w:eastAsia="Arial" w:hAnsi="Arial" w:cs="Arial"/>
                <w:b/>
                <w:sz w:val="22"/>
              </w:rPr>
              <w:t>For completion by Marker 1 :</w:t>
            </w:r>
            <w:r>
              <w:rPr>
                <w:rFonts w:ascii="Arial" w:eastAsia="Arial" w:hAnsi="Arial" w:cs="Arial"/>
                <w:sz w:val="22"/>
              </w:rPr>
              <w:t xml:space="preserve"> </w:t>
            </w:r>
          </w:p>
          <w:p w14:paraId="190B2DE9" w14:textId="77777777" w:rsidR="00446BDA" w:rsidRDefault="00AD435C">
            <w:pPr>
              <w:spacing w:after="297" w:line="259" w:lineRule="auto"/>
              <w:ind w:left="5" w:firstLine="0"/>
            </w:pPr>
            <w:r>
              <w:rPr>
                <w:rFonts w:ascii="Arial" w:eastAsia="Arial" w:hAnsi="Arial" w:cs="Arial"/>
                <w:sz w:val="22"/>
              </w:rPr>
              <w:t xml:space="preserve">Comments: </w:t>
            </w:r>
          </w:p>
          <w:p w14:paraId="5CECF971" w14:textId="77777777" w:rsidR="00446BDA" w:rsidRDefault="00AD435C">
            <w:pPr>
              <w:spacing w:after="0" w:line="259" w:lineRule="auto"/>
              <w:ind w:left="5" w:firstLine="0"/>
            </w:pPr>
            <w:r>
              <w:rPr>
                <w:rFonts w:ascii="Arial" w:eastAsia="Arial" w:hAnsi="Arial" w:cs="Arial"/>
                <w:sz w:val="22"/>
              </w:rPr>
              <w:t xml:space="preserve"> </w:t>
            </w:r>
          </w:p>
        </w:tc>
      </w:tr>
      <w:tr w:rsidR="00446BDA" w14:paraId="7E119C71" w14:textId="77777777">
        <w:trPr>
          <w:trHeight w:val="495"/>
        </w:trPr>
        <w:tc>
          <w:tcPr>
            <w:tcW w:w="5617" w:type="dxa"/>
            <w:gridSpan w:val="2"/>
            <w:tcBorders>
              <w:top w:val="single" w:sz="6" w:space="0" w:color="000000"/>
              <w:left w:val="single" w:sz="6" w:space="0" w:color="000000"/>
              <w:bottom w:val="single" w:sz="6" w:space="0" w:color="000000"/>
              <w:right w:val="single" w:sz="6" w:space="0" w:color="000000"/>
            </w:tcBorders>
            <w:vAlign w:val="center"/>
          </w:tcPr>
          <w:p w14:paraId="13FC49D4" w14:textId="77777777" w:rsidR="00446BDA" w:rsidRDefault="00AD435C">
            <w:pPr>
              <w:spacing w:after="0" w:line="259" w:lineRule="auto"/>
              <w:ind w:left="140" w:firstLine="0"/>
            </w:pPr>
            <w:r>
              <w:rPr>
                <w:rFonts w:ascii="Arial" w:eastAsia="Arial" w:hAnsi="Arial" w:cs="Arial"/>
                <w:sz w:val="22"/>
              </w:rPr>
              <w:t xml:space="preserve">Marker’s signature: </w:t>
            </w:r>
          </w:p>
        </w:tc>
        <w:tc>
          <w:tcPr>
            <w:tcW w:w="3746" w:type="dxa"/>
            <w:tcBorders>
              <w:top w:val="single" w:sz="6" w:space="0" w:color="000000"/>
              <w:left w:val="single" w:sz="6" w:space="0" w:color="000000"/>
              <w:bottom w:val="single" w:sz="6" w:space="0" w:color="000000"/>
              <w:right w:val="single" w:sz="6" w:space="0" w:color="000000"/>
            </w:tcBorders>
            <w:vAlign w:val="center"/>
          </w:tcPr>
          <w:p w14:paraId="50A8FD7E" w14:textId="77777777" w:rsidR="00446BDA" w:rsidRDefault="00AD435C">
            <w:pPr>
              <w:spacing w:after="0" w:line="259" w:lineRule="auto"/>
              <w:ind w:left="140" w:firstLine="0"/>
            </w:pPr>
            <w:r>
              <w:rPr>
                <w:rFonts w:ascii="Arial" w:eastAsia="Arial" w:hAnsi="Arial" w:cs="Arial"/>
                <w:sz w:val="22"/>
              </w:rPr>
              <w:t xml:space="preserve">Date: </w:t>
            </w:r>
          </w:p>
        </w:tc>
      </w:tr>
      <w:tr w:rsidR="00446BDA" w14:paraId="4B0A31D3" w14:textId="77777777">
        <w:trPr>
          <w:trHeight w:val="4426"/>
        </w:trPr>
        <w:tc>
          <w:tcPr>
            <w:tcW w:w="9364" w:type="dxa"/>
            <w:gridSpan w:val="3"/>
            <w:tcBorders>
              <w:top w:val="single" w:sz="6" w:space="0" w:color="000000"/>
              <w:left w:val="single" w:sz="6" w:space="0" w:color="000000"/>
              <w:bottom w:val="single" w:sz="6" w:space="0" w:color="000000"/>
              <w:right w:val="single" w:sz="6" w:space="0" w:color="000000"/>
            </w:tcBorders>
          </w:tcPr>
          <w:p w14:paraId="04AB9ACF" w14:textId="77777777" w:rsidR="00446BDA" w:rsidRDefault="00AD435C">
            <w:pPr>
              <w:spacing w:after="22" w:line="259" w:lineRule="auto"/>
              <w:ind w:left="0" w:firstLine="0"/>
            </w:pPr>
            <w:r>
              <w:rPr>
                <w:rFonts w:ascii="Arial" w:eastAsia="Arial" w:hAnsi="Arial" w:cs="Arial"/>
                <w:sz w:val="22"/>
              </w:rPr>
              <w:lastRenderedPageBreak/>
              <w:t xml:space="preserve"> </w:t>
            </w:r>
          </w:p>
          <w:p w14:paraId="465E9F23" w14:textId="77777777" w:rsidR="00446BDA" w:rsidRDefault="00AD435C">
            <w:pPr>
              <w:spacing w:after="22" w:line="259" w:lineRule="auto"/>
              <w:ind w:left="0" w:firstLine="0"/>
            </w:pPr>
            <w:r>
              <w:rPr>
                <w:rFonts w:ascii="Arial" w:eastAsia="Arial" w:hAnsi="Arial" w:cs="Arial"/>
                <w:b/>
                <w:sz w:val="22"/>
              </w:rPr>
              <w:t>For completion by Marker 2/Moderator:</w:t>
            </w:r>
            <w:r>
              <w:rPr>
                <w:rFonts w:ascii="Arial" w:eastAsia="Arial" w:hAnsi="Arial" w:cs="Arial"/>
                <w:sz w:val="22"/>
              </w:rPr>
              <w:t xml:space="preserve"> </w:t>
            </w:r>
          </w:p>
          <w:p w14:paraId="370BD470" w14:textId="77777777" w:rsidR="00446BDA" w:rsidRDefault="00AD435C">
            <w:pPr>
              <w:spacing w:after="22" w:line="259" w:lineRule="auto"/>
              <w:ind w:left="0" w:firstLine="0"/>
            </w:pPr>
            <w:r>
              <w:rPr>
                <w:rFonts w:ascii="Arial" w:eastAsia="Arial" w:hAnsi="Arial" w:cs="Arial"/>
                <w:sz w:val="22"/>
              </w:rPr>
              <w:t xml:space="preserve"> </w:t>
            </w:r>
          </w:p>
          <w:p w14:paraId="5BE1948B" w14:textId="77777777" w:rsidR="00446BDA" w:rsidRDefault="00AD435C">
            <w:pPr>
              <w:spacing w:after="17" w:line="259" w:lineRule="auto"/>
              <w:ind w:left="0" w:firstLine="0"/>
            </w:pPr>
            <w:r>
              <w:rPr>
                <w:rFonts w:ascii="Arial" w:eastAsia="Arial" w:hAnsi="Arial" w:cs="Arial"/>
                <w:sz w:val="22"/>
              </w:rPr>
              <w:t xml:space="preserve">Comments: </w:t>
            </w:r>
          </w:p>
          <w:p w14:paraId="780C79C0" w14:textId="77777777" w:rsidR="00446BDA" w:rsidRDefault="00AD435C">
            <w:pPr>
              <w:spacing w:after="22" w:line="259" w:lineRule="auto"/>
              <w:ind w:left="0" w:firstLine="0"/>
            </w:pPr>
            <w:r>
              <w:rPr>
                <w:rFonts w:ascii="Arial" w:eastAsia="Arial" w:hAnsi="Arial" w:cs="Arial"/>
                <w:sz w:val="22"/>
              </w:rPr>
              <w:t xml:space="preserve"> </w:t>
            </w:r>
          </w:p>
          <w:p w14:paraId="11A7B21D" w14:textId="77777777" w:rsidR="00446BDA" w:rsidRDefault="00AD435C">
            <w:pPr>
              <w:spacing w:after="22" w:line="259" w:lineRule="auto"/>
              <w:ind w:left="0" w:firstLine="0"/>
            </w:pPr>
            <w:r>
              <w:rPr>
                <w:rFonts w:ascii="Arial" w:eastAsia="Arial" w:hAnsi="Arial" w:cs="Arial"/>
                <w:sz w:val="22"/>
              </w:rPr>
              <w:t xml:space="preserve"> </w:t>
            </w:r>
          </w:p>
          <w:p w14:paraId="6968C3A5" w14:textId="77777777" w:rsidR="00446BDA" w:rsidRDefault="00AD435C">
            <w:pPr>
              <w:spacing w:after="22" w:line="259" w:lineRule="auto"/>
              <w:ind w:left="0" w:firstLine="0"/>
            </w:pPr>
            <w:r>
              <w:rPr>
                <w:rFonts w:ascii="Arial" w:eastAsia="Arial" w:hAnsi="Arial" w:cs="Arial"/>
                <w:sz w:val="22"/>
              </w:rPr>
              <w:t xml:space="preserve"> </w:t>
            </w:r>
          </w:p>
          <w:p w14:paraId="73268B39" w14:textId="77777777" w:rsidR="00446BDA" w:rsidRDefault="00AD435C">
            <w:pPr>
              <w:spacing w:after="22" w:line="259" w:lineRule="auto"/>
              <w:ind w:left="0" w:firstLine="0"/>
            </w:pPr>
            <w:r>
              <w:rPr>
                <w:rFonts w:ascii="Arial" w:eastAsia="Arial" w:hAnsi="Arial" w:cs="Arial"/>
                <w:sz w:val="22"/>
              </w:rPr>
              <w:t xml:space="preserve"> </w:t>
            </w:r>
          </w:p>
          <w:p w14:paraId="28B7F455" w14:textId="77777777" w:rsidR="00446BDA" w:rsidRDefault="00AD435C">
            <w:pPr>
              <w:spacing w:after="22" w:line="259" w:lineRule="auto"/>
              <w:ind w:left="0" w:firstLine="0"/>
            </w:pPr>
            <w:r>
              <w:rPr>
                <w:rFonts w:ascii="Arial" w:eastAsia="Arial" w:hAnsi="Arial" w:cs="Arial"/>
                <w:sz w:val="22"/>
              </w:rPr>
              <w:t xml:space="preserve"> </w:t>
            </w:r>
          </w:p>
          <w:p w14:paraId="342526A3" w14:textId="77777777" w:rsidR="00446BDA" w:rsidRDefault="00AD435C">
            <w:pPr>
              <w:spacing w:after="17" w:line="259" w:lineRule="auto"/>
              <w:ind w:left="0" w:firstLine="0"/>
            </w:pPr>
            <w:r>
              <w:rPr>
                <w:rFonts w:ascii="Arial" w:eastAsia="Arial" w:hAnsi="Arial" w:cs="Arial"/>
                <w:sz w:val="22"/>
              </w:rPr>
              <w:t xml:space="preserve"> </w:t>
            </w:r>
          </w:p>
          <w:p w14:paraId="1048192E" w14:textId="77777777" w:rsidR="00446BDA" w:rsidRDefault="00AD435C">
            <w:pPr>
              <w:spacing w:after="22" w:line="259" w:lineRule="auto"/>
              <w:ind w:left="0" w:firstLine="0"/>
            </w:pPr>
            <w:r>
              <w:rPr>
                <w:rFonts w:ascii="Arial" w:eastAsia="Arial" w:hAnsi="Arial" w:cs="Arial"/>
                <w:sz w:val="22"/>
              </w:rPr>
              <w:t xml:space="preserve"> </w:t>
            </w:r>
          </w:p>
          <w:p w14:paraId="38FAA4A5" w14:textId="77777777" w:rsidR="00446BDA" w:rsidRDefault="00AD435C">
            <w:pPr>
              <w:spacing w:after="22" w:line="259" w:lineRule="auto"/>
              <w:ind w:left="0" w:firstLine="0"/>
            </w:pPr>
            <w:r>
              <w:rPr>
                <w:rFonts w:ascii="Arial" w:eastAsia="Arial" w:hAnsi="Arial" w:cs="Arial"/>
                <w:sz w:val="22"/>
              </w:rPr>
              <w:t xml:space="preserve"> </w:t>
            </w:r>
          </w:p>
          <w:p w14:paraId="028B2ADB" w14:textId="77777777" w:rsidR="00446BDA" w:rsidRDefault="00AD435C">
            <w:pPr>
              <w:spacing w:after="22" w:line="259" w:lineRule="auto"/>
              <w:ind w:left="0" w:firstLine="0"/>
            </w:pPr>
            <w:r>
              <w:rPr>
                <w:rFonts w:ascii="Arial" w:eastAsia="Arial" w:hAnsi="Arial" w:cs="Arial"/>
                <w:sz w:val="22"/>
              </w:rPr>
              <w:t xml:space="preserve"> </w:t>
            </w:r>
          </w:p>
          <w:p w14:paraId="2FF7D007" w14:textId="77777777" w:rsidR="00446BDA" w:rsidRDefault="00AD435C">
            <w:pPr>
              <w:spacing w:after="22" w:line="259" w:lineRule="auto"/>
              <w:ind w:left="0" w:firstLine="0"/>
            </w:pPr>
            <w:r>
              <w:rPr>
                <w:rFonts w:ascii="Arial" w:eastAsia="Arial" w:hAnsi="Arial" w:cs="Arial"/>
                <w:sz w:val="22"/>
              </w:rPr>
              <w:t xml:space="preserve"> </w:t>
            </w:r>
          </w:p>
          <w:p w14:paraId="50F4666D" w14:textId="77777777" w:rsidR="00446BDA" w:rsidRDefault="00AD435C">
            <w:pPr>
              <w:spacing w:after="0" w:line="259" w:lineRule="auto"/>
              <w:ind w:left="0" w:firstLine="0"/>
            </w:pPr>
            <w:r>
              <w:rPr>
                <w:rFonts w:ascii="Arial" w:eastAsia="Arial" w:hAnsi="Arial" w:cs="Arial"/>
                <w:sz w:val="22"/>
              </w:rPr>
              <w:t xml:space="preserve"> </w:t>
            </w:r>
          </w:p>
        </w:tc>
      </w:tr>
      <w:tr w:rsidR="00446BDA" w14:paraId="317B5F5C" w14:textId="77777777">
        <w:trPr>
          <w:trHeight w:val="735"/>
        </w:trPr>
        <w:tc>
          <w:tcPr>
            <w:tcW w:w="3747" w:type="dxa"/>
            <w:tcBorders>
              <w:top w:val="single" w:sz="6" w:space="0" w:color="000000"/>
              <w:left w:val="single" w:sz="6" w:space="0" w:color="000000"/>
              <w:bottom w:val="single" w:sz="6" w:space="0" w:color="000000"/>
              <w:right w:val="single" w:sz="6" w:space="0" w:color="000000"/>
            </w:tcBorders>
            <w:vAlign w:val="center"/>
          </w:tcPr>
          <w:p w14:paraId="61263767" w14:textId="77777777" w:rsidR="00446BDA" w:rsidRDefault="00AD435C">
            <w:pPr>
              <w:spacing w:after="0" w:line="259" w:lineRule="auto"/>
              <w:ind w:left="0" w:firstLine="0"/>
            </w:pPr>
            <w:r>
              <w:rPr>
                <w:rFonts w:ascii="Arial" w:eastAsia="Arial" w:hAnsi="Arial" w:cs="Arial"/>
                <w:sz w:val="22"/>
              </w:rPr>
              <w:t xml:space="preserve">Marker’s Signature: </w:t>
            </w:r>
          </w:p>
        </w:tc>
        <w:tc>
          <w:tcPr>
            <w:tcW w:w="5617" w:type="dxa"/>
            <w:gridSpan w:val="2"/>
            <w:tcBorders>
              <w:top w:val="single" w:sz="6" w:space="0" w:color="000000"/>
              <w:left w:val="single" w:sz="6" w:space="0" w:color="000000"/>
              <w:bottom w:val="single" w:sz="6" w:space="0" w:color="000000"/>
              <w:right w:val="single" w:sz="6" w:space="0" w:color="000000"/>
            </w:tcBorders>
            <w:vAlign w:val="center"/>
          </w:tcPr>
          <w:p w14:paraId="12285CC3" w14:textId="77777777" w:rsidR="00446BDA" w:rsidRDefault="00AD435C">
            <w:pPr>
              <w:spacing w:after="0" w:line="259" w:lineRule="auto"/>
              <w:ind w:left="0" w:firstLine="0"/>
            </w:pPr>
            <w:r>
              <w:rPr>
                <w:rFonts w:ascii="Arial" w:eastAsia="Arial" w:hAnsi="Arial" w:cs="Arial"/>
                <w:sz w:val="22"/>
              </w:rPr>
              <w:t xml:space="preserve">Date: </w:t>
            </w:r>
          </w:p>
        </w:tc>
      </w:tr>
      <w:tr w:rsidR="00446BDA" w14:paraId="0203836F" w14:textId="77777777">
        <w:trPr>
          <w:trHeight w:val="3411"/>
        </w:trPr>
        <w:tc>
          <w:tcPr>
            <w:tcW w:w="9364" w:type="dxa"/>
            <w:gridSpan w:val="3"/>
            <w:tcBorders>
              <w:top w:val="single" w:sz="6" w:space="0" w:color="000000"/>
              <w:left w:val="single" w:sz="6" w:space="0" w:color="000000"/>
              <w:bottom w:val="single" w:sz="6" w:space="0" w:color="000000"/>
              <w:right w:val="single" w:sz="6" w:space="0" w:color="000000"/>
            </w:tcBorders>
          </w:tcPr>
          <w:p w14:paraId="650620F0" w14:textId="77777777" w:rsidR="00446BDA" w:rsidRDefault="00AD435C">
            <w:pPr>
              <w:spacing w:after="182" w:line="259" w:lineRule="auto"/>
              <w:ind w:left="0" w:firstLine="0"/>
            </w:pPr>
            <w:r>
              <w:rPr>
                <w:rFonts w:ascii="Arial" w:eastAsia="Arial" w:hAnsi="Arial" w:cs="Arial"/>
                <w:b/>
                <w:sz w:val="22"/>
              </w:rPr>
              <w:t>External Examiner’s comments (if relevant)</w:t>
            </w:r>
            <w:r>
              <w:rPr>
                <w:rFonts w:ascii="Arial" w:eastAsia="Arial" w:hAnsi="Arial" w:cs="Arial"/>
                <w:sz w:val="22"/>
              </w:rPr>
              <w:t xml:space="preserve"> </w:t>
            </w:r>
          </w:p>
          <w:p w14:paraId="372A9332" w14:textId="77777777" w:rsidR="00446BDA" w:rsidRDefault="00AD435C">
            <w:pPr>
              <w:spacing w:after="22" w:line="259" w:lineRule="auto"/>
              <w:ind w:left="0" w:firstLine="0"/>
            </w:pPr>
            <w:r>
              <w:rPr>
                <w:rFonts w:ascii="Arial" w:eastAsia="Arial" w:hAnsi="Arial" w:cs="Arial"/>
                <w:sz w:val="22"/>
              </w:rPr>
              <w:t xml:space="preserve"> </w:t>
            </w:r>
          </w:p>
          <w:p w14:paraId="775DB03D" w14:textId="77777777" w:rsidR="00446BDA" w:rsidRDefault="00AD435C">
            <w:pPr>
              <w:spacing w:after="22" w:line="259" w:lineRule="auto"/>
              <w:ind w:left="0" w:firstLine="0"/>
            </w:pPr>
            <w:r>
              <w:rPr>
                <w:rFonts w:ascii="Arial" w:eastAsia="Arial" w:hAnsi="Arial" w:cs="Arial"/>
                <w:sz w:val="22"/>
              </w:rPr>
              <w:t xml:space="preserve"> </w:t>
            </w:r>
          </w:p>
          <w:p w14:paraId="603F1483" w14:textId="77777777" w:rsidR="00446BDA" w:rsidRDefault="00AD435C">
            <w:pPr>
              <w:spacing w:after="22" w:line="259" w:lineRule="auto"/>
              <w:ind w:left="0" w:firstLine="0"/>
            </w:pPr>
            <w:r>
              <w:rPr>
                <w:rFonts w:ascii="Arial" w:eastAsia="Arial" w:hAnsi="Arial" w:cs="Arial"/>
                <w:sz w:val="22"/>
              </w:rPr>
              <w:t xml:space="preserve"> </w:t>
            </w:r>
          </w:p>
          <w:p w14:paraId="6F02C545" w14:textId="77777777" w:rsidR="00446BDA" w:rsidRDefault="00AD435C">
            <w:pPr>
              <w:spacing w:after="17" w:line="259" w:lineRule="auto"/>
              <w:ind w:left="0" w:firstLine="0"/>
            </w:pPr>
            <w:r>
              <w:rPr>
                <w:rFonts w:ascii="Arial" w:eastAsia="Arial" w:hAnsi="Arial" w:cs="Arial"/>
                <w:sz w:val="22"/>
              </w:rPr>
              <w:t xml:space="preserve"> </w:t>
            </w:r>
          </w:p>
          <w:p w14:paraId="5856E68B" w14:textId="77777777" w:rsidR="00446BDA" w:rsidRDefault="00AD435C">
            <w:pPr>
              <w:spacing w:after="22" w:line="259" w:lineRule="auto"/>
              <w:ind w:left="0" w:firstLine="0"/>
            </w:pPr>
            <w:r>
              <w:rPr>
                <w:rFonts w:ascii="Arial" w:eastAsia="Arial" w:hAnsi="Arial" w:cs="Arial"/>
                <w:sz w:val="22"/>
              </w:rPr>
              <w:t xml:space="preserve"> </w:t>
            </w:r>
          </w:p>
          <w:p w14:paraId="18D753B7" w14:textId="77777777" w:rsidR="00446BDA" w:rsidRDefault="00AD435C">
            <w:pPr>
              <w:spacing w:after="22" w:line="259" w:lineRule="auto"/>
              <w:ind w:left="0" w:firstLine="0"/>
            </w:pPr>
            <w:r>
              <w:rPr>
                <w:rFonts w:ascii="Arial" w:eastAsia="Arial" w:hAnsi="Arial" w:cs="Arial"/>
                <w:sz w:val="22"/>
              </w:rPr>
              <w:t xml:space="preserve"> </w:t>
            </w:r>
          </w:p>
          <w:p w14:paraId="17B35891" w14:textId="77777777" w:rsidR="00446BDA" w:rsidRDefault="00AD435C">
            <w:pPr>
              <w:spacing w:after="22" w:line="259" w:lineRule="auto"/>
              <w:ind w:left="0" w:firstLine="0"/>
            </w:pPr>
            <w:r>
              <w:rPr>
                <w:rFonts w:ascii="Arial" w:eastAsia="Arial" w:hAnsi="Arial" w:cs="Arial"/>
                <w:sz w:val="22"/>
              </w:rPr>
              <w:t xml:space="preserve"> </w:t>
            </w:r>
          </w:p>
          <w:p w14:paraId="56597848" w14:textId="77777777" w:rsidR="00446BDA" w:rsidRDefault="00AD435C">
            <w:pPr>
              <w:spacing w:after="22" w:line="259" w:lineRule="auto"/>
              <w:ind w:left="0" w:firstLine="0"/>
            </w:pPr>
            <w:r>
              <w:rPr>
                <w:rFonts w:ascii="Arial" w:eastAsia="Arial" w:hAnsi="Arial" w:cs="Arial"/>
                <w:sz w:val="22"/>
              </w:rPr>
              <w:t xml:space="preserve"> </w:t>
            </w:r>
          </w:p>
          <w:p w14:paraId="4168588B" w14:textId="77777777" w:rsidR="00446BDA" w:rsidRDefault="00AD435C">
            <w:pPr>
              <w:spacing w:after="17" w:line="259" w:lineRule="auto"/>
              <w:ind w:left="0" w:firstLine="0"/>
            </w:pPr>
            <w:r>
              <w:rPr>
                <w:rFonts w:ascii="Arial" w:eastAsia="Arial" w:hAnsi="Arial" w:cs="Arial"/>
                <w:sz w:val="22"/>
              </w:rPr>
              <w:t xml:space="preserve"> </w:t>
            </w:r>
          </w:p>
          <w:p w14:paraId="5B19A609" w14:textId="77777777" w:rsidR="00446BDA" w:rsidRDefault="00AD435C">
            <w:pPr>
              <w:spacing w:after="0" w:line="259" w:lineRule="auto"/>
              <w:ind w:left="0" w:firstLine="0"/>
            </w:pPr>
            <w:r>
              <w:rPr>
                <w:rFonts w:ascii="Arial" w:eastAsia="Arial" w:hAnsi="Arial" w:cs="Arial"/>
                <w:sz w:val="22"/>
              </w:rPr>
              <w:t xml:space="preserve"> </w:t>
            </w:r>
          </w:p>
        </w:tc>
      </w:tr>
      <w:tr w:rsidR="00446BDA" w14:paraId="3D6E6E70" w14:textId="77777777">
        <w:trPr>
          <w:trHeight w:val="735"/>
        </w:trPr>
        <w:tc>
          <w:tcPr>
            <w:tcW w:w="3747" w:type="dxa"/>
            <w:tcBorders>
              <w:top w:val="single" w:sz="6" w:space="0" w:color="000000"/>
              <w:left w:val="single" w:sz="6" w:space="0" w:color="000000"/>
              <w:bottom w:val="single" w:sz="6" w:space="0" w:color="000000"/>
              <w:right w:val="single" w:sz="6" w:space="0" w:color="000000"/>
            </w:tcBorders>
          </w:tcPr>
          <w:p w14:paraId="5BD5FCD5" w14:textId="77777777" w:rsidR="00446BDA" w:rsidRDefault="00AD435C">
            <w:pPr>
              <w:spacing w:after="0" w:line="259" w:lineRule="auto"/>
              <w:ind w:left="0" w:firstLine="0"/>
            </w:pPr>
            <w:r>
              <w:rPr>
                <w:rFonts w:ascii="Arial" w:eastAsia="Arial" w:hAnsi="Arial" w:cs="Arial"/>
                <w:sz w:val="22"/>
              </w:rPr>
              <w:t xml:space="preserve">External Examiner’s Signature: </w:t>
            </w:r>
          </w:p>
        </w:tc>
        <w:tc>
          <w:tcPr>
            <w:tcW w:w="5617" w:type="dxa"/>
            <w:gridSpan w:val="2"/>
            <w:tcBorders>
              <w:top w:val="single" w:sz="6" w:space="0" w:color="000000"/>
              <w:left w:val="single" w:sz="6" w:space="0" w:color="000000"/>
              <w:bottom w:val="single" w:sz="6" w:space="0" w:color="000000"/>
              <w:right w:val="single" w:sz="6" w:space="0" w:color="000000"/>
            </w:tcBorders>
          </w:tcPr>
          <w:p w14:paraId="3B516A79" w14:textId="77777777" w:rsidR="00446BDA" w:rsidRDefault="00AD435C">
            <w:pPr>
              <w:spacing w:after="0" w:line="259" w:lineRule="auto"/>
              <w:ind w:left="0" w:firstLine="0"/>
            </w:pPr>
            <w:r>
              <w:rPr>
                <w:rFonts w:ascii="Arial" w:eastAsia="Arial" w:hAnsi="Arial" w:cs="Arial"/>
                <w:sz w:val="22"/>
              </w:rPr>
              <w:t xml:space="preserve">Date: </w:t>
            </w:r>
          </w:p>
        </w:tc>
      </w:tr>
    </w:tbl>
    <w:p w14:paraId="508F874B" w14:textId="77777777" w:rsidR="00446BDA" w:rsidRDefault="00AD435C">
      <w:pPr>
        <w:spacing w:after="22" w:line="259" w:lineRule="auto"/>
        <w:ind w:left="181" w:firstLine="0"/>
      </w:pPr>
      <w:r>
        <w:rPr>
          <w:rFonts w:ascii="Trebuchet MS" w:eastAsia="Trebuchet MS" w:hAnsi="Trebuchet MS" w:cs="Trebuchet MS"/>
        </w:rPr>
        <w:t xml:space="preserve"> </w:t>
      </w:r>
    </w:p>
    <w:p w14:paraId="2D462276" w14:textId="77777777" w:rsidR="00446BDA" w:rsidRDefault="00AD435C">
      <w:pPr>
        <w:spacing w:after="182" w:line="259" w:lineRule="auto"/>
        <w:ind w:left="181" w:firstLine="0"/>
      </w:pPr>
      <w:r>
        <w:rPr>
          <w:rFonts w:ascii="Arial" w:eastAsia="Arial" w:hAnsi="Arial" w:cs="Arial"/>
        </w:rPr>
        <w:t xml:space="preserve"> </w:t>
      </w:r>
    </w:p>
    <w:p w14:paraId="76A4D704" w14:textId="77777777" w:rsidR="00446BDA" w:rsidRDefault="00AD435C">
      <w:pPr>
        <w:spacing w:after="182" w:line="259" w:lineRule="auto"/>
        <w:ind w:left="181" w:firstLine="0"/>
      </w:pPr>
      <w:r>
        <w:rPr>
          <w:rFonts w:ascii="Arial" w:eastAsia="Arial" w:hAnsi="Arial" w:cs="Arial"/>
        </w:rPr>
        <w:t xml:space="preserve"> </w:t>
      </w:r>
    </w:p>
    <w:p w14:paraId="2CD99F9A" w14:textId="77777777" w:rsidR="00446BDA" w:rsidRDefault="00AD435C">
      <w:pPr>
        <w:spacing w:after="189" w:line="259" w:lineRule="auto"/>
        <w:ind w:left="181" w:firstLine="0"/>
      </w:pPr>
      <w:r>
        <w:rPr>
          <w:rFonts w:cs="Aptos"/>
          <w:b/>
        </w:rPr>
        <w:t xml:space="preserve"> </w:t>
      </w:r>
    </w:p>
    <w:p w14:paraId="33CCA70B" w14:textId="77777777" w:rsidR="00446BDA" w:rsidRDefault="00AD435C">
      <w:pPr>
        <w:spacing w:after="184" w:line="259" w:lineRule="auto"/>
        <w:ind w:left="181" w:firstLine="0"/>
      </w:pPr>
      <w:r>
        <w:rPr>
          <w:rFonts w:cs="Aptos"/>
          <w:b/>
        </w:rPr>
        <w:t xml:space="preserve"> </w:t>
      </w:r>
    </w:p>
    <w:p w14:paraId="0E6D6A1A" w14:textId="0D84869B" w:rsidR="003F7BF8" w:rsidRPr="003F7BF8" w:rsidRDefault="003F7BF8" w:rsidP="006979DB">
      <w:pPr>
        <w:spacing w:before="100" w:beforeAutospacing="1" w:after="100" w:afterAutospacing="1" w:line="240" w:lineRule="auto"/>
        <w:outlineLvl w:val="0"/>
        <w:rPr>
          <w:rFonts w:ascii="Times New Roman" w:eastAsia="Times New Roman" w:hAnsi="Times New Roman"/>
          <w:b/>
          <w:bCs/>
          <w:kern w:val="36"/>
          <w:sz w:val="28"/>
          <w:szCs w:val="28"/>
          <w:lang w:val="en-GB" w:eastAsia="en-GB"/>
          <w14:ligatures w14:val="none"/>
        </w:rPr>
      </w:pPr>
      <w:r w:rsidRPr="003F7BF8">
        <w:rPr>
          <w:rFonts w:ascii="Times New Roman" w:eastAsia="Times New Roman" w:hAnsi="Times New Roman"/>
          <w:b/>
          <w:bCs/>
          <w:kern w:val="36"/>
          <w:sz w:val="28"/>
          <w:szCs w:val="28"/>
          <w:lang w:val="en-GB" w:eastAsia="en-GB"/>
          <w14:ligatures w14:val="none"/>
        </w:rPr>
        <w:lastRenderedPageBreak/>
        <w:t>Analyse the roles of, and relationship between, cosmology and divination in Ancient Egypt.</w:t>
      </w:r>
    </w:p>
    <w:p w14:paraId="168C15E7" w14:textId="77777777" w:rsidR="003F7BF8" w:rsidRPr="003F7BF8" w:rsidRDefault="003F7BF8" w:rsidP="003F7BF8">
      <w:pPr>
        <w:spacing w:before="100" w:beforeAutospacing="1" w:after="100" w:afterAutospacing="1" w:line="240" w:lineRule="auto"/>
        <w:ind w:left="0" w:firstLine="0"/>
        <w:outlineLvl w:val="1"/>
        <w:rPr>
          <w:rFonts w:ascii="Times New Roman" w:eastAsia="Times New Roman" w:hAnsi="Times New Roman"/>
          <w:b/>
          <w:bCs/>
          <w:kern w:val="0"/>
          <w:sz w:val="28"/>
          <w:szCs w:val="28"/>
          <w:lang w:val="en-GB" w:eastAsia="en-GB"/>
          <w14:ligatures w14:val="none"/>
        </w:rPr>
      </w:pPr>
      <w:r w:rsidRPr="003F7BF8">
        <w:rPr>
          <w:rFonts w:ascii="Times New Roman" w:eastAsia="Times New Roman" w:hAnsi="Times New Roman"/>
          <w:b/>
          <w:bCs/>
          <w:kern w:val="0"/>
          <w:sz w:val="28"/>
          <w:szCs w:val="28"/>
          <w:lang w:val="en-GB" w:eastAsia="en-GB"/>
          <w14:ligatures w14:val="none"/>
        </w:rPr>
        <w:t>Introduction</w:t>
      </w:r>
    </w:p>
    <w:p w14:paraId="17310A13"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This paper explores the complex interrelationship between Ancient Egyptian cosmological beliefs and divination through a discussion of their respective roles, the dialogue between each domain, and how their intertwined relationship </w:t>
      </w:r>
      <w:bookmarkStart w:id="0" w:name="_Int_gUx0jLGZ"/>
      <w:r w:rsidRPr="003F7BF8">
        <w:rPr>
          <w:rFonts w:ascii="Times New Roman" w:eastAsiaTheme="minorEastAsia" w:hAnsi="Times New Roman"/>
          <w:kern w:val="0"/>
          <w:lang w:val="en-GB" w:eastAsia="en-GB"/>
          <w14:ligatures w14:val="none"/>
        </w:rPr>
        <w:t>impacted</w:t>
      </w:r>
      <w:bookmarkEnd w:id="0"/>
      <w:r w:rsidRPr="003F7BF8">
        <w:rPr>
          <w:rFonts w:ascii="Times New Roman" w:eastAsiaTheme="minorEastAsia" w:hAnsi="Times New Roman"/>
          <w:kern w:val="0"/>
          <w:lang w:val="en-GB" w:eastAsia="en-GB"/>
          <w14:ligatures w14:val="none"/>
        </w:rPr>
        <w:t xml:space="preserve"> the cultural, religious, and political life through three millennia of Egypt's existence as a political state. It begins with descriptions of Egypt's cosmological foundations, its creation myths, and the importance of Ma'at—the cosmic and moral order essential to the wellbeing and stability of the state and its people. The paper then examines the various categories of divination practiced in Ancient Egypt, analyzing primary sources including the Pyramid Texts, Coffin Texts, temple and tomb inscriptions, together with archaeological evidence of divinatory practice. Throughout, contemporary scholarly interpretations show how both the cosmology and divinatory practices of Ancient Egypt together enabled Egyptians to describe, understand, and negotiate their place in the universe as they understood it.</w:t>
      </w:r>
    </w:p>
    <w:p w14:paraId="4F5C357F" w14:textId="77777777" w:rsidR="003F7BF8" w:rsidRPr="003F7BF8" w:rsidRDefault="003F7BF8" w:rsidP="003F7BF8">
      <w:pPr>
        <w:spacing w:before="100" w:beforeAutospacing="1" w:after="100" w:afterAutospacing="1" w:line="240" w:lineRule="auto"/>
        <w:ind w:left="0" w:firstLine="0"/>
        <w:outlineLvl w:val="1"/>
        <w:rPr>
          <w:rFonts w:ascii="Times New Roman" w:eastAsia="Times New Roman" w:hAnsi="Times New Roman"/>
          <w:b/>
          <w:bCs/>
          <w:kern w:val="0"/>
          <w:sz w:val="28"/>
          <w:szCs w:val="28"/>
          <w:lang w:val="en-GB" w:eastAsia="en-GB"/>
          <w14:ligatures w14:val="none"/>
        </w:rPr>
      </w:pPr>
      <w:r w:rsidRPr="003F7BF8">
        <w:rPr>
          <w:rFonts w:ascii="Times New Roman" w:eastAsia="Times New Roman" w:hAnsi="Times New Roman"/>
          <w:b/>
          <w:bCs/>
          <w:kern w:val="0"/>
          <w:sz w:val="28"/>
          <w:szCs w:val="28"/>
          <w:lang w:val="en-GB" w:eastAsia="en-GB"/>
          <w14:ligatures w14:val="none"/>
        </w:rPr>
        <w:t>Cosmological and Cosmogonical Foundation Narratives</w:t>
      </w:r>
    </w:p>
    <w:p w14:paraId="1F7D24A0"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Ancient Egypt developed several creation narratives rather than a single unified account, each reflecting different aspects of Egyptian experience and religious thought. One narrative appears to be based on the agricultural cycles specific to the Nile River. Once a year, over a period of three months from July to September, the Nile usually overflowed, flooding the adjoining riverbank farmlands and meadows with mineral-rich waters and silts from upriver. As waters receded, they revealed fertilized mounds of earth, followed by plant growth. The corresponding creation narrative described the emergence of the Primeval Mound (the god Tatenen) rising from the primordial ocean (Nun). From Tatenen </w:t>
      </w:r>
      <w:bookmarkStart w:id="1" w:name="_Int_jr7b2Xng"/>
      <w:r w:rsidRPr="003F7BF8">
        <w:rPr>
          <w:rFonts w:ascii="Times New Roman" w:eastAsiaTheme="minorEastAsia" w:hAnsi="Times New Roman"/>
          <w:kern w:val="0"/>
          <w:lang w:val="en-GB" w:eastAsia="en-GB"/>
          <w14:ligatures w14:val="none"/>
        </w:rPr>
        <w:t>emerged</w:t>
      </w:r>
      <w:bookmarkEnd w:id="1"/>
      <w:r w:rsidRPr="003F7BF8">
        <w:rPr>
          <w:rFonts w:ascii="Times New Roman" w:eastAsiaTheme="minorEastAsia" w:hAnsi="Times New Roman"/>
          <w:kern w:val="0"/>
          <w:lang w:val="en-GB" w:eastAsia="en-GB"/>
          <w14:ligatures w14:val="none"/>
        </w:rPr>
        <w:t xml:space="preserve"> the god Nefertum in the form of a lotus plant, with the Sun </w:t>
      </w:r>
      <w:bookmarkStart w:id="2" w:name="_Int_ivRdD5Jv"/>
      <w:r w:rsidRPr="003F7BF8">
        <w:rPr>
          <w:rFonts w:ascii="Times New Roman" w:eastAsiaTheme="minorEastAsia" w:hAnsi="Times New Roman"/>
          <w:kern w:val="0"/>
          <w:lang w:val="en-GB" w:eastAsia="en-GB"/>
          <w14:ligatures w14:val="none"/>
        </w:rPr>
        <w:t>emerging</w:t>
      </w:r>
      <w:bookmarkEnd w:id="2"/>
      <w:r w:rsidRPr="003F7BF8">
        <w:rPr>
          <w:rFonts w:ascii="Times New Roman" w:eastAsiaTheme="minorEastAsia" w:hAnsi="Times New Roman"/>
          <w:kern w:val="0"/>
          <w:lang w:val="en-GB" w:eastAsia="en-GB"/>
          <w14:ligatures w14:val="none"/>
        </w:rPr>
        <w:t xml:space="preserve"> from his open flower—directly mirroring the observed natural cycle of flooding, recession, and growth.</w:t>
      </w:r>
      <w:r w:rsidRPr="003F7BF8">
        <w:rPr>
          <w:rFonts w:ascii="Times New Roman" w:eastAsiaTheme="minorEastAsia" w:hAnsi="Times New Roman"/>
          <w:kern w:val="0"/>
          <w:vertAlign w:val="superscript"/>
          <w:lang w:val="en-GB" w:eastAsia="en-GB"/>
          <w14:ligatures w14:val="none"/>
        </w:rPr>
        <w:footnoteReference w:id="1"/>
      </w:r>
    </w:p>
    <w:p w14:paraId="1EF2DFA6"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Four other prominent creation narratives—the Heliopolitan, Memphite, Hermopolitan, and Theban—were associated with respective cult and temple centres of Egyptian gods. Each presented different interpretations of cosmic origin while </w:t>
      </w:r>
      <w:bookmarkStart w:id="4" w:name="_Int_0dvVdgc1"/>
      <w:r w:rsidRPr="003F7BF8">
        <w:rPr>
          <w:rFonts w:ascii="Times New Roman" w:eastAsiaTheme="minorEastAsia" w:hAnsi="Times New Roman"/>
          <w:kern w:val="0"/>
          <w:lang w:val="en-GB" w:eastAsia="en-GB"/>
          <w14:ligatures w14:val="none"/>
        </w:rPr>
        <w:t>maintaining</w:t>
      </w:r>
      <w:bookmarkEnd w:id="4"/>
      <w:r w:rsidRPr="003F7BF8">
        <w:rPr>
          <w:rFonts w:ascii="Times New Roman" w:eastAsiaTheme="minorEastAsia" w:hAnsi="Times New Roman"/>
          <w:kern w:val="0"/>
          <w:lang w:val="en-GB" w:eastAsia="en-GB"/>
          <w14:ligatures w14:val="none"/>
        </w:rPr>
        <w:t xml:space="preserve"> certain core elements. In the Heliopolitan creation myth, the self-created or protogenic </w:t>
      </w:r>
      <w:bookmarkStart w:id="5" w:name="_Int_X5notZqR"/>
      <w:r w:rsidRPr="003F7BF8">
        <w:rPr>
          <w:rFonts w:ascii="Times New Roman" w:eastAsiaTheme="minorEastAsia" w:hAnsi="Times New Roman"/>
          <w:kern w:val="0"/>
          <w:lang w:val="en-GB" w:eastAsia="en-GB"/>
          <w14:ligatures w14:val="none"/>
        </w:rPr>
        <w:t>god</w:t>
      </w:r>
      <w:bookmarkEnd w:id="5"/>
      <w:r w:rsidRPr="003F7BF8">
        <w:rPr>
          <w:rFonts w:ascii="Times New Roman" w:eastAsiaTheme="minorEastAsia" w:hAnsi="Times New Roman"/>
          <w:kern w:val="0"/>
          <w:lang w:val="en-GB" w:eastAsia="en-GB"/>
          <w14:ligatures w14:val="none"/>
        </w:rPr>
        <w:t xml:space="preserve"> Atum arises from Nun and </w:t>
      </w:r>
      <w:bookmarkStart w:id="6" w:name="_Int_noktL3fx"/>
      <w:r w:rsidRPr="003F7BF8">
        <w:rPr>
          <w:rFonts w:ascii="Times New Roman" w:eastAsiaTheme="minorEastAsia" w:hAnsi="Times New Roman"/>
          <w:kern w:val="0"/>
          <w:lang w:val="en-GB" w:eastAsia="en-GB"/>
          <w14:ligatures w14:val="none"/>
        </w:rPr>
        <w:t>subsequently</w:t>
      </w:r>
      <w:bookmarkEnd w:id="6"/>
      <w:r w:rsidRPr="003F7BF8">
        <w:rPr>
          <w:rFonts w:ascii="Times New Roman" w:eastAsiaTheme="minorEastAsia" w:hAnsi="Times New Roman"/>
          <w:kern w:val="0"/>
          <w:lang w:val="en-GB" w:eastAsia="en-GB"/>
          <w14:ligatures w14:val="none"/>
        </w:rPr>
        <w:t xml:space="preserve"> begets Shu (air) and Tefnut (moisture) through a divine act of onanism, or through sneezing and coughing. From Shu and Tefnut come Geb (Earth) and his sister-consort Nut (Sky), who then issue Osiris and Isis, and Set and Nephthys. These gods formed the first nine, or Ennead. In Khmunu (Greek Hermopolis), the Ogdoad (eight deities) </w:t>
      </w:r>
      <w:bookmarkStart w:id="7" w:name="_Int_AoGNGnqI"/>
      <w:r w:rsidRPr="003F7BF8">
        <w:rPr>
          <w:rFonts w:ascii="Times New Roman" w:eastAsiaTheme="minorEastAsia" w:hAnsi="Times New Roman"/>
          <w:kern w:val="0"/>
          <w:lang w:val="en-GB" w:eastAsia="en-GB"/>
          <w14:ligatures w14:val="none"/>
        </w:rPr>
        <w:t>were paired</w:t>
      </w:r>
      <w:bookmarkEnd w:id="7"/>
      <w:r w:rsidRPr="003F7BF8">
        <w:rPr>
          <w:rFonts w:ascii="Times New Roman" w:eastAsiaTheme="minorEastAsia" w:hAnsi="Times New Roman"/>
          <w:kern w:val="0"/>
          <w:lang w:val="en-GB" w:eastAsia="en-GB"/>
          <w14:ligatures w14:val="none"/>
        </w:rPr>
        <w:t xml:space="preserve"> male and female—Nun/Naunet (water), Heh/Hauhet (infinity), Kek/Kauket (darkness), and Amun/Amaunet (the unseen or hiddenness)—who existed in the pre-creation watery chaos. In Memphis, the primary creator god was Ptah, who created the world and first gods through his thoughts and words—a theological concept that emphasized the power of divine utterance. The Theban narrative features an all-male creation, with Kematef/Amun-Re upon his death giving birth to a son, Irta/Min-Amun, who then gives birth to the Ogdoad.</w:t>
      </w:r>
    </w:p>
    <w:p w14:paraId="667AAEC1" w14:textId="77777777" w:rsidR="003F7BF8" w:rsidRPr="003F7BF8" w:rsidRDefault="003F7BF8" w:rsidP="003F7BF8">
      <w:pPr>
        <w:spacing w:before="100" w:beforeAutospacing="1" w:after="100" w:afterAutospacing="1" w:line="240" w:lineRule="auto"/>
        <w:ind w:left="0" w:firstLine="0"/>
        <w:rPr>
          <w:rFonts w:ascii="Times New Roman" w:eastAsia="Times New Roman" w:hAnsi="Times New Roman"/>
          <w:kern w:val="0"/>
          <w:lang w:val="en-GB" w:eastAsia="en-GB"/>
          <w14:ligatures w14:val="none"/>
        </w:rPr>
      </w:pPr>
      <w:r w:rsidRPr="003F7BF8">
        <w:rPr>
          <w:rFonts w:ascii="Times New Roman" w:eastAsiaTheme="minorEastAsia" w:hAnsi="Times New Roman"/>
          <w:kern w:val="0"/>
          <w:lang w:val="en-GB" w:eastAsia="en-GB"/>
          <w14:ligatures w14:val="none"/>
        </w:rPr>
        <w:lastRenderedPageBreak/>
        <w:t xml:space="preserve">Similarly, within the conception of the cosmos, there were separate yet complementary elements. The sky </w:t>
      </w:r>
      <w:bookmarkStart w:id="8" w:name="_Int_3VfRvYAa"/>
      <w:r w:rsidRPr="003F7BF8">
        <w:rPr>
          <w:rFonts w:ascii="Times New Roman" w:eastAsiaTheme="minorEastAsia" w:hAnsi="Times New Roman"/>
          <w:kern w:val="0"/>
          <w:lang w:val="en-GB" w:eastAsia="en-GB"/>
          <w14:ligatures w14:val="none"/>
        </w:rPr>
        <w:t>was depicted</w:t>
      </w:r>
      <w:bookmarkEnd w:id="8"/>
      <w:r w:rsidRPr="003F7BF8">
        <w:rPr>
          <w:rFonts w:ascii="Times New Roman" w:eastAsiaTheme="minorEastAsia" w:hAnsi="Times New Roman"/>
          <w:kern w:val="0"/>
          <w:lang w:val="en-GB" w:eastAsia="en-GB"/>
          <w14:ligatures w14:val="none"/>
        </w:rPr>
        <w:t xml:space="preserve"> as the star-spangled goddess Nut, arched over her brother-spouse Geb and separating the Earth from Nun, the primordial waters. Nut </w:t>
      </w:r>
      <w:bookmarkStart w:id="9" w:name="_Int_ohbMLrQ5"/>
      <w:r w:rsidRPr="003F7BF8">
        <w:rPr>
          <w:rFonts w:ascii="Times New Roman" w:eastAsiaTheme="minorEastAsia" w:hAnsi="Times New Roman"/>
          <w:kern w:val="0"/>
          <w:lang w:val="en-GB" w:eastAsia="en-GB"/>
          <w14:ligatures w14:val="none"/>
        </w:rPr>
        <w:t>was supported</w:t>
      </w:r>
      <w:bookmarkEnd w:id="9"/>
      <w:r w:rsidRPr="003F7BF8">
        <w:rPr>
          <w:rFonts w:ascii="Times New Roman" w:eastAsiaTheme="minorEastAsia" w:hAnsi="Times New Roman"/>
          <w:kern w:val="0"/>
          <w:lang w:val="en-GB" w:eastAsia="en-GB"/>
          <w14:ligatures w14:val="none"/>
        </w:rPr>
        <w:t xml:space="preserve"> in the sky by the air god Shu. Beneath her, the sun </w:t>
      </w:r>
      <w:bookmarkStart w:id="10" w:name="_Int_WkygRlRJ"/>
      <w:r w:rsidRPr="003F7BF8">
        <w:rPr>
          <w:rFonts w:ascii="Times New Roman" w:eastAsiaTheme="minorEastAsia" w:hAnsi="Times New Roman"/>
          <w:kern w:val="0"/>
          <w:lang w:val="en-GB" w:eastAsia="en-GB"/>
          <w14:ligatures w14:val="none"/>
        </w:rPr>
        <w:t>was rolled</w:t>
      </w:r>
      <w:bookmarkEnd w:id="10"/>
      <w:r w:rsidRPr="003F7BF8">
        <w:rPr>
          <w:rFonts w:ascii="Times New Roman" w:eastAsiaTheme="minorEastAsia" w:hAnsi="Times New Roman"/>
          <w:kern w:val="0"/>
          <w:lang w:val="en-GB" w:eastAsia="en-GB"/>
          <w14:ligatures w14:val="none"/>
        </w:rPr>
        <w:t xml:space="preserve"> across the sky by the scarab-headed sun god Khepri ("the One Who Becomes"). In the morning (his birth time) he was Khepri, at noon he was Re, the developed sun god, and in his </w:t>
      </w:r>
      <w:bookmarkStart w:id="11" w:name="_Int_Y4uIPnFu"/>
      <w:r w:rsidRPr="003F7BF8">
        <w:rPr>
          <w:rFonts w:ascii="Times New Roman" w:eastAsiaTheme="minorEastAsia" w:hAnsi="Times New Roman"/>
          <w:kern w:val="0"/>
          <w:lang w:val="en-GB" w:eastAsia="en-GB"/>
          <w14:ligatures w14:val="none"/>
        </w:rPr>
        <w:t>setting</w:t>
      </w:r>
      <w:bookmarkEnd w:id="11"/>
      <w:r w:rsidRPr="003F7BF8">
        <w:rPr>
          <w:rFonts w:ascii="Times New Roman" w:eastAsiaTheme="minorEastAsia" w:hAnsi="Times New Roman"/>
          <w:kern w:val="0"/>
          <w:lang w:val="en-GB" w:eastAsia="en-GB"/>
          <w14:ligatures w14:val="none"/>
        </w:rPr>
        <w:t xml:space="preserve"> he was Atum the Completed One, setting in the west. Equally, the sun was the god Ra, traveling across the sky by day, entering Nut's mouth at sundown and emerging reborn from her loins at dawn—a cosmic cycle that </w:t>
      </w:r>
      <w:bookmarkStart w:id="12" w:name="_Int_Sy26yWq8"/>
      <w:r w:rsidRPr="003F7BF8">
        <w:rPr>
          <w:rFonts w:ascii="Times New Roman" w:eastAsiaTheme="minorEastAsia" w:hAnsi="Times New Roman"/>
          <w:kern w:val="0"/>
          <w:lang w:val="en-GB" w:eastAsia="en-GB"/>
          <w14:ligatures w14:val="none"/>
        </w:rPr>
        <w:t>established</w:t>
      </w:r>
      <w:bookmarkEnd w:id="12"/>
      <w:r w:rsidRPr="003F7BF8">
        <w:rPr>
          <w:rFonts w:ascii="Times New Roman" w:eastAsiaTheme="minorEastAsia" w:hAnsi="Times New Roman"/>
          <w:kern w:val="0"/>
          <w:lang w:val="en-GB" w:eastAsia="en-GB"/>
          <w14:ligatures w14:val="none"/>
        </w:rPr>
        <w:t xml:space="preserve"> the dependable rhythm of existence.</w:t>
      </w:r>
      <w:r w:rsidRPr="003F7BF8">
        <w:rPr>
          <w:rFonts w:ascii="Times New Roman" w:eastAsiaTheme="minorEastAsia" w:hAnsi="Times New Roman"/>
          <w:kern w:val="0"/>
          <w:vertAlign w:val="superscript"/>
          <w:lang w:val="en-GB" w:eastAsia="en-GB"/>
          <w14:ligatures w14:val="none"/>
        </w:rPr>
        <w:t xml:space="preserve"> </w:t>
      </w:r>
      <w:r w:rsidRPr="003F7BF8">
        <w:rPr>
          <w:rFonts w:ascii="Times New Roman" w:eastAsiaTheme="minorEastAsia" w:hAnsi="Times New Roman"/>
          <w:kern w:val="0"/>
          <w:vertAlign w:val="superscript"/>
          <w:lang w:val="en-GB" w:eastAsia="en-GB"/>
          <w14:ligatures w14:val="none"/>
        </w:rPr>
        <w:footnoteReference w:id="2"/>
      </w:r>
    </w:p>
    <w:p w14:paraId="0B8F1EF3"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Consistent across these creation narratives is the emergence of the universe from watery chaos. Creation </w:t>
      </w:r>
      <w:bookmarkStart w:id="14" w:name="_Int_UmutEspP"/>
      <w:r w:rsidRPr="003F7BF8">
        <w:rPr>
          <w:rFonts w:ascii="Times New Roman" w:eastAsiaTheme="minorEastAsia" w:hAnsi="Times New Roman"/>
          <w:kern w:val="0"/>
          <w:lang w:val="en-GB" w:eastAsia="en-GB"/>
          <w14:ligatures w14:val="none"/>
        </w:rPr>
        <w:t>is ordered</w:t>
      </w:r>
      <w:bookmarkEnd w:id="14"/>
      <w:r w:rsidRPr="003F7BF8">
        <w:rPr>
          <w:rFonts w:ascii="Times New Roman" w:eastAsiaTheme="minorEastAsia" w:hAnsi="Times New Roman"/>
          <w:kern w:val="0"/>
          <w:lang w:val="en-GB" w:eastAsia="en-GB"/>
          <w14:ligatures w14:val="none"/>
        </w:rPr>
        <w:t>, controlled, and bounded space, containing the sky, the earth, and the underworld (Duat), aptly described by Egyptologist James Allen as "a bubble of air in the middle of a universal ocean",</w:t>
      </w:r>
      <w:r w:rsidRPr="003F7BF8">
        <w:rPr>
          <w:rFonts w:ascii="Times New Roman" w:eastAsiaTheme="minorEastAsia" w:hAnsi="Times New Roman"/>
          <w:kern w:val="0"/>
          <w:vertAlign w:val="superscript"/>
          <w:lang w:val="en-GB" w:eastAsia="en-GB"/>
          <w14:ligatures w14:val="none"/>
        </w:rPr>
        <w:t xml:space="preserve"> thereby</w:t>
      </w:r>
      <w:r w:rsidRPr="003F7BF8">
        <w:rPr>
          <w:rFonts w:ascii="Times New Roman" w:eastAsiaTheme="minorEastAsia" w:hAnsi="Times New Roman"/>
          <w:kern w:val="0"/>
          <w:lang w:val="en-GB" w:eastAsia="en-GB"/>
          <w14:ligatures w14:val="none"/>
        </w:rPr>
        <w:t xml:space="preserve"> establishing Ma'at, or the cosmic concept of order. Whether the gods and the universe were created out of chaos by thought, speech, semen, or spit, the principal natural creative force was considered </w:t>
      </w:r>
      <w:r w:rsidRPr="003F7BF8">
        <w:rPr>
          <w:rFonts w:ascii="Times New Roman" w:eastAsiaTheme="minorEastAsia" w:hAnsi="Times New Roman"/>
          <w:i/>
          <w:iCs/>
          <w:kern w:val="0"/>
          <w:lang w:val="en-GB" w:eastAsia="en-GB"/>
          <w14:ligatures w14:val="none"/>
        </w:rPr>
        <w:t>heka</w:t>
      </w:r>
      <w:r w:rsidRPr="003F7BF8">
        <w:rPr>
          <w:rFonts w:ascii="Times New Roman" w:eastAsiaTheme="minorEastAsia" w:hAnsi="Times New Roman"/>
          <w:kern w:val="0"/>
          <w:lang w:val="en-GB" w:eastAsia="en-GB"/>
          <w14:ligatures w14:val="none"/>
        </w:rPr>
        <w:t xml:space="preserve"> (magic), a force that would later serve as the foundational power behind divination practices.</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3"/>
      </w:r>
    </w:p>
    <w:p w14:paraId="0CA2F4EC" w14:textId="77777777" w:rsidR="003F7BF8" w:rsidRPr="003F7BF8" w:rsidRDefault="003F7BF8" w:rsidP="003F7BF8">
      <w:pPr>
        <w:spacing w:before="100" w:beforeAutospacing="1" w:after="100" w:afterAutospacing="1" w:line="240" w:lineRule="auto"/>
        <w:ind w:left="0" w:firstLine="0"/>
        <w:outlineLvl w:val="1"/>
        <w:rPr>
          <w:rFonts w:ascii="Times New Roman" w:eastAsia="Times New Roman" w:hAnsi="Times New Roman"/>
          <w:b/>
          <w:bCs/>
          <w:kern w:val="0"/>
          <w:sz w:val="28"/>
          <w:szCs w:val="28"/>
          <w:lang w:val="en-GB" w:eastAsia="en-GB"/>
          <w14:ligatures w14:val="none"/>
        </w:rPr>
      </w:pPr>
      <w:r w:rsidRPr="003F7BF8">
        <w:rPr>
          <w:rFonts w:ascii="Times New Roman" w:eastAsia="Times New Roman" w:hAnsi="Times New Roman"/>
          <w:b/>
          <w:bCs/>
          <w:kern w:val="0"/>
          <w:sz w:val="28"/>
          <w:szCs w:val="28"/>
          <w:lang w:val="en-GB" w:eastAsia="en-GB"/>
          <w14:ligatures w14:val="none"/>
        </w:rPr>
        <w:t>Ma'at: The Cosmic Order Underlying All</w:t>
      </w:r>
    </w:p>
    <w:p w14:paraId="629AAE64"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Ma'at was multivalent—its constituencies of truth, order, justice, and cosmic balance formed the core element in Egyptian cultural life and permeated through all ranks from the pharaoh to the farmer. In personification as the goddess, Ma'at "represented the divine harmony and balance of the universe," including the cycles of sunrise and sunset, the annual Nile inundations which fertilized the land, and the enduring office of kingship; 'she was considered to be the force that kept chaos (isft)—the antithesis of order—from overwhelming the world'. </w:t>
      </w:r>
      <w:r w:rsidRPr="003F7BF8">
        <w:rPr>
          <w:rFonts w:ascii="Times New Roman" w:eastAsiaTheme="minorEastAsia" w:hAnsi="Times New Roman"/>
          <w:kern w:val="0"/>
          <w:vertAlign w:val="superscript"/>
          <w:lang w:val="en-GB" w:eastAsia="en-GB"/>
          <w14:ligatures w14:val="none"/>
        </w:rPr>
        <w:footnoteReference w:id="4"/>
      </w:r>
      <w:r w:rsidRPr="003F7BF8">
        <w:rPr>
          <w:rFonts w:ascii="Times New Roman" w:eastAsiaTheme="minorEastAsia" w:hAnsi="Times New Roman"/>
          <w:kern w:val="0"/>
          <w:lang w:val="en-GB" w:eastAsia="en-GB"/>
          <w14:ligatures w14:val="none"/>
        </w:rPr>
        <w:t xml:space="preserve"> For the world to be in balance, right living was required: speaking truth, living honestly, and honouring the gods, the ancestors, the king, and his servants.</w:t>
      </w:r>
    </w:p>
    <w:p w14:paraId="6321160E"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Ancient Egypt was polytheistic with a multiplicity of deities that entered Egyptian culture over the three millennia of its existence. Temple cult developed and expanded from the Old Kingdom onwards, with the principal gods being allocated one or more temples throughout the Two Kingdoms. The principles of Ma'at required humanity to maintain cosmic balance with the gods (who were generally benevolent). At the apex, the pharaoh or divine king "was the hub between the worlds of the gods and the human sphere", responsible for the welfare of his people who, together with the elite, priests, and officials, ensured the continuance of the ordered world.</w:t>
      </w:r>
      <w:r w:rsidRPr="003F7BF8">
        <w:rPr>
          <w:rFonts w:ascii="Times New Roman" w:eastAsiaTheme="minorEastAsia" w:hAnsi="Times New Roman"/>
          <w:kern w:val="0"/>
          <w:vertAlign w:val="superscript"/>
          <w:lang w:val="en-GB" w:eastAsia="en-GB"/>
          <w14:ligatures w14:val="none"/>
        </w:rPr>
        <w:footnoteReference w:id="5"/>
      </w:r>
      <w:r w:rsidRPr="003F7BF8">
        <w:rPr>
          <w:rFonts w:ascii="Times New Roman" w:eastAsiaTheme="minorEastAsia" w:hAnsi="Times New Roman"/>
          <w:kern w:val="0"/>
          <w:lang w:val="en-GB" w:eastAsia="en-GB"/>
          <w14:ligatures w14:val="none"/>
        </w:rPr>
        <w:t xml:space="preserve"> Enormous resources were devoted to maintaining the wellbeing and good intentions of the gods—from elaborate temple complexes containing statues of the gods made of precious metals and stones to the intricate cycle of temple ritual care including thrice-daily offerings of food and drink.</w:t>
      </w:r>
      <w:r w:rsidRPr="003F7BF8">
        <w:rPr>
          <w:rFonts w:ascii="Times New Roman" w:eastAsiaTheme="minorEastAsia" w:hAnsi="Times New Roman"/>
          <w:color w:val="auto"/>
          <w:vertAlign w:val="superscript"/>
          <w:lang w:val="en-GB" w:eastAsia="en-GB"/>
        </w:rPr>
        <w:footnoteReference w:id="6"/>
      </w:r>
    </w:p>
    <w:p w14:paraId="07580E3A"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Maintaining Ma'at with the gods required communication between the deities and humanity. Humanity communed with the gods through ritual, prayer, laudatory festivals, and petition. Communication from the divine Will could take different forms. Textual and archaeological evidence indicates that the first public notifications of communication from the gods occurred in the late Middle Kingdom. What seems apparent is </w:t>
      </w:r>
      <w:r w:rsidRPr="003F7BF8">
        <w:rPr>
          <w:rFonts w:ascii="Times New Roman" w:eastAsiaTheme="minorEastAsia" w:hAnsi="Times New Roman"/>
          <w:kern w:val="0"/>
          <w:lang w:val="en-GB" w:eastAsia="en-GB"/>
          <w14:ligatures w14:val="none"/>
        </w:rPr>
        <w:lastRenderedPageBreak/>
        <w:t>that the main forms of divine-human communication were through dreams and oracles, which served as as bridges between the cosmic order and human experience.</w:t>
      </w:r>
    </w:p>
    <w:p w14:paraId="58267334" w14:textId="77777777" w:rsidR="003F7BF8" w:rsidRPr="003F7BF8" w:rsidRDefault="003F7BF8" w:rsidP="003F7BF8">
      <w:pPr>
        <w:spacing w:before="100" w:beforeAutospacing="1" w:after="100" w:afterAutospacing="1" w:line="240" w:lineRule="auto"/>
        <w:ind w:left="0" w:firstLine="0"/>
        <w:outlineLvl w:val="1"/>
        <w:rPr>
          <w:rFonts w:ascii="Times New Roman" w:eastAsia="Times New Roman" w:hAnsi="Times New Roman"/>
          <w:b/>
          <w:bCs/>
          <w:kern w:val="0"/>
          <w:sz w:val="28"/>
          <w:szCs w:val="28"/>
          <w:lang w:val="en-GB" w:eastAsia="en-GB"/>
          <w14:ligatures w14:val="none"/>
        </w:rPr>
      </w:pPr>
      <w:r w:rsidRPr="003F7BF8">
        <w:rPr>
          <w:rFonts w:ascii="Times New Roman" w:eastAsia="Times New Roman" w:hAnsi="Times New Roman"/>
          <w:b/>
          <w:bCs/>
          <w:kern w:val="0"/>
          <w:sz w:val="28"/>
          <w:szCs w:val="28"/>
          <w:lang w:val="en-GB" w:eastAsia="en-GB"/>
          <w14:ligatures w14:val="none"/>
        </w:rPr>
        <w:t>Dream Divination (Oneiromancy)</w:t>
      </w:r>
    </w:p>
    <w:p w14:paraId="561E6B34"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Dream divination (oneiromancy) was one of the oldest forms of divination in Egypt and directly reflects the Egyptian understanding of cosmic boundaries. In the Egyptian cosmological view, sleep was 'a liminal state where the human consciousness could temporarily transcend normal boundaries and access divine realms'.</w:t>
      </w:r>
      <w:r w:rsidRPr="003F7BF8">
        <w:rPr>
          <w:rFonts w:ascii="Times New Roman" w:eastAsiaTheme="minorEastAsia" w:hAnsi="Times New Roman"/>
          <w:color w:val="auto"/>
          <w:vertAlign w:val="superscript"/>
          <w:lang w:val="en-GB" w:eastAsia="en-GB"/>
        </w:rPr>
        <w:footnoteReference w:id="7"/>
      </w:r>
      <w:r w:rsidRPr="003F7BF8">
        <w:rPr>
          <w:rFonts w:ascii="Times New Roman" w:eastAsiaTheme="minorEastAsia" w:hAnsi="Times New Roman"/>
          <w:kern w:val="0"/>
          <w:lang w:val="en-GB" w:eastAsia="en-GB"/>
          <w14:ligatures w14:val="none"/>
        </w:rPr>
        <w:t xml:space="preserve"> During dreams, the gods communicated directly with the dreamer, revealing divine Will or providing glimpses of future events.</w:t>
      </w:r>
    </w:p>
    <w:p w14:paraId="68039782"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Evidence of dream divination in the first two millennia is largely confined to those of the pharaohs or elite temple priests, reinforcing the hierarchical cosmic order where those closest to divinity in the social structure had the most direct access to divine communication and had the wealth and wherewithal to have commemorative or funerary constructions recording those communications.  Two royal examples are carved stelae from the 18th and 25th dynasties. The first, the Dream of Thutmose IV (the Sphinx Stele), recounts that young Prince Thutmose, resting by the sanctuary of Horemakhet near the Great Sphinx, was addressed by the god in a dream, promising him kingship in return for clearing the sanctuary of encroaching sand.</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8"/>
      </w:r>
    </w:p>
    <w:p w14:paraId="6CD84C76"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The second, the Dream Stele of Tanutamun (Tanwetamani), the last Kushite king of the 25th Dynasty in the 7th century BCE, records his dream of two serpents on either side of him. This dream was interpreted to mean that Assyrian-held Lower Egypt was his for seizing and uniting with Kushite-held Upper Egypt.</w:t>
      </w:r>
      <w:r w:rsidRPr="003F7BF8">
        <w:rPr>
          <w:rFonts w:ascii="Times New Roman" w:eastAsiaTheme="minorEastAsia" w:hAnsi="Times New Roman"/>
          <w:kern w:val="0"/>
          <w:vertAlign w:val="superscript"/>
          <w:lang w:val="en-GB" w:eastAsia="en-GB"/>
          <w14:ligatures w14:val="none"/>
        </w:rPr>
        <w:footnoteReference w:id="9"/>
      </w:r>
      <w:r w:rsidRPr="003F7BF8">
        <w:rPr>
          <w:rFonts w:ascii="Times New Roman" w:eastAsiaTheme="minorEastAsia" w:hAnsi="Times New Roman"/>
          <w:kern w:val="0"/>
          <w:lang w:val="en-GB" w:eastAsia="en-GB"/>
          <w14:ligatures w14:val="none"/>
        </w:rPr>
        <w:t xml:space="preserve">  These stelae can be understood as manufacturing imperial power and legitimizing the function of divinatory narrative in royal ideology—clear demonstrations of how divination reinforced the cosmic and political order simultaneously.</w:t>
      </w:r>
    </w:p>
    <w:p w14:paraId="40FA3CD5"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Slightly lower in the social hierarchy, the tomb text of the priest Dheutyemheb at Thebes describes his dream in which the goddess Hathor instructed him where to build his tomb: "...It is you who prophesied my tomb at the beginning when it was first planned. What you said has been realized through you; a place for my mummy has been found." Affirming that following this divine guidance aligns with Ma'at, he continues: "You are a goddess whose words must be carried out, a lady who must be obeyed. I have not dismissed your </w:t>
      </w:r>
      <w:bookmarkStart w:id="20" w:name="_Int_c8R2Tpex"/>
      <w:r w:rsidRPr="003F7BF8">
        <w:rPr>
          <w:rFonts w:ascii="Times New Roman" w:eastAsiaTheme="minorEastAsia" w:hAnsi="Times New Roman"/>
          <w:kern w:val="0"/>
          <w:lang w:val="en-GB" w:eastAsia="en-GB"/>
          <w14:ligatures w14:val="none"/>
        </w:rPr>
        <w:t>words</w:t>
      </w:r>
      <w:bookmarkEnd w:id="20"/>
      <w:r w:rsidRPr="003F7BF8">
        <w:rPr>
          <w:rFonts w:ascii="Times New Roman" w:eastAsiaTheme="minorEastAsia" w:hAnsi="Times New Roman"/>
          <w:kern w:val="0"/>
          <w:lang w:val="en-GB" w:eastAsia="en-GB"/>
          <w14:ligatures w14:val="none"/>
        </w:rPr>
        <w:t xml:space="preserve"> and I have not ignored your plan". </w:t>
      </w:r>
      <w:r w:rsidRPr="003F7BF8">
        <w:rPr>
          <w:rFonts w:ascii="Times New Roman" w:eastAsiaTheme="minorEastAsia" w:hAnsi="Times New Roman"/>
          <w:kern w:val="0"/>
          <w:vertAlign w:val="superscript"/>
          <w:lang w:val="en-GB" w:eastAsia="en-GB"/>
          <w14:ligatures w14:val="none"/>
        </w:rPr>
        <w:footnoteReference w:id="10"/>
      </w:r>
      <w:r w:rsidRPr="003F7BF8">
        <w:rPr>
          <w:rFonts w:ascii="Times New Roman" w:eastAsiaTheme="minorEastAsia" w:hAnsi="Times New Roman"/>
          <w:kern w:val="0"/>
          <w:lang w:val="en-GB" w:eastAsia="en-GB"/>
          <w14:ligatures w14:val="none"/>
        </w:rPr>
        <w:t xml:space="preserve"> These three dreams exemplify direct communication from the gods, connecting divine cosmic authority to earthly decisions.</w:t>
      </w:r>
    </w:p>
    <w:p w14:paraId="5AFC9BDB"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However, dream interpretation gradually became increasingly symbolic and required specialized interpretation, reflecting the Egyptian view that cosmic knowledge required mediation. From the Ramesside period (19th and 20th Dynasties, c. 1292-1069 BCE), as Szpakowska argues, the practice of all divination methods became more common, though textual and pictorial evidence remains sparse. Textual papyri portions survive in a Dream Manual in the Chester Beatty III Papers, which lists 139 dreams with good omens and 83 with negative omens, along with warning spells against nightmares. Reading through these columns reveals that dream interpretations were primarily symbolic: "seeing oneself eat crocodile flesh is considered good, implying one would be </w:t>
      </w:r>
      <w:r w:rsidRPr="003F7BF8">
        <w:rPr>
          <w:rFonts w:ascii="Times New Roman" w:eastAsiaTheme="minorEastAsia" w:hAnsi="Times New Roman"/>
          <w:kern w:val="0"/>
          <w:lang w:val="en-GB" w:eastAsia="en-GB"/>
          <w14:ligatures w14:val="none"/>
        </w:rPr>
        <w:lastRenderedPageBreak/>
        <w:t xml:space="preserve">consuming the possessions of an official (rt.6.25). Conversely, dreaming of seeing one's own backside was bad or negative—symbolizing poverty (rt.9.10)". </w:t>
      </w:r>
      <w:r w:rsidRPr="003F7BF8">
        <w:rPr>
          <w:rFonts w:ascii="Times New Roman" w:eastAsiaTheme="minorEastAsia" w:hAnsi="Times New Roman"/>
          <w:kern w:val="0"/>
          <w:vertAlign w:val="superscript"/>
          <w:lang w:val="en-GB" w:eastAsia="en-GB"/>
          <w14:ligatures w14:val="none"/>
        </w:rPr>
        <w:footnoteReference w:id="11"/>
      </w:r>
      <w:r w:rsidRPr="003F7BF8">
        <w:rPr>
          <w:rFonts w:ascii="Times New Roman" w:eastAsiaTheme="minorEastAsia" w:hAnsi="Times New Roman"/>
          <w:kern w:val="0"/>
          <w:lang w:val="en-GB" w:eastAsia="en-GB"/>
          <w14:ligatures w14:val="none"/>
        </w:rPr>
        <w:t xml:space="preserve"> Fragmentary evidence exists of other dream books from the 26th Dynasty (664-525 BCE) and the Thirtieth Dynasty (380-343 BCE). Following the invasion of Egypt by the Macedonians circa 332 BCE and the subsequent two centuries of Ptolemaic rule, dream books became more widely available in both Egyptian Demotic and Greek, suggesting a democratization of access to divine communication that corresponded with changing power structures.</w:t>
      </w:r>
    </w:p>
    <w:p w14:paraId="27F410A7"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Modern scholarship is divided as to whether dreaming temples with accompanying healing or dreaming incubations, existed in Egypt prior to the Ptolemaic dynasty, whether they arrived with the Hellenic influx, or whether they represented a syncretic evolution of both Egyptian and Greek worship. Gil Renberg argues that while incubation was practiced at Saqqara (a temple complex near Memphis), "who would engage in this ritual, which gods they might try to consult, and what they hoped to achieve—i.e., whether they were engaging in therapeutic or divinatory incubation" remains unclear.</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12"/>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kern w:val="0"/>
          <w:lang w:val="en-GB" w:eastAsia="en-GB"/>
          <w14:ligatures w14:val="none"/>
        </w:rPr>
        <w:t>Documentary evidence relating to dreams and divination at Saqqara dates from the second century BCE: a stele/shop front sign from the 'Sarapieion Way' advertising the services of a Cretan dream interpreter; the writings of Ḥor of Sebennytos, scribe/priest of Thoth, detailing oracular dream events occurring for himself and those he received on behalf of others; and the writings of the katachos (recluse) Ptolemaios and his brother Apollonios, which record dreams experienced by them and by Ptolemaios's wards, the female twins Taous and Tawê.</w:t>
      </w:r>
      <w:r w:rsidRPr="003F7BF8">
        <w:rPr>
          <w:rFonts w:ascii="Times New Roman" w:eastAsiaTheme="minorEastAsia" w:hAnsi="Times New Roman"/>
          <w:color w:val="auto"/>
          <w:vertAlign w:val="superscript"/>
          <w:lang w:val="en-GB" w:eastAsia="en-GB"/>
        </w:rPr>
        <w:footnoteReference w:id="13"/>
      </w:r>
      <w:r w:rsidRPr="003F7BF8">
        <w:rPr>
          <w:rFonts w:ascii="Times New Roman" w:eastAsiaTheme="minorEastAsia" w:hAnsi="Times New Roman"/>
          <w:kern w:val="0"/>
          <w:lang w:val="en-GB" w:eastAsia="en-GB"/>
          <w14:ligatures w14:val="none"/>
        </w:rPr>
        <w:t xml:space="preserve"> .  </w:t>
      </w:r>
    </w:p>
    <w:p w14:paraId="592FA651"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Dream divination can be considered an involuntary communication from the gods, occurring without (prior to Dream Temples) attested preparation for the divination. In contrast, the practice of Processional Oracle Divination represents intentional divine-human communication within the cosmic order.</w:t>
      </w:r>
    </w:p>
    <w:p w14:paraId="140C4E7D" w14:textId="77777777" w:rsidR="003F7BF8" w:rsidRPr="003F7BF8" w:rsidRDefault="003F7BF8" w:rsidP="003F7BF8">
      <w:pPr>
        <w:spacing w:before="100" w:beforeAutospacing="1" w:after="100" w:afterAutospacing="1" w:line="240" w:lineRule="auto"/>
        <w:ind w:left="0" w:firstLine="0"/>
        <w:outlineLvl w:val="1"/>
        <w:rPr>
          <w:rFonts w:ascii="Times New Roman" w:eastAsia="Times New Roman" w:hAnsi="Times New Roman"/>
          <w:b/>
          <w:bCs/>
          <w:kern w:val="0"/>
          <w:sz w:val="28"/>
          <w:szCs w:val="28"/>
          <w:lang w:val="en-GB" w:eastAsia="en-GB"/>
          <w14:ligatures w14:val="none"/>
        </w:rPr>
      </w:pPr>
      <w:r w:rsidRPr="003F7BF8">
        <w:rPr>
          <w:rFonts w:ascii="Times New Roman" w:eastAsia="Times New Roman" w:hAnsi="Times New Roman"/>
          <w:b/>
          <w:bCs/>
          <w:kern w:val="0"/>
          <w:sz w:val="28"/>
          <w:szCs w:val="28"/>
          <w:lang w:val="en-GB" w:eastAsia="en-GB"/>
          <w14:ligatures w14:val="none"/>
        </w:rPr>
        <w:t xml:space="preserve">Oracular Divination: </w:t>
      </w:r>
    </w:p>
    <w:p w14:paraId="372BDBD1"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Oracular divination can be defined as the answer given by or on behalf of a deity in response to a request for divine clarity on a particular question. This practice directly linked cosmic authority with earthly governance and reflected the Egyptian understanding that cosmic order (Ma'at) required regular maintenance through proper channels of communication. Gods resided in their temples and were not accessible to the public, as both the temple and inner temple areas housing the god, as well as the priests who served the god, were required to maintain ritual purity—a reflection of the cosmic division between sacred and profane spaces. On key festival dates, a specific public image of the god was processed along a sacred route from the temple, during which the god could be asked for oracular advice, temporarily bridging the cosmic divide between divine and human realms.</w:t>
      </w:r>
    </w:p>
    <w:p w14:paraId="289CA291"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Archaeological evidence of oracles before the New Kingdom (c. 1550-1069 BCE) is scant. The earliest evidence appears from the Ramesside/Third Intermediate Period. The most likely location for the development of oracular procession was Thebes during the 18th Dynasty, with the most prominent being that of Amun of Karnak, processed during the Festival of Opet and the Feast of the Valley. The earliest evidence of oracles </w:t>
      </w:r>
      <w:r w:rsidRPr="003F7BF8">
        <w:rPr>
          <w:rFonts w:ascii="Times New Roman" w:eastAsiaTheme="minorEastAsia" w:hAnsi="Times New Roman"/>
          <w:kern w:val="0"/>
          <w:lang w:val="en-GB" w:eastAsia="en-GB"/>
          <w14:ligatures w14:val="none"/>
        </w:rPr>
        <w:lastRenderedPageBreak/>
        <w:t>pertains to the reigns of Pharaoh-Queen Hatshepsut, her nephew-stepson Thutmose III, and Thutmose IV (grandson of Thutmose III).</w:t>
      </w:r>
    </w:p>
    <w:p w14:paraId="1C154CA6"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Hatshepsut's consultation with the Oracle of Amun concerned her sending an armed campaign against Punt, with the oracle affirming the campaign. The text appeared in two sites: her mortuary temple at Deir el-Bahari and the now-destroyed Chapelle Rouge, which was possibly located at Karnak, across the Nile from her tomb complex:</w:t>
      </w:r>
    </w:p>
    <w:p w14:paraId="782A4A14"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"The majesty of the palace beseeched the stairs of the lord of the gods and instructions were heard from the Great Throne, an oracle from the god himself: 'Explore the routes to Punt, open the roads to the myrrh-terraces, and lead an expedition on water and on land to bring exotic goods from the God's Land to this god who created her beauty.'"</w:t>
      </w:r>
    </w:p>
    <w:p w14:paraId="0968CFF0"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Hatshepsut was then led to the coronation throne by the god himself. As Sabine Kubisch argues, "a female pharaoh was never envisaged in Egyptian royal ideology, so she had to take special measures to establish her claim to the throne".</w:t>
      </w:r>
      <w:r w:rsidRPr="003F7BF8">
        <w:rPr>
          <w:rFonts w:ascii="Times New Roman" w:eastAsiaTheme="minorEastAsia" w:hAnsi="Times New Roman"/>
          <w:color w:val="auto"/>
          <w:vertAlign w:val="superscript"/>
          <w:lang w:val="en-GB" w:eastAsia="en-GB"/>
        </w:rPr>
        <w:footnoteReference w:id="14"/>
      </w:r>
      <w:r w:rsidRPr="003F7BF8">
        <w:rPr>
          <w:rFonts w:ascii="Times New Roman" w:eastAsiaTheme="minorEastAsia" w:hAnsi="Times New Roman"/>
          <w:kern w:val="0"/>
          <w:lang w:val="en-GB" w:eastAsia="en-GB"/>
          <w14:ligatures w14:val="none"/>
        </w:rPr>
        <w:t xml:space="preserve">  She did so firstly by establishing her descent from the god Amun through her divine birth and secondly via an oracle from Amun where the god confirmed her as pharaoh—linking cosmological legitimacy directly to political authority.</w:t>
      </w:r>
    </w:p>
    <w:p w14:paraId="14FDE89B"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Thutmose III's oracle is part of a longer engraved text at Karnak listing his many building projects and describes his being chosen by Amun as the next pharaoh. Here, the god is processed in his bark (boat) and, in front of the king's court, "settles" in front of Thutmose. </w:t>
      </w:r>
      <w:r w:rsidRPr="003F7BF8">
        <w:rPr>
          <w:rFonts w:ascii="Times New Roman" w:eastAsiaTheme="minorEastAsia" w:hAnsi="Times New Roman"/>
          <w:kern w:val="0"/>
          <w:vertAlign w:val="superscript"/>
          <w:lang w:val="en-GB" w:eastAsia="en-GB"/>
          <w14:ligatures w14:val="none"/>
        </w:rPr>
        <w:footnoteReference w:id="15"/>
      </w:r>
      <w:r w:rsidRPr="003F7BF8">
        <w:rPr>
          <w:rFonts w:ascii="Times New Roman" w:eastAsiaTheme="minorEastAsia" w:hAnsi="Times New Roman"/>
          <w:kern w:val="0"/>
          <w:lang w:val="en-GB" w:eastAsia="en-GB"/>
          <w14:ligatures w14:val="none"/>
        </w:rPr>
        <w:t xml:space="preserve">  Both texts exemplify how, by gaining divine sanction as pharaoh, a ruler—as the sole intermediary between the Divine Will and humanity in Egypt—embodied and obeyed the Ma'at principle of order, justice, and cosmic balance. Oracles continued to be consulted by kings, principally in the Ramesside and Middle Kingdom periods.</w:t>
      </w:r>
    </w:p>
    <w:p w14:paraId="6BD1418C"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The degree of coordination between the pharaoh and the temple priesthood remains an open question. While the pharaoh was the sole intercessor with the divine Will, the growing power of the temple priesthood, especially the elite-born high priests, indicates their key role in the legitimacy process. Sabine Kubisch highlights the relationship between Hatshepsut and Hauseneb, the High Priest of Amun, who held various key secular positions in Hatshepsut's reign, including Overseer of Works and Overseer of Priests. Regarding his position, Hauseneb stated: "[...] one whom Her Majesty selected amidst millions, whom she made great among the Rechit because of the great efficiency in the heart (of the king)".</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16"/>
      </w:r>
    </w:p>
    <w:p w14:paraId="55CC7D63"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Oracles were consulted for clerical and other appointments, demonstrating how the cosmic order permeated bureaucratic functions. On an outer face of the Festival Hall of Amenhotep II at Karnak, an inscription attests to the confirmation of priestly appointments of the Inspectors of the Divine Offerings and of Nesamun as Scribe of the Storehouse of Amun, each appointment being approved by the god who "nodded vigorously".</w:t>
      </w:r>
      <w:r w:rsidRPr="003F7BF8">
        <w:rPr>
          <w:rFonts w:ascii="Times New Roman" w:eastAsiaTheme="minorEastAsia" w:hAnsi="Times New Roman"/>
          <w:color w:val="auto"/>
          <w:vertAlign w:val="superscript"/>
          <w:lang w:val="en-GB" w:eastAsia="en-GB"/>
        </w:rPr>
        <w:footnoteReference w:id="17"/>
      </w:r>
      <w:r w:rsidRPr="003F7BF8">
        <w:rPr>
          <w:rFonts w:ascii="Times New Roman" w:eastAsiaTheme="minorEastAsia" w:hAnsi="Times New Roman"/>
          <w:kern w:val="0"/>
          <w:lang w:val="en-GB" w:eastAsia="en-GB"/>
          <w14:ligatures w14:val="none"/>
        </w:rPr>
        <w:t xml:space="preserve">  For the </w:t>
      </w:r>
      <w:r w:rsidRPr="003F7BF8">
        <w:rPr>
          <w:rFonts w:ascii="Times New Roman" w:eastAsiaTheme="minorEastAsia" w:hAnsi="Times New Roman"/>
          <w:kern w:val="0"/>
          <w:lang w:val="en-GB" w:eastAsia="en-GB"/>
          <w14:ligatures w14:val="none"/>
        </w:rPr>
        <w:lastRenderedPageBreak/>
        <w:t>general population, questions were written on ostraca and given to temple priests or laid on the processional route, awaiting an answer from the god in his boat. Ostraca from the artisanal village at Set Ma'at (The Place of Truth), now known as Deir el-Medina, show that villagers consulted the oracle of the deified Amenhotep I, mostly on matters of property ownership or theft:</w:t>
      </w:r>
    </w:p>
    <w:p w14:paraId="20F31D9A"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"Year 5, month 3 of the inundation season, day 28. Appealing by the engraver Qaha to king Amenhotep (life, prosperity and health), saying 'My good lord, come today, when my two garments have been stolen,' and he brought the scorpion charmer Amenmose, saying, 'Read out the houses of the neighbourhood,' and one read them out. Now when one reached the house of the scribe Amennakhte he indicated agreement, saying, 'They are with his daughter.'"</w:t>
      </w:r>
      <w:r w:rsidRPr="003F7BF8">
        <w:rPr>
          <w:rFonts w:ascii="Times New Roman" w:eastAsiaTheme="minorEastAsia" w:hAnsi="Times New Roman"/>
          <w:color w:val="auto"/>
          <w:vertAlign w:val="superscript"/>
          <w:lang w:val="en-GB" w:eastAsia="en-GB"/>
        </w:rPr>
        <w:footnoteReference w:id="18"/>
      </w:r>
      <w:r w:rsidRPr="003F7BF8">
        <w:rPr>
          <w:rFonts w:ascii="Times New Roman" w:eastAsiaTheme="minorEastAsia" w:hAnsi="Times New Roman"/>
          <w:kern w:val="0"/>
          <w:lang w:val="en-GB" w:eastAsia="en-GB"/>
          <w14:ligatures w14:val="none"/>
        </w:rPr>
        <w:t xml:space="preserve">  Resolution of such issues by oracle rendered decisions on guilt or innocence more impartial and helped maintain community relations—extending the cosmic principle of Ma'at into everyday social justice.</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19"/>
      </w:r>
    </w:p>
    <w:p w14:paraId="29C3603C"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A notable temple in Siwa, dedicated to the god Amun, issued oracles apparently not in the established "professional" or "barque" oracle format, but possibly through priestly interpretation and perhaps in writing. Known to the Greeks as early as circa 500 BCE, it was highly esteemed, as noted by Plato in his "Laws." Alexander of Macedonia visited this temple in 332 BCE and "went away satisfied," presumably because the oracle had judiciously and providentially answered his question to his satisfaction.</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20"/>
      </w:r>
    </w:p>
    <w:p w14:paraId="474F959E" w14:textId="77777777" w:rsidR="003F7BF8" w:rsidRPr="003F7BF8" w:rsidRDefault="003F7BF8" w:rsidP="003F7BF8">
      <w:pPr>
        <w:spacing w:before="100" w:beforeAutospacing="1" w:after="100" w:afterAutospacing="1" w:line="240" w:lineRule="auto"/>
        <w:ind w:left="0" w:firstLine="0"/>
        <w:outlineLvl w:val="1"/>
        <w:rPr>
          <w:rFonts w:ascii="Times New Roman" w:eastAsia="Times New Roman" w:hAnsi="Times New Roman"/>
          <w:b/>
          <w:bCs/>
          <w:kern w:val="0"/>
          <w:sz w:val="28"/>
          <w:szCs w:val="28"/>
          <w:lang w:val="en-GB" w:eastAsia="en-GB"/>
          <w14:ligatures w14:val="none"/>
        </w:rPr>
      </w:pPr>
      <w:r w:rsidRPr="003F7BF8">
        <w:rPr>
          <w:rFonts w:ascii="Times New Roman" w:eastAsia="Times New Roman" w:hAnsi="Times New Roman"/>
          <w:b/>
          <w:bCs/>
          <w:kern w:val="0"/>
          <w:sz w:val="28"/>
          <w:szCs w:val="28"/>
          <w:lang w:val="en-GB" w:eastAsia="en-GB"/>
          <w14:ligatures w14:val="none"/>
        </w:rPr>
        <w:t>Astronomical and Calendrical Divination</w:t>
      </w:r>
    </w:p>
    <w:p w14:paraId="532BB49A"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Astronomy played a crucial role in Ancient Egyptian cosmology and divination. Their principal gods included the Sun and Moon and the five planets visible to the naked eye. These celestial bodies, together with observed star systems and celestial events (comets, shooting stars, solar and lunar eclipses), governed all aspects of life, directly linking the cosmic order to earthly experiences. Practically, the annual cycle of stellar movement was vital to Egyptians' ability to calculate time for regular events, reflecting the cosmic principle that proper timing maintained Ma'at. Initially, they developed and followed a lunar calendar with the star Sirius (known to the Egyptians as Sopdet or Sothis) as especially important, as its heliacal rising (first appearance in the pre-dawn sky after a period of invisibility) predicted the annual Nile inundations. Sirius was also used to regulate the intercalary month that maintained the pace of the seasons.</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21"/>
      </w:r>
      <w:r w:rsidRPr="003F7BF8">
        <w:rPr>
          <w:rFonts w:ascii="Times New Roman" w:eastAsiaTheme="minorEastAsia" w:hAnsi="Times New Roman"/>
          <w:kern w:val="0"/>
          <w:lang w:val="en-GB" w:eastAsia="en-GB"/>
          <w14:ligatures w14:val="none"/>
        </w:rPr>
        <w:t xml:space="preserve"> Additionally, a civil solar calendar was developed, giving 365 days of three seasons of 30 days plus 5 "epagomenal days"—days outside the regular calendar associated with the births of five major deities.</w:t>
      </w:r>
      <w:r w:rsidRPr="003F7BF8">
        <w:rPr>
          <w:rFonts w:ascii="Times New Roman" w:eastAsiaTheme="minorEastAsia" w:hAnsi="Times New Roman"/>
          <w:color w:val="auto"/>
          <w:vertAlign w:val="superscript"/>
          <w:lang w:val="en-GB" w:eastAsia="en-GB"/>
        </w:rPr>
        <w:footnoteReference w:id="22"/>
      </w:r>
      <w:r w:rsidRPr="003F7BF8">
        <w:rPr>
          <w:rFonts w:ascii="Times New Roman" w:eastAsiaTheme="minorEastAsia" w:hAnsi="Times New Roman"/>
          <w:kern w:val="0"/>
          <w:lang w:val="en-GB" w:eastAsia="en-GB"/>
          <w14:ligatures w14:val="none"/>
        </w:rPr>
        <w:t xml:space="preserve"> The practical uses of the lunar calendar included forecasting the start of the annual three-to-four-month Nile flooding or inundations and other agricultural practices such as sowing, planting, and harvest time. Vitally important was the timing of religious festivals and temple rituals, together with marking auspicious dates for royal decision-making—all practices that maintained cosmic order through proper timing.</w:t>
      </w:r>
    </w:p>
    <w:p w14:paraId="4EBC487E"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lastRenderedPageBreak/>
        <w:t>The Old Kingdom saw the beginning of temple building with specific orientations designed to predict sunrise and facilitate stellar observation either from temple roofs or balconies. The Middle Kingdom developed the study of what are known as "the decans"—thirty-six stars below the ecliptic, all of which had a regular seventy-day interval between heliacal risings.</w:t>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color w:val="auto"/>
          <w:vertAlign w:val="superscript"/>
          <w:lang w:val="en-GB" w:eastAsia="en-GB"/>
        </w:rPr>
        <w:footnoteReference w:id="23"/>
      </w:r>
      <w:r w:rsidRPr="003F7BF8">
        <w:rPr>
          <w:rFonts w:ascii="Times New Roman" w:eastAsiaTheme="minorEastAsia" w:hAnsi="Times New Roman"/>
          <w:kern w:val="0"/>
          <w:lang w:val="en-GB" w:eastAsia="en-GB"/>
          <w14:ligatures w14:val="none"/>
        </w:rPr>
        <w:t>Middle Kingdom funerary practice incorporated astronomical tables onto the interior lids of coffins. The function of these "star clocks" or "star calendars" is not fully understood. Early twentieth-century academic thought suggested they were "clocks" made as time-telling instruments, while more current thinking suggests they recorded "sky configurations on certain dates, or complete descriptions of an 'ideal' sky" and that such were sky representations in the "universal model of the tomb or coffin".</w:t>
      </w:r>
      <w:r w:rsidRPr="003F7BF8">
        <w:rPr>
          <w:rFonts w:ascii="Times New Roman" w:eastAsiaTheme="minorEastAsia" w:hAnsi="Times New Roman"/>
          <w:color w:val="auto"/>
          <w:vertAlign w:val="superscript"/>
          <w:lang w:val="en-GB" w:eastAsia="en-GB"/>
        </w:rPr>
        <w:footnoteReference w:id="24"/>
      </w:r>
      <w:r w:rsidRPr="003F7BF8">
        <w:rPr>
          <w:rFonts w:ascii="Times New Roman" w:eastAsiaTheme="minorEastAsia" w:hAnsi="Times New Roman"/>
          <w:kern w:val="0"/>
          <w:lang w:val="en-GB" w:eastAsia="en-GB"/>
          <w14:ligatures w14:val="none"/>
        </w:rPr>
        <w:t xml:space="preserve">  Given the importance of the underlying concept of Ma'at, especially cosmic order, these funerary "star clocks" likely reassured the deceased on their journey that even in death, cosmic order persisted—linking astronomical knowledge to funerary ritual and the afterlife.</w:t>
      </w:r>
    </w:p>
    <w:p w14:paraId="2835EDBB"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The principle of Ma'at drove the increasing desire by temple and kingship to measure time as accurately as possible. This enabled ruling elites to control the population (at least in urban areas) more effectively through coordinated activities. Temple calendars listed which days were auspicious or inauspicious for temple rituals, and evidence suggests some temple calendars transferred into the public domain. Sebastian Porceddu and colleagues argue that Calendars of Lucky and Unlucky Days or Hemerologies "occupied a place in ancient Egyptian divination" as they were "based on the belief that Egyptian myths represent recurrent events that possibly have an effect on everyday life" and that "the understanding and knowledge of the proper place for every divine and mythological event in the yearly cycle, as it could be observed in nature, was a way to avoid the displeasure of the gods". </w:t>
      </w:r>
      <w:r w:rsidRPr="003F7BF8">
        <w:rPr>
          <w:rFonts w:ascii="Times New Roman" w:eastAsiaTheme="minorEastAsia" w:hAnsi="Times New Roman"/>
          <w:kern w:val="0"/>
          <w:vertAlign w:val="superscript"/>
          <w:lang w:val="en-GB" w:eastAsia="en-GB"/>
          <w14:ligatures w14:val="none"/>
        </w:rPr>
        <w:footnoteReference w:id="25"/>
      </w:r>
      <w:r w:rsidRPr="003F7BF8">
        <w:rPr>
          <w:rFonts w:ascii="Times New Roman" w:eastAsiaTheme="minorEastAsia" w:hAnsi="Times New Roman"/>
          <w:kern w:val="0"/>
          <w:lang w:val="en-GB" w:eastAsia="en-GB"/>
          <w14:ligatures w14:val="none"/>
        </w:rPr>
        <w:t xml:space="preserve"> These calendars directly connected cosmic cycles with human fortune, a fundamental aspect of Egyptian divination.</w:t>
      </w:r>
    </w:p>
    <w:p w14:paraId="37EDDE40"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An alternative reading of the calendars suggests they were "stellar almanacs." Patty Hardy posits that the Cairo Calendar, which documents stellar risings, transits, and settings along with astronomical events, was partly a stellar almanac. Furthermore, its "use of mythological and astral elements from much older funerary texts, plus comparison of the form and content of its passages to Mesopotamian omen texts, suggests that a form of astral divination was practiced in New Kingdom Egypt’</w:t>
      </w:r>
      <w:r w:rsidRPr="003F7BF8">
        <w:rPr>
          <w:rFonts w:ascii="Times New Roman" w:eastAsiaTheme="minorEastAsia" w:hAnsi="Times New Roman"/>
          <w:color w:val="auto"/>
          <w:lang w:val="en-GB" w:eastAsia="en-GB"/>
        </w:rPr>
        <w:t>,</w:t>
      </w:r>
      <w:r w:rsidRPr="003F7BF8">
        <w:rPr>
          <w:rFonts w:ascii="Times New Roman" w:eastAsiaTheme="minorEastAsia" w:hAnsi="Times New Roman"/>
          <w:kern w:val="0"/>
          <w:vertAlign w:val="superscript"/>
          <w:lang w:val="en-GB" w:eastAsia="en-GB"/>
          <w14:ligatures w14:val="none"/>
        </w:rPr>
        <w:footnoteReference w:id="26"/>
      </w:r>
      <w:r w:rsidRPr="003F7BF8">
        <w:rPr>
          <w:rFonts w:ascii="Times New Roman" w:eastAsiaTheme="minorEastAsia" w:hAnsi="Times New Roman"/>
          <w:kern w:val="0"/>
          <w:lang w:val="en-GB" w:eastAsia="en-GB"/>
          <w14:ligatures w14:val="none"/>
        </w:rPr>
        <w:t xml:space="preserve">  indicating a direct connection between astronomical observation and divinatory practice earlier than previously recognized.</w:t>
      </w:r>
    </w:p>
    <w:p w14:paraId="3B740362"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Whether temple calendars and hemerologies should be considered astrological has been debated by scholars. Ronald Wells's entry on astrology in the Oxford Encyclopedia of Ancient Egypt places the advent of astrology in ancient Egypt firmly with the arrival of the Greek Ptolemies in 304 BCE, citing both Hellenistic and Babylonian influences on Egyptian astronomy. However, twenty-first-century scholarship challenges this notion. Andreas Winkler, in his 2021 paper "Stellar Scientists: The Egyptian Temple Astrologers," argues that </w:t>
      </w:r>
      <w:r w:rsidRPr="003F7BF8">
        <w:rPr>
          <w:rFonts w:ascii="Times New Roman" w:eastAsiaTheme="minorEastAsia" w:hAnsi="Times New Roman"/>
          <w:kern w:val="0"/>
          <w:lang w:val="en-GB" w:eastAsia="en-GB"/>
          <w14:ligatures w14:val="none"/>
        </w:rPr>
        <w:lastRenderedPageBreak/>
        <w:t>astrology already existed in Egypt and was a science closely linked to temple culture: "The priests were the keepers of knowledge and wisdom, the 'scientists' of Egyptian society".</w:t>
      </w:r>
      <w:r w:rsidRPr="003F7BF8">
        <w:rPr>
          <w:rFonts w:ascii="Times New Roman" w:eastAsiaTheme="minorEastAsia" w:hAnsi="Times New Roman"/>
          <w:color w:val="auto"/>
          <w:vertAlign w:val="superscript"/>
          <w:lang w:val="en-GB" w:eastAsia="en-GB"/>
        </w:rPr>
        <w:footnoteReference w:id="27"/>
      </w:r>
      <w:r w:rsidRPr="003F7BF8">
        <w:rPr>
          <w:rFonts w:ascii="Times New Roman" w:eastAsiaTheme="minorEastAsia" w:hAnsi="Times New Roman"/>
          <w:kern w:val="0"/>
          <w:lang w:val="en-GB" w:eastAsia="en-GB"/>
          <w14:ligatures w14:val="none"/>
        </w:rPr>
        <w:t xml:space="preserve"> </w:t>
      </w:r>
    </w:p>
    <w:p w14:paraId="6CB2A10A"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Indeed, with the arrival of the Hellenic Ptolemies and the massive migration of Greek speakers into Egypt, along with their cultural practices, astrology moved beyond the purview of the elite into everyday life. Intellectually, the "science" of astrology was explored and developed in Alexandria, where Hellenic and Babylonian zodiacal knowledge merged with Egyptian solar and stellar knowledge (specifically the decans), creating a syncretic astrological tradition that reflected the cosmic principles of both cultures.</w:t>
      </w:r>
    </w:p>
    <w:p w14:paraId="1BD8DFB1"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Zodiacal imagery appeared prominently on temple ceilings (like Dendera) and coffin lids and tomb ceilings, replacing the star charts, with the temple ceilings (as more public spaces) 'showing the planets in the position they had at the moment of the birth of the world, and thus their depiction constitutes sort of a horoscope of the world'.</w:t>
      </w:r>
      <w:r w:rsidRPr="003F7BF8">
        <w:rPr>
          <w:rFonts w:ascii="Times New Roman" w:eastAsiaTheme="minorEastAsia" w:hAnsi="Times New Roman"/>
          <w:kern w:val="0"/>
          <w:vertAlign w:val="superscript"/>
          <w:lang w:val="en-GB" w:eastAsia="en-GB"/>
          <w14:ligatures w14:val="none"/>
        </w:rPr>
        <w:footnoteReference w:id="28"/>
      </w:r>
      <w:r w:rsidRPr="003F7BF8">
        <w:rPr>
          <w:rFonts w:ascii="Times New Roman" w:eastAsiaTheme="minorEastAsia" w:hAnsi="Times New Roman"/>
          <w:kern w:val="0"/>
          <w:lang w:val="en-GB" w:eastAsia="en-GB"/>
          <w14:ligatures w14:val="none"/>
        </w:rPr>
        <w:t xml:space="preserve"> Such celestial maps, specifically the Dendera E Zodiac, 'seemed an image of the living cosmos at its most perfect, a moral lesson in right living to all who gaze upon it'.</w:t>
      </w:r>
      <w:r w:rsidRPr="003F7BF8">
        <w:rPr>
          <w:rFonts w:ascii="Times New Roman" w:eastAsiaTheme="minorEastAsia" w:hAnsi="Times New Roman"/>
          <w:color w:val="auto"/>
          <w:vertAlign w:val="superscript"/>
          <w:lang w:val="en-GB" w:eastAsia="en-GB"/>
        </w:rPr>
        <w:footnoteReference w:id="29"/>
      </w:r>
      <w:r w:rsidRPr="003F7BF8">
        <w:rPr>
          <w:rFonts w:ascii="Times New Roman" w:eastAsiaTheme="minorEastAsia" w:hAnsi="Times New Roman"/>
          <w:kern w:val="0"/>
          <w:lang w:val="en-GB" w:eastAsia="en-GB"/>
          <w14:ligatures w14:val="none"/>
        </w:rPr>
        <w:t xml:space="preserve">  Depictions of the zodiac on coffin lids and tomb ceilings indicated the birth chart of the deceased. Winkler and Zellman-Roger argue that the dates themselves did not serve an astrological purpose but were a symbolic representation of the 'skies and the cyclical evolution of time, the journey of the Sun across the stellar vault. To join the luminary in the afterlife was an explicit goal of the deceased in Egypt, and for this the deceased had to be reborn—just like the Sun—after death' and as such 'the recreated heavens must have been seen as a way of assisting the process of rebirth in the hereafter.'</w:t>
      </w:r>
      <w:r w:rsidRPr="003F7BF8">
        <w:rPr>
          <w:rFonts w:ascii="Times New Roman" w:eastAsiaTheme="minorEastAsia" w:hAnsi="Times New Roman"/>
          <w:color w:val="auto"/>
          <w:vertAlign w:val="superscript"/>
          <w:lang w:val="en-GB" w:eastAsia="en-GB"/>
        </w:rPr>
        <w:footnoteReference w:id="30"/>
      </w:r>
      <w:r w:rsidRPr="003F7BF8">
        <w:rPr>
          <w:rFonts w:ascii="Times New Roman" w:eastAsiaTheme="minorEastAsia" w:hAnsi="Times New Roman"/>
          <w:color w:val="auto"/>
          <w:lang w:val="en-GB" w:eastAsia="en-GB"/>
        </w:rPr>
        <w:t xml:space="preserve">  </w:t>
      </w:r>
      <w:r w:rsidRPr="003F7BF8">
        <w:rPr>
          <w:rFonts w:ascii="Times New Roman" w:eastAsiaTheme="minorEastAsia" w:hAnsi="Times New Roman"/>
          <w:kern w:val="0"/>
          <w:lang w:val="en-GB" w:eastAsia="en-GB"/>
          <w14:ligatures w14:val="none"/>
        </w:rPr>
        <w:t>While not explicitly divinatory in nature, the depictions might indicate a knowledge of their astronomical or horological chart whilst alive, (with the potentiality for divinatory use). What such depictions do confirm, however, is that the notion of Ma'at or cosmic order could be re-envisioned and reinforced through the (new) zodiacal medium.</w:t>
      </w:r>
    </w:p>
    <w:p w14:paraId="6A0A41B8" w14:textId="77777777" w:rsidR="003F7BF8" w:rsidRPr="003F7BF8" w:rsidRDefault="003F7BF8" w:rsidP="003F7BF8">
      <w:pPr>
        <w:spacing w:after="160" w:line="278" w:lineRule="auto"/>
        <w:ind w:left="0" w:firstLine="0"/>
        <w:rPr>
          <w:rFonts w:ascii="Times New Roman" w:eastAsiaTheme="minorEastAsia" w:hAnsi="Times New Roman"/>
          <w:b/>
          <w:bCs/>
          <w:kern w:val="0"/>
          <w:sz w:val="28"/>
          <w:szCs w:val="28"/>
          <w:lang w:val="en-GB" w:eastAsia="en-GB"/>
          <w14:ligatures w14:val="none"/>
        </w:rPr>
      </w:pPr>
      <w:r w:rsidRPr="003F7BF8">
        <w:rPr>
          <w:rFonts w:ascii="Times New Roman" w:eastAsiaTheme="minorEastAsia" w:hAnsi="Times New Roman"/>
          <w:b/>
          <w:bCs/>
          <w:kern w:val="0"/>
          <w:sz w:val="28"/>
          <w:szCs w:val="28"/>
          <w:lang w:val="en-GB" w:eastAsia="en-GB"/>
          <w14:ligatures w14:val="none"/>
        </w:rPr>
        <w:t>Conclusion</w:t>
      </w:r>
    </w:p>
    <w:p w14:paraId="2688276E" w14:textId="77777777" w:rsidR="003F7BF8" w:rsidRPr="003F7BF8" w:rsidRDefault="003F7BF8" w:rsidP="003F7BF8">
      <w:pPr>
        <w:spacing w:after="180"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Throughout Ancient Egyptian history, cosmological beliefs and divinatory practices were deeply intertwined, both serving to reinforce the fundamental concept of Ma'at as cosmic order. Creation myths established the ordered universe from primordial chaos, while the various divination methods provided the means for Egyptians at all levels of society to maintain harmony with this divine order. Such practices, together with the intricate relationships maintained between the peoples and their gods, served to maintain Egyptians' understanding of their place in the cosmos and to create a comprehensive worldview that supported social and political stability for millennia, demonstrating how religious concepts were not merely theoretical constructs but practical tools for navigating daily life.</w:t>
      </w:r>
    </w:p>
    <w:p w14:paraId="505D7CE7" w14:textId="77777777" w:rsidR="003F7BF8" w:rsidRPr="003F7BF8" w:rsidRDefault="003F7BF8" w:rsidP="003F7BF8">
      <w:pPr>
        <w:spacing w:after="180"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 xml:space="preserve">For the kings, divinatory practices also served to legitimize their position and emphasized the unique position of the pharaoh as the human/divine channel through which the people and the gods communicated. The almost </w:t>
      </w:r>
      <w:r w:rsidRPr="003F7BF8">
        <w:rPr>
          <w:rFonts w:ascii="Times New Roman" w:eastAsiaTheme="minorEastAsia" w:hAnsi="Times New Roman"/>
          <w:kern w:val="0"/>
          <w:lang w:val="en-GB" w:eastAsia="en-GB"/>
          <w14:ligatures w14:val="none"/>
        </w:rPr>
        <w:lastRenderedPageBreak/>
        <w:t>forensic need to measure time in the temples led to the development of astronomical practice and multiple calendar systems that contributed to the sense of order and place within their cosmology and their universal view. For the common people, deity and ancestor worship, together with the less formalized use of divinatory practices, enabled them to negotiate everyday life within an understood framework of cosmological and social order. Even as Egyptian culture encountered and synthesized with other traditions, particularly during the Ptolemaic period, the fundamental relationship between cosmic order and divinatory practice remained, evolving rather than disappearing.</w:t>
      </w:r>
    </w:p>
    <w:p w14:paraId="2D8D90DF" w14:textId="77777777" w:rsidR="003F7BF8" w:rsidRPr="003F7BF8" w:rsidRDefault="003F7BF8" w:rsidP="003F7BF8">
      <w:pPr>
        <w:spacing w:after="160" w:line="278" w:lineRule="auto"/>
        <w:ind w:left="0" w:firstLine="0"/>
        <w:rPr>
          <w:rFonts w:ascii="Times New Roman" w:eastAsiaTheme="minorEastAsia" w:hAnsi="Times New Roman"/>
          <w:b/>
          <w:bCs/>
          <w:kern w:val="0"/>
          <w:lang w:val="en-GB" w:eastAsia="en-GB"/>
          <w14:ligatures w14:val="none"/>
        </w:rPr>
      </w:pPr>
    </w:p>
    <w:p w14:paraId="2AFB8485" w14:textId="77777777" w:rsidR="003F7BF8" w:rsidRPr="003F7BF8" w:rsidRDefault="003F7BF8" w:rsidP="003F7BF8">
      <w:pPr>
        <w:spacing w:after="160" w:line="278" w:lineRule="auto"/>
        <w:ind w:left="0" w:firstLine="0"/>
        <w:rPr>
          <w:rFonts w:ascii="Times New Roman" w:eastAsiaTheme="minorEastAsia" w:hAnsi="Times New Roman"/>
          <w:b/>
          <w:bCs/>
          <w:kern w:val="0"/>
          <w:lang w:val="en-GB" w:eastAsia="en-GB"/>
          <w14:ligatures w14:val="none"/>
        </w:rPr>
      </w:pPr>
      <w:r w:rsidRPr="003F7BF8">
        <w:rPr>
          <w:rFonts w:ascii="Times New Roman" w:eastAsiaTheme="minorEastAsia" w:hAnsi="Times New Roman"/>
          <w:b/>
          <w:bCs/>
          <w:kern w:val="0"/>
          <w:lang w:val="en-GB" w:eastAsia="en-GB"/>
          <w14:ligatures w14:val="none"/>
        </w:rPr>
        <w:t>(Word count 4325)</w:t>
      </w:r>
    </w:p>
    <w:p w14:paraId="0E179D10" w14:textId="77777777" w:rsidR="003F7BF8" w:rsidRPr="003F7BF8" w:rsidRDefault="003F7BF8" w:rsidP="003F7BF8">
      <w:pPr>
        <w:spacing w:after="160" w:line="278" w:lineRule="auto"/>
        <w:ind w:left="0" w:firstLine="0"/>
        <w:rPr>
          <w:rFonts w:ascii="Times New Roman" w:eastAsiaTheme="minorEastAsia" w:hAnsi="Times New Roman"/>
          <w:kern w:val="0"/>
          <w:lang w:val="en-GB" w:eastAsia="en-GB"/>
          <w14:ligatures w14:val="none"/>
        </w:rPr>
      </w:pPr>
    </w:p>
    <w:p w14:paraId="3AF131E0" w14:textId="77777777" w:rsidR="003F7BF8" w:rsidRPr="003F7BF8" w:rsidRDefault="003F7BF8" w:rsidP="003F7BF8">
      <w:pPr>
        <w:spacing w:after="160" w:line="278" w:lineRule="auto"/>
        <w:ind w:left="0" w:firstLine="0"/>
        <w:rPr>
          <w:rFonts w:ascii="Times New Roman" w:eastAsiaTheme="minorEastAsia" w:hAnsi="Times New Roman"/>
          <w:kern w:val="0"/>
          <w:lang w:val="en-GB" w:eastAsia="en-GB"/>
          <w14:ligatures w14:val="none"/>
        </w:rPr>
      </w:pPr>
    </w:p>
    <w:p w14:paraId="521327A7" w14:textId="77777777" w:rsidR="003F7BF8" w:rsidRPr="003F7BF8" w:rsidRDefault="003F7BF8" w:rsidP="003F7BF8">
      <w:pPr>
        <w:spacing w:before="100" w:beforeAutospacing="1" w:after="100" w:afterAutospacing="1" w:line="240" w:lineRule="auto"/>
        <w:ind w:left="0" w:firstLine="0"/>
        <w:outlineLvl w:val="0"/>
        <w:rPr>
          <w:rFonts w:ascii="Times New Roman" w:eastAsia="Times New Roman" w:hAnsi="Times New Roman"/>
          <w:b/>
          <w:bCs/>
          <w:kern w:val="36"/>
          <w:sz w:val="48"/>
          <w:szCs w:val="48"/>
          <w:lang w:val="en-GB" w:eastAsia="en-GB"/>
          <w14:ligatures w14:val="none"/>
        </w:rPr>
      </w:pPr>
      <w:r w:rsidRPr="003F7BF8">
        <w:rPr>
          <w:rFonts w:ascii="Times New Roman" w:eastAsia="Times New Roman" w:hAnsi="Times New Roman"/>
          <w:b/>
          <w:bCs/>
          <w:kern w:val="36"/>
          <w:sz w:val="48"/>
          <w:szCs w:val="48"/>
          <w:lang w:val="en-GB" w:eastAsia="en-GB"/>
          <w14:ligatures w14:val="none"/>
        </w:rPr>
        <w:t>Bibliography</w:t>
      </w:r>
    </w:p>
    <w:p w14:paraId="43E5243C"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Allen, J.P., 'Egyptian Cosmology and Cosmogony', in </w:t>
      </w:r>
      <w:r w:rsidRPr="003F7BF8">
        <w:rPr>
          <w:rFonts w:ascii="Times New Roman" w:eastAsiaTheme="minorEastAsia" w:hAnsi="Times New Roman"/>
          <w:i/>
          <w:iCs/>
          <w:kern w:val="0"/>
          <w:lang w:val="en-GB" w:eastAsia="en-GB"/>
          <w14:ligatures w14:val="none"/>
        </w:rPr>
        <w:t>Handbook of Archaeoastronomy and Ethnoastronomy</w:t>
      </w:r>
      <w:r w:rsidRPr="003F7BF8">
        <w:rPr>
          <w:rFonts w:ascii="Times New Roman" w:eastAsiaTheme="minorEastAsia" w:hAnsi="Times New Roman"/>
          <w:kern w:val="0"/>
          <w:lang w:val="en-GB" w:eastAsia="en-GB"/>
          <w14:ligatures w14:val="none"/>
        </w:rPr>
        <w:t>, ed. by C. Ruggles (New York: Springer, 2015) </w:t>
      </w:r>
      <w:hyperlink r:id="rId7" w:history="1">
        <w:r w:rsidRPr="003F7BF8">
          <w:rPr>
            <w:rFonts w:ascii="Times New Roman" w:eastAsiaTheme="minorEastAsia" w:hAnsi="Times New Roman"/>
            <w:color w:val="0000FF"/>
            <w:kern w:val="0"/>
            <w:u w:val="single"/>
            <w:lang w:val="en-GB" w:eastAsia="en-GB"/>
            <w14:ligatures w14:val="none"/>
          </w:rPr>
          <w:t>https://doi.org/10.1007/978-1-4614-6141-8_147</w:t>
        </w:r>
      </w:hyperlink>
    </w:p>
    <w:p w14:paraId="48ABE138"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Bryan, Betsy M., 'Thutmose IV', in </w:t>
      </w:r>
      <w:r w:rsidRPr="003F7BF8">
        <w:rPr>
          <w:rFonts w:ascii="Times New Roman" w:eastAsiaTheme="minorEastAsia" w:hAnsi="Times New Roman"/>
          <w:i/>
          <w:iCs/>
          <w:kern w:val="0"/>
          <w:lang w:val="en-GB" w:eastAsia="en-GB"/>
          <w14:ligatures w14:val="none"/>
        </w:rPr>
        <w:t>The Oxford Encyclopedia of Ancient Egypt</w:t>
      </w:r>
      <w:r w:rsidRPr="003F7BF8">
        <w:rPr>
          <w:rFonts w:ascii="Times New Roman" w:eastAsiaTheme="minorEastAsia" w:hAnsi="Times New Roman"/>
          <w:kern w:val="0"/>
          <w:lang w:val="en-GB" w:eastAsia="en-GB"/>
          <w14:ligatures w14:val="none"/>
        </w:rPr>
        <w:t> (Oxford: Oxford University Press, 2005) </w:t>
      </w:r>
      <w:hyperlink r:id="rId8" w:history="1">
        <w:r w:rsidRPr="003F7BF8">
          <w:rPr>
            <w:rFonts w:ascii="Times New Roman" w:eastAsiaTheme="minorEastAsia" w:hAnsi="Times New Roman"/>
            <w:color w:val="0000FF"/>
            <w:kern w:val="0"/>
            <w:u w:val="single"/>
            <w:lang w:val="en-GB" w:eastAsia="en-GB"/>
            <w14:ligatures w14:val="none"/>
          </w:rPr>
          <w:t>https://www.oxfordreference.com/view/10.1093/acref/9780195102345.001.0001/acref-9780195102345-e-0724</w:t>
        </w:r>
      </w:hyperlink>
      <w:r w:rsidRPr="003F7BF8">
        <w:rPr>
          <w:rFonts w:ascii="Times New Roman" w:eastAsiaTheme="minorEastAsia" w:hAnsi="Times New Roman"/>
          <w:kern w:val="0"/>
          <w:lang w:val="en-GB" w:eastAsia="en-GB"/>
          <w14:ligatures w14:val="none"/>
        </w:rPr>
        <w:t> [accessed 20 April 2025]</w:t>
      </w:r>
    </w:p>
    <w:p w14:paraId="04EC0FDE"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Campion, N., </w:t>
      </w:r>
      <w:r w:rsidRPr="003F7BF8">
        <w:rPr>
          <w:rFonts w:ascii="Times New Roman" w:eastAsiaTheme="minorEastAsia" w:hAnsi="Times New Roman"/>
          <w:i/>
          <w:iCs/>
          <w:kern w:val="0"/>
          <w:lang w:val="en-GB" w:eastAsia="en-GB"/>
          <w14:ligatures w14:val="none"/>
        </w:rPr>
        <w:t>A History of Western Astrology Volume 1: The Ancient and Classical Worlds</w:t>
      </w:r>
      <w:r w:rsidRPr="003F7BF8">
        <w:rPr>
          <w:rFonts w:ascii="Times New Roman" w:eastAsiaTheme="minorEastAsia" w:hAnsi="Times New Roman"/>
          <w:kern w:val="0"/>
          <w:lang w:val="en-GB" w:eastAsia="en-GB"/>
          <w14:ligatures w14:val="none"/>
        </w:rPr>
        <w:t> (London: Bloomsbury Publishing, 2009)</w:t>
      </w:r>
    </w:p>
    <w:p w14:paraId="6F29680D"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Collins, Andrew, 'Alexander's visit to Siwah: A New Analysis', </w:t>
      </w:r>
      <w:r w:rsidRPr="003F7BF8">
        <w:rPr>
          <w:rFonts w:ascii="Times New Roman" w:eastAsiaTheme="minorEastAsia" w:hAnsi="Times New Roman"/>
          <w:i/>
          <w:iCs/>
          <w:kern w:val="0"/>
          <w:lang w:val="en-GB" w:eastAsia="en-GB"/>
          <w14:ligatures w14:val="none"/>
        </w:rPr>
        <w:t>Phoenix</w:t>
      </w:r>
      <w:r w:rsidRPr="003F7BF8">
        <w:rPr>
          <w:rFonts w:ascii="Times New Roman" w:eastAsiaTheme="minorEastAsia" w:hAnsi="Times New Roman"/>
          <w:kern w:val="0"/>
          <w:lang w:val="en-GB" w:eastAsia="en-GB"/>
          <w14:ligatures w14:val="none"/>
        </w:rPr>
        <w:t>, 68.1/2 (2014), 62-77 </w:t>
      </w:r>
      <w:hyperlink r:id="rId9" w:history="1">
        <w:r w:rsidRPr="003F7BF8">
          <w:rPr>
            <w:rFonts w:ascii="Times New Roman" w:eastAsiaTheme="minorEastAsia" w:hAnsi="Times New Roman"/>
            <w:color w:val="0000FF"/>
            <w:kern w:val="0"/>
            <w:u w:val="single"/>
            <w:lang w:val="en-GB" w:eastAsia="en-GB"/>
            <w14:ligatures w14:val="none"/>
          </w:rPr>
          <w:t>https://doi.org/10.7834/phoenix.68.1-2.0062</w:t>
        </w:r>
      </w:hyperlink>
      <w:r w:rsidRPr="003F7BF8">
        <w:rPr>
          <w:rFonts w:ascii="Times New Roman" w:eastAsiaTheme="minorEastAsia" w:hAnsi="Times New Roman"/>
          <w:kern w:val="0"/>
          <w:lang w:val="en-GB" w:eastAsia="en-GB"/>
          <w14:ligatures w14:val="none"/>
        </w:rPr>
        <w:t> [accessed 20 April 2025]</w:t>
      </w:r>
    </w:p>
    <w:p w14:paraId="2289A19A"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Hardy, Patty, 'The Cairo Calendar as a Stellar Almanac', </w:t>
      </w:r>
      <w:r w:rsidRPr="003F7BF8">
        <w:rPr>
          <w:rFonts w:ascii="Times New Roman" w:eastAsiaTheme="minorEastAsia" w:hAnsi="Times New Roman"/>
          <w:i/>
          <w:iCs/>
          <w:kern w:val="0"/>
          <w:lang w:val="en-GB" w:eastAsia="en-GB"/>
          <w14:ligatures w14:val="none"/>
        </w:rPr>
        <w:t>Archaeoastronomy</w:t>
      </w:r>
      <w:r w:rsidRPr="003F7BF8">
        <w:rPr>
          <w:rFonts w:ascii="Times New Roman" w:eastAsiaTheme="minorEastAsia" w:hAnsi="Times New Roman"/>
          <w:kern w:val="0"/>
          <w:lang w:val="en-GB" w:eastAsia="en-GB"/>
          <w14:ligatures w14:val="none"/>
        </w:rPr>
        <w:t>, 17 (2003) </w:t>
      </w:r>
      <w:hyperlink r:id="rId10" w:history="1">
        <w:r w:rsidRPr="003F7BF8">
          <w:rPr>
            <w:rFonts w:ascii="Times New Roman" w:eastAsiaTheme="minorEastAsia" w:hAnsi="Times New Roman"/>
            <w:color w:val="0000FF"/>
            <w:kern w:val="0"/>
            <w:u w:val="single"/>
            <w:lang w:val="en-GB" w:eastAsia="en-GB"/>
            <w14:ligatures w14:val="none"/>
          </w:rPr>
          <w:t>https://www.academia.edu/2341091/The_Cairo_Calendar_as_a_Stellar_Almanac</w:t>
        </w:r>
      </w:hyperlink>
    </w:p>
    <w:p w14:paraId="1509538F"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Husser, Jean-Marie, and Alice Mouton, eds., 'Nightmares in Ancient Egypt', in </w:t>
      </w:r>
      <w:r w:rsidRPr="003F7BF8">
        <w:rPr>
          <w:rFonts w:ascii="Times New Roman" w:eastAsiaTheme="minorEastAsia" w:hAnsi="Times New Roman"/>
          <w:i/>
          <w:iCs/>
          <w:kern w:val="0"/>
          <w:lang w:val="en-GB" w:eastAsia="en-GB"/>
          <w14:ligatures w14:val="none"/>
        </w:rPr>
        <w:t>Le cauchemar dans l'Antiquité: Actes des journées d'étude de l'UMR 7044 (15-16 Novembre 2007, Strasbourg)</w:t>
      </w:r>
      <w:r w:rsidRPr="003F7BF8">
        <w:rPr>
          <w:rFonts w:ascii="Times New Roman" w:eastAsiaTheme="minorEastAsia" w:hAnsi="Times New Roman"/>
          <w:kern w:val="0"/>
          <w:lang w:val="en-GB" w:eastAsia="en-GB"/>
          <w14:ligatures w14:val="none"/>
        </w:rPr>
        <w:t> (Paris: De Boccard, 2010), pp. 21-39 </w:t>
      </w:r>
      <w:hyperlink r:id="rId11" w:history="1">
        <w:r w:rsidRPr="003F7BF8">
          <w:rPr>
            <w:rFonts w:ascii="Times New Roman" w:eastAsiaTheme="minorEastAsia" w:hAnsi="Times New Roman"/>
            <w:color w:val="0000FF"/>
            <w:kern w:val="0"/>
            <w:u w:val="single"/>
            <w:lang w:val="en-GB" w:eastAsia="en-GB"/>
            <w14:ligatures w14:val="none"/>
          </w:rPr>
          <w:t>https://doi.org/10.2307/j.ctv327fw8f.5</w:t>
        </w:r>
      </w:hyperlink>
    </w:p>
    <w:p w14:paraId="21D75AC9"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Kaelin, Oskar, 'Gods in Ancient Egypt', in </w:t>
      </w:r>
      <w:r w:rsidRPr="003F7BF8">
        <w:rPr>
          <w:rFonts w:ascii="Times New Roman" w:eastAsiaTheme="minorEastAsia" w:hAnsi="Times New Roman"/>
          <w:i/>
          <w:iCs/>
          <w:kern w:val="0"/>
          <w:lang w:val="en-GB" w:eastAsia="en-GB"/>
          <w14:ligatures w14:val="none"/>
        </w:rPr>
        <w:t>Oxford Research Encyclopedia of Religion</w:t>
      </w:r>
      <w:r w:rsidRPr="003F7BF8">
        <w:rPr>
          <w:rFonts w:ascii="Times New Roman" w:eastAsiaTheme="minorEastAsia" w:hAnsi="Times New Roman"/>
          <w:kern w:val="0"/>
          <w:lang w:val="en-GB" w:eastAsia="en-GB"/>
          <w14:ligatures w14:val="none"/>
        </w:rPr>
        <w:t> (Oxford: Oxford University Press, 2016) </w:t>
      </w:r>
      <w:hyperlink r:id="rId12" w:history="1">
        <w:r w:rsidRPr="003F7BF8">
          <w:rPr>
            <w:rFonts w:ascii="Times New Roman" w:eastAsiaTheme="minorEastAsia" w:hAnsi="Times New Roman"/>
            <w:color w:val="0000FF"/>
            <w:kern w:val="0"/>
            <w:u w:val="single"/>
            <w:lang w:val="en-GB" w:eastAsia="en-GB"/>
            <w14:ligatures w14:val="none"/>
          </w:rPr>
          <w:t>https://oxfordre.com/religion/view/10.1093/acrefore/9780199340378.001.0001/acrefore-9780199340378-e-244</w:t>
        </w:r>
      </w:hyperlink>
      <w:r w:rsidRPr="003F7BF8">
        <w:rPr>
          <w:rFonts w:ascii="Times New Roman" w:eastAsiaTheme="minorEastAsia" w:hAnsi="Times New Roman"/>
          <w:kern w:val="0"/>
          <w:lang w:val="en-GB" w:eastAsia="en-GB"/>
          <w14:ligatures w14:val="none"/>
        </w:rPr>
        <w:t>[accessed 12 April 2025]</w:t>
      </w:r>
    </w:p>
    <w:p w14:paraId="5DC28F95"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Kahn, Dan'el, 'The Assyrian Invasions of Egypt (673-663 B.C.) and the Final Expulsion of the Kushites', </w:t>
      </w:r>
      <w:r w:rsidRPr="003F7BF8">
        <w:rPr>
          <w:rFonts w:ascii="Times New Roman" w:eastAsiaTheme="minorEastAsia" w:hAnsi="Times New Roman"/>
          <w:i/>
          <w:iCs/>
          <w:kern w:val="0"/>
          <w:lang w:val="en-GB" w:eastAsia="en-GB"/>
          <w14:ligatures w14:val="none"/>
        </w:rPr>
        <w:t>Studien Zur Altägyptischen Kultur</w:t>
      </w:r>
      <w:r w:rsidRPr="003F7BF8">
        <w:rPr>
          <w:rFonts w:ascii="Times New Roman" w:eastAsiaTheme="minorEastAsia" w:hAnsi="Times New Roman"/>
          <w:kern w:val="0"/>
          <w:lang w:val="en-GB" w:eastAsia="en-GB"/>
          <w14:ligatures w14:val="none"/>
        </w:rPr>
        <w:t>, 34 (2006), 251-67 </w:t>
      </w:r>
      <w:hyperlink r:id="rId13" w:history="1">
        <w:r w:rsidRPr="003F7BF8">
          <w:rPr>
            <w:rFonts w:ascii="Times New Roman" w:eastAsiaTheme="minorEastAsia" w:hAnsi="Times New Roman"/>
            <w:color w:val="0000FF"/>
            <w:kern w:val="0"/>
            <w:u w:val="single"/>
            <w:lang w:val="en-GB" w:eastAsia="en-GB"/>
            <w14:ligatures w14:val="none"/>
          </w:rPr>
          <w:t>http://www.jstor.org/stable/25157757</w:t>
        </w:r>
      </w:hyperlink>
      <w:r w:rsidRPr="003F7BF8">
        <w:rPr>
          <w:rFonts w:ascii="Times New Roman" w:eastAsiaTheme="minorEastAsia" w:hAnsi="Times New Roman"/>
          <w:kern w:val="0"/>
          <w:lang w:val="en-GB" w:eastAsia="en-GB"/>
          <w14:ligatures w14:val="none"/>
        </w:rPr>
        <w:t> [accessed 20 April 2025]</w:t>
      </w:r>
    </w:p>
    <w:p w14:paraId="0C0B3AAC"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lastRenderedPageBreak/>
        <w:t>Kruchten, Jean-Marie, 'Oracles', in </w:t>
      </w:r>
      <w:r w:rsidRPr="003F7BF8">
        <w:rPr>
          <w:rFonts w:ascii="Times New Roman" w:eastAsiaTheme="minorEastAsia" w:hAnsi="Times New Roman"/>
          <w:i/>
          <w:iCs/>
          <w:kern w:val="0"/>
          <w:lang w:val="en-GB" w:eastAsia="en-GB"/>
          <w14:ligatures w14:val="none"/>
        </w:rPr>
        <w:t>The Oxford Encyclopaedia of Ancient Egypt</w:t>
      </w:r>
      <w:r w:rsidRPr="003F7BF8">
        <w:rPr>
          <w:rFonts w:ascii="Times New Roman" w:eastAsiaTheme="minorEastAsia" w:hAnsi="Times New Roman"/>
          <w:kern w:val="0"/>
          <w:lang w:val="en-GB" w:eastAsia="en-GB"/>
          <w14:ligatures w14:val="none"/>
        </w:rPr>
        <w:t> (Oxford: Oxford University Press, 2005)</w:t>
      </w:r>
    </w:p>
    <w:p w14:paraId="25D68F69"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Kubisch, Sabine, 'Oracles as an Instrument for Political Decisions and Royal Legitimation: A Case Study of Ancient Egypt', in </w:t>
      </w:r>
      <w:r w:rsidRPr="003F7BF8">
        <w:rPr>
          <w:rFonts w:ascii="Times New Roman" w:eastAsiaTheme="minorEastAsia" w:hAnsi="Times New Roman"/>
          <w:i/>
          <w:iCs/>
          <w:kern w:val="0"/>
          <w:lang w:val="en-GB" w:eastAsia="en-GB"/>
          <w14:ligatures w14:val="none"/>
        </w:rPr>
        <w:t>Power of the Priests: Political Use of Religious Knowledge</w:t>
      </w:r>
      <w:r w:rsidRPr="003F7BF8">
        <w:rPr>
          <w:rFonts w:ascii="Times New Roman" w:eastAsiaTheme="minorEastAsia" w:hAnsi="Times New Roman"/>
          <w:kern w:val="0"/>
          <w:lang w:val="en-GB" w:eastAsia="en-GB"/>
          <w14:ligatures w14:val="none"/>
        </w:rPr>
        <w:t>, ed. by Sabine Kubisch and Hilmar Klinkott (Berlin: De Gruyter, 2024), pp. 35-52</w:t>
      </w:r>
    </w:p>
    <w:p w14:paraId="33486817"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Nims, Charles F., 'An Oracle Dated in "The Repeating of Births"', </w:t>
      </w:r>
      <w:r w:rsidRPr="003F7BF8">
        <w:rPr>
          <w:rFonts w:ascii="Times New Roman" w:eastAsiaTheme="minorEastAsia" w:hAnsi="Times New Roman"/>
          <w:i/>
          <w:iCs/>
          <w:kern w:val="0"/>
          <w:lang w:val="en-GB" w:eastAsia="en-GB"/>
          <w14:ligatures w14:val="none"/>
        </w:rPr>
        <w:t>Journal of Near Eastern Studies</w:t>
      </w:r>
      <w:r w:rsidRPr="003F7BF8">
        <w:rPr>
          <w:rFonts w:ascii="Times New Roman" w:eastAsiaTheme="minorEastAsia" w:hAnsi="Times New Roman"/>
          <w:kern w:val="0"/>
          <w:lang w:val="en-GB" w:eastAsia="en-GB"/>
          <w14:ligatures w14:val="none"/>
        </w:rPr>
        <w:t>, 7.3 (1948), 157-62 </w:t>
      </w:r>
      <w:hyperlink r:id="rId14" w:history="1">
        <w:r w:rsidRPr="003F7BF8">
          <w:rPr>
            <w:rFonts w:ascii="Times New Roman" w:eastAsiaTheme="minorEastAsia" w:hAnsi="Times New Roman"/>
            <w:color w:val="0000FF"/>
            <w:kern w:val="0"/>
            <w:u w:val="single"/>
            <w:lang w:val="en-GB" w:eastAsia="en-GB"/>
            <w14:ligatures w14:val="none"/>
          </w:rPr>
          <w:t>http://www.jstor.org/stable/542531</w:t>
        </w:r>
      </w:hyperlink>
      <w:r w:rsidRPr="003F7BF8">
        <w:rPr>
          <w:rFonts w:ascii="Times New Roman" w:eastAsiaTheme="minorEastAsia" w:hAnsi="Times New Roman"/>
          <w:kern w:val="0"/>
          <w:lang w:val="en-GB" w:eastAsia="en-GB"/>
          <w14:ligatures w14:val="none"/>
        </w:rPr>
        <w:t> [accessed 19 April 2025]</w:t>
      </w:r>
    </w:p>
    <w:p w14:paraId="7BCE15FD"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Parker, R.A., 'Ancient Egyptian Astronomy', </w:t>
      </w:r>
      <w:r w:rsidRPr="003F7BF8">
        <w:rPr>
          <w:rFonts w:ascii="Times New Roman" w:eastAsiaTheme="minorEastAsia" w:hAnsi="Times New Roman"/>
          <w:i/>
          <w:iCs/>
          <w:kern w:val="0"/>
          <w:lang w:val="en-GB" w:eastAsia="en-GB"/>
          <w14:ligatures w14:val="none"/>
        </w:rPr>
        <w:t>Philosophical Transactions of the Royal Society of London. Series A, Mathematical and Physical Sciences</w:t>
      </w:r>
      <w:r w:rsidRPr="003F7BF8">
        <w:rPr>
          <w:rFonts w:ascii="Times New Roman" w:eastAsiaTheme="minorEastAsia" w:hAnsi="Times New Roman"/>
          <w:kern w:val="0"/>
          <w:lang w:val="en-GB" w:eastAsia="en-GB"/>
          <w14:ligatures w14:val="none"/>
        </w:rPr>
        <w:t>, 276.1257 (1974), 51-65 </w:t>
      </w:r>
      <w:hyperlink r:id="rId15" w:history="1">
        <w:r w:rsidRPr="003F7BF8">
          <w:rPr>
            <w:rFonts w:ascii="Times New Roman" w:eastAsiaTheme="minorEastAsia" w:hAnsi="Times New Roman"/>
            <w:color w:val="0000FF"/>
            <w:kern w:val="0"/>
            <w:u w:val="single"/>
            <w:lang w:val="en-GB" w:eastAsia="en-GB"/>
            <w14:ligatures w14:val="none"/>
          </w:rPr>
          <w:t>http://www.jstor.org/stable/74274</w:t>
        </w:r>
      </w:hyperlink>
      <w:r w:rsidRPr="003F7BF8">
        <w:rPr>
          <w:rFonts w:ascii="Times New Roman" w:eastAsiaTheme="minorEastAsia" w:hAnsi="Times New Roman"/>
          <w:kern w:val="0"/>
          <w:lang w:val="en-GB" w:eastAsia="en-GB"/>
          <w14:ligatures w14:val="none"/>
        </w:rPr>
        <w:t> [accessed 20 April 2025]</w:t>
      </w:r>
    </w:p>
    <w:p w14:paraId="2C2E90BC"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Pinch, Geraldine, </w:t>
      </w:r>
      <w:r w:rsidRPr="003F7BF8">
        <w:rPr>
          <w:rFonts w:ascii="Times New Roman" w:eastAsiaTheme="minorEastAsia" w:hAnsi="Times New Roman"/>
          <w:i/>
          <w:iCs/>
          <w:kern w:val="0"/>
          <w:lang w:val="en-GB" w:eastAsia="en-GB"/>
          <w14:ligatures w14:val="none"/>
        </w:rPr>
        <w:t>Handbook of Ancient Egyptian Mythology</w:t>
      </w:r>
      <w:r w:rsidRPr="003F7BF8">
        <w:rPr>
          <w:rFonts w:ascii="Times New Roman" w:eastAsiaTheme="minorEastAsia" w:hAnsi="Times New Roman"/>
          <w:kern w:val="0"/>
          <w:lang w:val="en-GB" w:eastAsia="en-GB"/>
          <w14:ligatures w14:val="none"/>
        </w:rPr>
        <w:t> (Santa Barbara: ABC-CLIO, 2002)</w:t>
      </w:r>
    </w:p>
    <w:p w14:paraId="11733F83"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Porceddu, Sebastian, and others, 'Evidence of Periodicity in Ancient Egyptian Calendars of Lucky and Unlucky Days', </w:t>
      </w:r>
      <w:r w:rsidRPr="003F7BF8">
        <w:rPr>
          <w:rFonts w:ascii="Times New Roman" w:eastAsiaTheme="minorEastAsia" w:hAnsi="Times New Roman"/>
          <w:i/>
          <w:iCs/>
          <w:kern w:val="0"/>
          <w:lang w:val="en-GB" w:eastAsia="en-GB"/>
          <w14:ligatures w14:val="none"/>
        </w:rPr>
        <w:t>Cambridge Archaeological Journal</w:t>
      </w:r>
      <w:r w:rsidRPr="003F7BF8">
        <w:rPr>
          <w:rFonts w:ascii="Times New Roman" w:eastAsiaTheme="minorEastAsia" w:hAnsi="Times New Roman"/>
          <w:kern w:val="0"/>
          <w:lang w:val="en-GB" w:eastAsia="en-GB"/>
          <w14:ligatures w14:val="none"/>
        </w:rPr>
        <w:t>, 18.3 (2008), 327-39</w:t>
      </w:r>
    </w:p>
    <w:p w14:paraId="0D583572"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Quack, Joachim Friedrich, 'The Planets in Ancient Egypt', in </w:t>
      </w:r>
      <w:r w:rsidRPr="003F7BF8">
        <w:rPr>
          <w:rFonts w:ascii="Times New Roman" w:eastAsiaTheme="minorEastAsia" w:hAnsi="Times New Roman"/>
          <w:i/>
          <w:iCs/>
          <w:kern w:val="0"/>
          <w:lang w:val="en-GB" w:eastAsia="en-GB"/>
          <w14:ligatures w14:val="none"/>
        </w:rPr>
        <w:t xml:space="preserve">Oxford Research Encyclopedia of Planetary Science </w:t>
      </w:r>
      <w:r w:rsidRPr="003F7BF8">
        <w:rPr>
          <w:rFonts w:ascii="Times New Roman" w:eastAsiaTheme="minorEastAsia" w:hAnsi="Times New Roman"/>
          <w:kern w:val="0"/>
          <w:lang w:val="en-GB" w:eastAsia="en-GB"/>
          <w14:ligatures w14:val="none"/>
        </w:rPr>
        <w:t>(Oxford: Oxford University Press, 2019) </w:t>
      </w:r>
      <w:hyperlink r:id="rId16" w:history="1">
        <w:r w:rsidRPr="003F7BF8">
          <w:rPr>
            <w:rFonts w:ascii="Times New Roman" w:eastAsiaTheme="minorEastAsia" w:hAnsi="Times New Roman"/>
            <w:color w:val="0000FF"/>
            <w:kern w:val="0"/>
            <w:u w:val="single"/>
            <w:lang w:val="en-GB" w:eastAsia="en-GB"/>
            <w14:ligatures w14:val="none"/>
          </w:rPr>
          <w:t>https://oxfordre.com/planetaryscience/view/10.1093/acrefore/9780190647926.001.0001/acrefore-9780190647926-e-61</w:t>
        </w:r>
      </w:hyperlink>
      <w:r w:rsidRPr="003F7BF8">
        <w:rPr>
          <w:rFonts w:ascii="Times New Roman" w:eastAsiaTheme="minorEastAsia" w:hAnsi="Times New Roman"/>
          <w:kern w:val="0"/>
          <w:lang w:val="en-GB" w:eastAsia="en-GB"/>
          <w14:ligatures w14:val="none"/>
        </w:rPr>
        <w:t>[accessed 22 April 2025]</w:t>
      </w:r>
    </w:p>
    <w:p w14:paraId="0C071A61"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Ray, John, and others, 'The Dreams of the Twins in St Petersburg', in </w:t>
      </w:r>
      <w:r w:rsidRPr="003F7BF8">
        <w:rPr>
          <w:rFonts w:ascii="Times New Roman" w:eastAsiaTheme="minorEastAsia" w:hAnsi="Times New Roman"/>
          <w:i/>
          <w:iCs/>
          <w:kern w:val="0"/>
          <w:lang w:val="en-GB" w:eastAsia="en-GB"/>
          <w14:ligatures w14:val="none"/>
        </w:rPr>
        <w:t>Through a Glass Darkly: Magic, Dreams and Prophecy in Ancient Egypt</w:t>
      </w:r>
      <w:r w:rsidRPr="003F7BF8">
        <w:rPr>
          <w:rFonts w:ascii="Times New Roman" w:eastAsiaTheme="minorEastAsia" w:hAnsi="Times New Roman"/>
          <w:kern w:val="0"/>
          <w:lang w:val="en-GB" w:eastAsia="en-GB"/>
          <w14:ligatures w14:val="none"/>
        </w:rPr>
        <w:t>, ed. by Kasia Szpakowska (Swansea: Classical Press of Wales, 2006), pp. 189-204</w:t>
      </w:r>
    </w:p>
    <w:p w14:paraId="078BA50D"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Renberg, Gil, </w:t>
      </w:r>
      <w:r w:rsidRPr="003F7BF8">
        <w:rPr>
          <w:rFonts w:ascii="Times New Roman" w:eastAsiaTheme="minorEastAsia" w:hAnsi="Times New Roman"/>
          <w:i/>
          <w:iCs/>
          <w:kern w:val="0"/>
          <w:lang w:val="en-GB" w:eastAsia="en-GB"/>
          <w14:ligatures w14:val="none"/>
        </w:rPr>
        <w:t>Where Dreams May Come: Incubation Sanctuaries in the Greco-Roman World</w:t>
      </w:r>
      <w:r w:rsidRPr="003F7BF8">
        <w:rPr>
          <w:rFonts w:ascii="Times New Roman" w:eastAsiaTheme="minorEastAsia" w:hAnsi="Times New Roman"/>
          <w:kern w:val="0"/>
          <w:lang w:val="en-GB" w:eastAsia="en-GB"/>
          <w14:ligatures w14:val="none"/>
        </w:rPr>
        <w:t> (Leiden: Brill, 2017)</w:t>
      </w:r>
    </w:p>
    <w:p w14:paraId="1347A4D7"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Sweeney, Deborah, 'Gender and Oracular Practice in Deir el-Medîna', </w:t>
      </w:r>
      <w:r w:rsidRPr="003F7BF8">
        <w:rPr>
          <w:rFonts w:ascii="Times New Roman" w:eastAsiaTheme="minorEastAsia" w:hAnsi="Times New Roman"/>
          <w:i/>
          <w:iCs/>
          <w:kern w:val="0"/>
          <w:lang w:val="en-GB" w:eastAsia="en-GB"/>
          <w14:ligatures w14:val="none"/>
        </w:rPr>
        <w:t>Zeitschrift für Ägyptische Sprache und Altertumskunde</w:t>
      </w:r>
      <w:r w:rsidRPr="003F7BF8">
        <w:rPr>
          <w:rFonts w:ascii="Times New Roman" w:eastAsiaTheme="minorEastAsia" w:hAnsi="Times New Roman"/>
          <w:kern w:val="0"/>
          <w:lang w:val="en-GB" w:eastAsia="en-GB"/>
          <w14:ligatures w14:val="none"/>
        </w:rPr>
        <w:t>, 135.1-2 (2008), 154-64</w:t>
      </w:r>
    </w:p>
    <w:p w14:paraId="3E8B79AA"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Symons, S., 'Egyptian "Star Clocks"', in </w:t>
      </w:r>
      <w:r w:rsidRPr="003F7BF8">
        <w:rPr>
          <w:rFonts w:ascii="Times New Roman" w:eastAsiaTheme="minorEastAsia" w:hAnsi="Times New Roman"/>
          <w:i/>
          <w:iCs/>
          <w:kern w:val="0"/>
          <w:lang w:val="en-GB" w:eastAsia="en-GB"/>
          <w14:ligatures w14:val="none"/>
        </w:rPr>
        <w:t>Handbook of Archaeoastronomy and Ethnoastronomy</w:t>
      </w:r>
      <w:r w:rsidRPr="003F7BF8">
        <w:rPr>
          <w:rFonts w:ascii="Times New Roman" w:eastAsiaTheme="minorEastAsia" w:hAnsi="Times New Roman"/>
          <w:kern w:val="0"/>
          <w:lang w:val="en-GB" w:eastAsia="en-GB"/>
          <w14:ligatures w14:val="none"/>
        </w:rPr>
        <w:t>, ed. by C. Ruggles (New York: Springer, 2015)</w:t>
      </w:r>
    </w:p>
    <w:p w14:paraId="07C73305"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Szpakowska, K., 'Dream Interpretation in the Ramesside Age', in </w:t>
      </w:r>
      <w:r w:rsidRPr="003F7BF8">
        <w:rPr>
          <w:rFonts w:ascii="Times New Roman" w:eastAsiaTheme="minorEastAsia" w:hAnsi="Times New Roman"/>
          <w:i/>
          <w:iCs/>
          <w:kern w:val="0"/>
          <w:lang w:val="en-GB" w:eastAsia="en-GB"/>
          <w14:ligatures w14:val="none"/>
        </w:rPr>
        <w:t>Ramesside Studies in Honour of K. A. Kitchen</w:t>
      </w:r>
      <w:r w:rsidRPr="003F7BF8">
        <w:rPr>
          <w:rFonts w:ascii="Times New Roman" w:eastAsiaTheme="minorEastAsia" w:hAnsi="Times New Roman"/>
          <w:kern w:val="0"/>
          <w:lang w:val="en-GB" w:eastAsia="en-GB"/>
          <w14:ligatures w14:val="none"/>
        </w:rPr>
        <w:t>, ed. by Mark Collier and Steven Snape (Bolton: Rutherford Press, 2011), pp. 509-17</w:t>
      </w:r>
    </w:p>
    <w:p w14:paraId="7FFD0C7F"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Teeter, Emily, 'In the Presence of the Gods: How the Gods Communicated with Men', in </w:t>
      </w:r>
      <w:r w:rsidRPr="003F7BF8">
        <w:rPr>
          <w:rFonts w:ascii="Times New Roman" w:eastAsiaTheme="minorEastAsia" w:hAnsi="Times New Roman"/>
          <w:i/>
          <w:iCs/>
          <w:kern w:val="0"/>
          <w:lang w:val="en-GB" w:eastAsia="en-GB"/>
          <w14:ligatures w14:val="none"/>
        </w:rPr>
        <w:t>Religion and Ritual in Ancient Egypt</w:t>
      </w:r>
      <w:r w:rsidRPr="003F7BF8">
        <w:rPr>
          <w:rFonts w:ascii="Times New Roman" w:eastAsiaTheme="minorEastAsia" w:hAnsi="Times New Roman"/>
          <w:kern w:val="0"/>
          <w:lang w:val="en-GB" w:eastAsia="en-GB"/>
          <w14:ligatures w14:val="none"/>
        </w:rPr>
        <w:t> (Cambridge: Cambridge University Press, 2011), pp. 104-18</w:t>
      </w:r>
    </w:p>
    <w:p w14:paraId="29D5617E"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Teeter, Emily, 'Maat', in </w:t>
      </w:r>
      <w:r w:rsidRPr="003F7BF8">
        <w:rPr>
          <w:rFonts w:ascii="Times New Roman" w:eastAsiaTheme="minorEastAsia" w:hAnsi="Times New Roman"/>
          <w:i/>
          <w:iCs/>
          <w:kern w:val="0"/>
          <w:lang w:val="en-GB" w:eastAsia="en-GB"/>
          <w14:ligatures w14:val="none"/>
        </w:rPr>
        <w:t>The Oxford Encyclopedia of Ancient Egypt</w:t>
      </w:r>
      <w:r w:rsidRPr="003F7BF8">
        <w:rPr>
          <w:rFonts w:ascii="Times New Roman" w:eastAsiaTheme="minorEastAsia" w:hAnsi="Times New Roman"/>
          <w:kern w:val="0"/>
          <w:lang w:val="en-GB" w:eastAsia="en-GB"/>
          <w14:ligatures w14:val="none"/>
        </w:rPr>
        <w:t> (Oxford: Oxford University Press, 2005) </w:t>
      </w:r>
      <w:hyperlink r:id="rId17" w:history="1">
        <w:r w:rsidRPr="003F7BF8">
          <w:rPr>
            <w:rFonts w:ascii="Times New Roman" w:eastAsiaTheme="minorEastAsia" w:hAnsi="Times New Roman"/>
            <w:color w:val="0000FF"/>
            <w:kern w:val="0"/>
            <w:u w:val="single"/>
            <w:lang w:val="en-GB" w:eastAsia="en-GB"/>
            <w14:ligatures w14:val="none"/>
          </w:rPr>
          <w:t>https://www.oxfordreference.com/view/10.1093/acref/9780195102345.001.0001/acref-9780195102345-e-0423</w:t>
        </w:r>
      </w:hyperlink>
      <w:r w:rsidRPr="003F7BF8">
        <w:rPr>
          <w:rFonts w:ascii="Times New Roman" w:eastAsiaTheme="minorEastAsia" w:hAnsi="Times New Roman"/>
          <w:kern w:val="0"/>
          <w:lang w:val="en-GB" w:eastAsia="en-GB"/>
          <w14:ligatures w14:val="none"/>
        </w:rPr>
        <w:t> [accessed 14 April 2025]</w:t>
      </w:r>
    </w:p>
    <w:p w14:paraId="7A09F443"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lastRenderedPageBreak/>
        <w:t>Tobin, Vincent Arieh, J. Gwyn Griffiths, and Olaf E. Kaper, 'Myths', in </w:t>
      </w:r>
      <w:r w:rsidRPr="003F7BF8">
        <w:rPr>
          <w:rFonts w:ascii="Times New Roman" w:eastAsiaTheme="minorEastAsia" w:hAnsi="Times New Roman"/>
          <w:i/>
          <w:iCs/>
          <w:kern w:val="0"/>
          <w:lang w:val="en-GB" w:eastAsia="en-GB"/>
          <w14:ligatures w14:val="none"/>
        </w:rPr>
        <w:t xml:space="preserve">The Oxford Encyclopedia of Ancient Egypt </w:t>
      </w:r>
      <w:r w:rsidRPr="003F7BF8">
        <w:rPr>
          <w:rFonts w:ascii="Times New Roman" w:eastAsiaTheme="minorEastAsia" w:hAnsi="Times New Roman"/>
          <w:kern w:val="0"/>
          <w:lang w:val="en-GB" w:eastAsia="en-GB"/>
          <w14:ligatures w14:val="none"/>
        </w:rPr>
        <w:t>(Oxford: Oxford University Press, 2005) </w:t>
      </w:r>
      <w:hyperlink r:id="rId18" w:history="1">
        <w:r w:rsidRPr="003F7BF8">
          <w:rPr>
            <w:rFonts w:ascii="Times New Roman" w:eastAsiaTheme="minorEastAsia" w:hAnsi="Times New Roman"/>
            <w:color w:val="0000FF"/>
            <w:kern w:val="0"/>
            <w:u w:val="single"/>
            <w:lang w:val="en-GB" w:eastAsia="en-GB"/>
            <w14:ligatures w14:val="none"/>
          </w:rPr>
          <w:t>https://www.oxfordreference.com/view/10.1093/acref/9780195102345.001.0001/acref-9780195102345-e-0485</w:t>
        </w:r>
      </w:hyperlink>
      <w:r w:rsidRPr="003F7BF8">
        <w:rPr>
          <w:rFonts w:ascii="Times New Roman" w:eastAsiaTheme="minorEastAsia" w:hAnsi="Times New Roman"/>
          <w:kern w:val="0"/>
          <w:lang w:val="en-GB" w:eastAsia="en-GB"/>
          <w14:ligatures w14:val="none"/>
        </w:rPr>
        <w:t> [accessed 21 April 2025]</w:t>
      </w:r>
    </w:p>
    <w:p w14:paraId="6AECB835"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Wells, Ronald A., 'Astronomy', in </w:t>
      </w:r>
      <w:r w:rsidRPr="003F7BF8">
        <w:rPr>
          <w:rFonts w:ascii="Times New Roman" w:eastAsiaTheme="minorEastAsia" w:hAnsi="Times New Roman"/>
          <w:i/>
          <w:iCs/>
          <w:kern w:val="0"/>
          <w:lang w:val="en-GB" w:eastAsia="en-GB"/>
          <w14:ligatures w14:val="none"/>
        </w:rPr>
        <w:t>The Oxford Encyclopedia of Ancient Egypt</w:t>
      </w:r>
      <w:r w:rsidRPr="003F7BF8">
        <w:rPr>
          <w:rFonts w:ascii="Times New Roman" w:eastAsiaTheme="minorEastAsia" w:hAnsi="Times New Roman"/>
          <w:kern w:val="0"/>
          <w:lang w:val="en-GB" w:eastAsia="en-GB"/>
          <w14:ligatures w14:val="none"/>
        </w:rPr>
        <w:t> (Oxford: Oxford University Press, 2005) </w:t>
      </w:r>
      <w:hyperlink r:id="rId19" w:history="1">
        <w:r w:rsidRPr="003F7BF8">
          <w:rPr>
            <w:rFonts w:ascii="Times New Roman" w:eastAsiaTheme="minorEastAsia" w:hAnsi="Times New Roman"/>
            <w:color w:val="0000FF"/>
            <w:kern w:val="0"/>
            <w:u w:val="single"/>
            <w:lang w:val="en-GB" w:eastAsia="en-GB"/>
            <w14:ligatures w14:val="none"/>
          </w:rPr>
          <w:t>https://www.oxfordreference.com/view/10.1093/acref/9780195102345.001.0001/acref-9780195102345-e-0067</w:t>
        </w:r>
      </w:hyperlink>
      <w:r w:rsidRPr="003F7BF8">
        <w:rPr>
          <w:rFonts w:ascii="Times New Roman" w:eastAsiaTheme="minorEastAsia" w:hAnsi="Times New Roman"/>
          <w:kern w:val="0"/>
          <w:lang w:val="en-GB" w:eastAsia="en-GB"/>
          <w14:ligatures w14:val="none"/>
        </w:rPr>
        <w:t> [accessed 21 April 2025]</w:t>
      </w:r>
    </w:p>
    <w:p w14:paraId="1663AB7D"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Winkler, Andreas, 'Stellar Scientists: The Egyptian Temple Astrologers', </w:t>
      </w:r>
      <w:r w:rsidRPr="003F7BF8">
        <w:rPr>
          <w:rFonts w:ascii="Times New Roman" w:eastAsiaTheme="minorEastAsia" w:hAnsi="Times New Roman"/>
          <w:i/>
          <w:iCs/>
          <w:kern w:val="0"/>
          <w:lang w:val="en-GB" w:eastAsia="en-GB"/>
          <w14:ligatures w14:val="none"/>
        </w:rPr>
        <w:t>Journal of Ancient Near Eastern History</w:t>
      </w:r>
      <w:r w:rsidRPr="003F7BF8">
        <w:rPr>
          <w:rFonts w:ascii="Times New Roman" w:eastAsiaTheme="minorEastAsia" w:hAnsi="Times New Roman"/>
          <w:kern w:val="0"/>
          <w:lang w:val="en-GB" w:eastAsia="en-GB"/>
          <w14:ligatures w14:val="none"/>
        </w:rPr>
        <w:t>, 8.1-2 (2021), 91-145 </w:t>
      </w:r>
      <w:hyperlink r:id="rId20" w:history="1">
        <w:r w:rsidRPr="003F7BF8">
          <w:rPr>
            <w:rFonts w:ascii="Times New Roman" w:eastAsiaTheme="minorEastAsia" w:hAnsi="Times New Roman"/>
            <w:color w:val="0000FF"/>
            <w:kern w:val="0"/>
            <w:u w:val="single"/>
            <w:lang w:val="en-GB" w:eastAsia="en-GB"/>
            <w14:ligatures w14:val="none"/>
          </w:rPr>
          <w:t>https://doi.org/10.1515/janeh-2020-0017</w:t>
        </w:r>
      </w:hyperlink>
    </w:p>
    <w:p w14:paraId="08B692FC" w14:textId="77777777" w:rsidR="003F7BF8" w:rsidRPr="003F7BF8" w:rsidRDefault="003F7BF8" w:rsidP="003F7BF8">
      <w:pPr>
        <w:spacing w:before="100" w:beforeAutospacing="1" w:after="100" w:afterAutospacing="1" w:line="240" w:lineRule="auto"/>
        <w:ind w:left="0" w:firstLine="0"/>
        <w:rPr>
          <w:rFonts w:ascii="Times New Roman" w:eastAsiaTheme="minorEastAsia" w:hAnsi="Times New Roman"/>
          <w:kern w:val="0"/>
          <w:lang w:val="en-GB" w:eastAsia="en-GB"/>
          <w14:ligatures w14:val="none"/>
        </w:rPr>
      </w:pPr>
      <w:r w:rsidRPr="003F7BF8">
        <w:rPr>
          <w:rFonts w:ascii="Times New Roman" w:eastAsiaTheme="minorEastAsia" w:hAnsi="Times New Roman"/>
          <w:kern w:val="0"/>
          <w:lang w:val="en-GB" w:eastAsia="en-GB"/>
          <w14:ligatures w14:val="none"/>
        </w:rPr>
        <w:t>Winkler, Andreas, and Michael Zellman-Roher, 'Zodiacs and Monuments', </w:t>
      </w:r>
      <w:r w:rsidRPr="003F7BF8">
        <w:rPr>
          <w:rFonts w:ascii="Times New Roman" w:eastAsiaTheme="minorEastAsia" w:hAnsi="Times New Roman"/>
          <w:i/>
          <w:iCs/>
          <w:kern w:val="0"/>
          <w:lang w:val="en-GB" w:eastAsia="en-GB"/>
          <w14:ligatures w14:val="none"/>
        </w:rPr>
        <w:t>Journal for the History of Astronomy</w:t>
      </w:r>
      <w:r w:rsidRPr="003F7BF8">
        <w:rPr>
          <w:rFonts w:ascii="Times New Roman" w:eastAsiaTheme="minorEastAsia" w:hAnsi="Times New Roman"/>
          <w:kern w:val="0"/>
          <w:lang w:val="en-GB" w:eastAsia="en-GB"/>
          <w14:ligatures w14:val="none"/>
        </w:rPr>
        <w:t>, 54.2 (2023) </w:t>
      </w:r>
      <w:hyperlink r:id="rId21" w:history="1">
        <w:r w:rsidRPr="003F7BF8">
          <w:rPr>
            <w:rFonts w:ascii="Times New Roman" w:eastAsiaTheme="minorEastAsia" w:hAnsi="Times New Roman"/>
            <w:color w:val="0000FF"/>
            <w:kern w:val="0"/>
            <w:u w:val="single"/>
            <w:lang w:val="en-GB" w:eastAsia="en-GB"/>
            <w14:ligatures w14:val="none"/>
          </w:rPr>
          <w:t>https://doi.org/10.1177/00218286231159361</w:t>
        </w:r>
      </w:hyperlink>
    </w:p>
    <w:p w14:paraId="5F318657" w14:textId="77777777" w:rsidR="003F7BF8" w:rsidRPr="003F7BF8" w:rsidRDefault="003F7BF8" w:rsidP="003F7BF8">
      <w:pPr>
        <w:spacing w:after="160" w:line="278" w:lineRule="auto"/>
        <w:ind w:left="0" w:firstLine="0"/>
        <w:rPr>
          <w:rFonts w:ascii="Times New Roman" w:eastAsiaTheme="minorEastAsia" w:hAnsi="Times New Roman"/>
          <w:color w:val="auto"/>
          <w:lang w:val="en-GB" w:eastAsia="en-GB"/>
        </w:rPr>
      </w:pPr>
    </w:p>
    <w:p w14:paraId="1C75C1A9" w14:textId="09FBABAC" w:rsidR="00C36CB2" w:rsidRDefault="00C36CB2" w:rsidP="00C36CB2"/>
    <w:p w14:paraId="30648269" w14:textId="1B3A72CC" w:rsidR="00446BDA" w:rsidRDefault="00446BDA">
      <w:pPr>
        <w:spacing w:after="0" w:line="259" w:lineRule="auto"/>
        <w:ind w:left="0" w:firstLine="0"/>
      </w:pPr>
    </w:p>
    <w:sectPr w:rsidR="00446BDA">
      <w:headerReference w:type="even" r:id="rId22"/>
      <w:headerReference w:type="default" r:id="rId23"/>
      <w:headerReference w:type="first" r:id="rId24"/>
      <w:pgSz w:w="12240" w:h="15840"/>
      <w:pgMar w:top="1440" w:right="719" w:bottom="1440" w:left="72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8E136" w14:textId="77777777" w:rsidR="00FF4DDD" w:rsidRDefault="00FF4DDD">
      <w:pPr>
        <w:spacing w:after="0" w:line="240" w:lineRule="auto"/>
      </w:pPr>
      <w:r>
        <w:separator/>
      </w:r>
    </w:p>
  </w:endnote>
  <w:endnote w:type="continuationSeparator" w:id="0">
    <w:p w14:paraId="0C20214F" w14:textId="77777777" w:rsidR="00FF4DDD" w:rsidRDefault="00FF4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C6FA5" w14:textId="77777777" w:rsidR="00FF4DDD" w:rsidRDefault="00FF4DDD">
      <w:pPr>
        <w:spacing w:after="0" w:line="264" w:lineRule="auto"/>
        <w:ind w:left="181" w:firstLine="0"/>
      </w:pPr>
      <w:r>
        <w:separator/>
      </w:r>
    </w:p>
  </w:footnote>
  <w:footnote w:type="continuationSeparator" w:id="0">
    <w:p w14:paraId="59765759" w14:textId="77777777" w:rsidR="00FF4DDD" w:rsidRDefault="00FF4DDD">
      <w:pPr>
        <w:spacing w:after="0" w:line="264" w:lineRule="auto"/>
        <w:ind w:left="181" w:firstLine="0"/>
      </w:pPr>
      <w:r>
        <w:continuationSeparator/>
      </w:r>
    </w:p>
  </w:footnote>
  <w:footnote w:id="1">
    <w:p w14:paraId="16F5A6D3" w14:textId="77777777" w:rsidR="003F7BF8" w:rsidRPr="008C5B4C" w:rsidRDefault="003F7BF8">
      <w:pPr>
        <w:pStyle w:val="FootnoteText"/>
        <w:rPr>
          <w:rFonts w:ascii="Times New Roman" w:hAnsi="Times New Roman" w:cs="Times New Roman"/>
          <w:color w:val="000000"/>
          <w:sz w:val="16"/>
          <w:szCs w:val="16"/>
        </w:rPr>
      </w:pPr>
      <w:r w:rsidRPr="008C5B4C">
        <w:rPr>
          <w:rStyle w:val="FootnoteReference"/>
          <w:sz w:val="16"/>
          <w:szCs w:val="16"/>
        </w:rPr>
        <w:footnoteRef/>
      </w:r>
      <w:r w:rsidRPr="008C5B4C">
        <w:rPr>
          <w:sz w:val="16"/>
          <w:szCs w:val="16"/>
        </w:rPr>
        <w:t xml:space="preserve"> </w:t>
      </w:r>
      <w:r w:rsidRPr="008C5B4C">
        <w:rPr>
          <w:rFonts w:ascii="Times New Roman" w:hAnsi="Times New Roman" w:cs="Times New Roman"/>
          <w:color w:val="000000"/>
          <w:sz w:val="16"/>
          <w:szCs w:val="16"/>
        </w:rPr>
        <w:t>J.P. Allen, 'Egyptian Cosmology and Cosmogony', in C. Ruggles (ed.), Handbook of Archaeoastronomy and Ethnoastronomy (New York: Springer, 2015</w:t>
      </w:r>
      <w:bookmarkStart w:id="3" w:name="_Int_Nr9CT9SP"/>
      <w:r w:rsidRPr="008C5B4C">
        <w:rPr>
          <w:rFonts w:ascii="Times New Roman" w:hAnsi="Times New Roman" w:cs="Times New Roman"/>
          <w:color w:val="000000"/>
          <w:sz w:val="16"/>
          <w:szCs w:val="16"/>
        </w:rPr>
        <w:t>), </w:t>
      </w:r>
      <w:r>
        <w:fldChar w:fldCharType="begin"/>
      </w:r>
      <w:r>
        <w:instrText>H</w:instrText>
      </w:r>
      <w:bookmarkEnd w:id="3"/>
      <w:r>
        <w:instrText>YPERLINK "https://doi.org/10.1007/978-1-4614-6141-8_147"</w:instrText>
      </w:r>
      <w:r>
        <w:fldChar w:fldCharType="separate"/>
      </w:r>
      <w:r w:rsidRPr="008C5B4C">
        <w:rPr>
          <w:rFonts w:ascii="Times New Roman" w:hAnsi="Times New Roman" w:cs="Times New Roman"/>
          <w:color w:val="0000FF"/>
          <w:sz w:val="16"/>
          <w:szCs w:val="16"/>
          <w:u w:val="single"/>
        </w:rPr>
        <w:t>https://doi.org/10.1007/978-1-4614-6141-8_147</w:t>
      </w:r>
      <w:r>
        <w:fldChar w:fldCharType="end"/>
      </w:r>
      <w:r w:rsidRPr="008C5B4C">
        <w:rPr>
          <w:rFonts w:ascii="Times New Roman" w:hAnsi="Times New Roman" w:cs="Times New Roman"/>
          <w:color w:val="000000"/>
          <w:sz w:val="16"/>
          <w:szCs w:val="16"/>
        </w:rPr>
        <w:t>.</w:t>
      </w:r>
    </w:p>
    <w:p w14:paraId="690DAF1D" w14:textId="77777777" w:rsidR="003F7BF8" w:rsidRDefault="003F7BF8">
      <w:pPr>
        <w:pStyle w:val="FootnoteText"/>
      </w:pPr>
    </w:p>
  </w:footnote>
  <w:footnote w:id="2">
    <w:p w14:paraId="4D03C9CB" w14:textId="77777777" w:rsidR="003F7BF8" w:rsidRPr="000862CA" w:rsidRDefault="003F7BF8">
      <w:pPr>
        <w:pStyle w:val="FootnoteText"/>
        <w:rPr>
          <w:rFonts w:ascii="Times New Roman" w:hAnsi="Times New Roman" w:cs="Times New Roman"/>
          <w:color w:val="000000"/>
          <w:sz w:val="16"/>
          <w:szCs w:val="16"/>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Vincent Arieh Tobin, J. Gwyn Griffiths, and Olaf E. Kaper, 'Myths', in The Oxford Encyclopedia of Ancient Egypt (Oxford: Oxford University Press, 2005</w:t>
      </w:r>
      <w:bookmarkStart w:id="13" w:name="_Int_lYz7CcsM"/>
      <w:r w:rsidRPr="000862CA">
        <w:rPr>
          <w:rFonts w:ascii="Times New Roman" w:hAnsi="Times New Roman" w:cs="Times New Roman"/>
          <w:color w:val="000000"/>
          <w:sz w:val="16"/>
          <w:szCs w:val="16"/>
        </w:rPr>
        <w:t>), </w:t>
      </w:r>
      <w:r>
        <w:fldChar w:fldCharType="begin"/>
      </w:r>
      <w:r>
        <w:instrText>H</w:instrText>
      </w:r>
      <w:bookmarkEnd w:id="13"/>
      <w:r>
        <w:instrText>YPERLINK "https://www.oxfordreference.com/view/10.1093/acref/9780195102345.001.0001/acref-9780195102345-e-0485"</w:instrText>
      </w:r>
      <w:r>
        <w:fldChar w:fldCharType="separate"/>
      </w:r>
      <w:r w:rsidRPr="000862CA">
        <w:rPr>
          <w:rFonts w:ascii="Times New Roman" w:hAnsi="Times New Roman" w:cs="Times New Roman"/>
          <w:color w:val="0000FF"/>
          <w:sz w:val="16"/>
          <w:szCs w:val="16"/>
          <w:u w:val="single"/>
        </w:rPr>
        <w:t>https://www.oxfordreference.com/view/10.1093/acref/9780195102345.001.0001/acref-9780195102345-e-0485</w:t>
      </w:r>
      <w:r>
        <w:fldChar w:fldCharType="end"/>
      </w:r>
      <w:r w:rsidRPr="000862CA">
        <w:rPr>
          <w:rFonts w:ascii="Times New Roman" w:hAnsi="Times New Roman" w:cs="Times New Roman"/>
          <w:color w:val="000000"/>
          <w:sz w:val="16"/>
          <w:szCs w:val="16"/>
        </w:rPr>
        <w:t>[accessed 21 April 2025]</w:t>
      </w:r>
    </w:p>
  </w:footnote>
  <w:footnote w:id="3">
    <w:p w14:paraId="25615DEB" w14:textId="77777777" w:rsidR="003F7BF8" w:rsidRPr="000862CA" w:rsidRDefault="003F7BF8">
      <w:pPr>
        <w:pStyle w:val="FootnoteText"/>
        <w:rPr>
          <w:rFonts w:ascii="Times New Roman" w:hAnsi="Times New Roman" w:cs="Times New Roman"/>
          <w:color w:val="000000"/>
          <w:sz w:val="16"/>
          <w:szCs w:val="16"/>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Geraldine Pinch, Handbook of Ancient Egyptian Mythology (Santa Barbara: ABC-CLIO, 2002).</w:t>
      </w:r>
    </w:p>
  </w:footnote>
  <w:footnote w:id="4">
    <w:p w14:paraId="235CCCCD" w14:textId="77777777" w:rsidR="003F7BF8" w:rsidRPr="000862CA" w:rsidRDefault="003F7BF8">
      <w:pPr>
        <w:pStyle w:val="FootnoteText"/>
        <w:rPr>
          <w:sz w:val="16"/>
          <w:szCs w:val="16"/>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Emily Teeter, 'Maat', in The Oxford Encyclopedia of Ancient Egypt (Oxford: Oxford University Press, 2005</w:t>
      </w:r>
      <w:bookmarkStart w:id="15" w:name="_Int_zS94pMqs"/>
      <w:r w:rsidRPr="000862CA">
        <w:rPr>
          <w:rFonts w:ascii="Times New Roman" w:hAnsi="Times New Roman" w:cs="Times New Roman"/>
          <w:color w:val="000000"/>
          <w:sz w:val="16"/>
          <w:szCs w:val="16"/>
        </w:rPr>
        <w:t>), </w:t>
      </w:r>
      <w:r>
        <w:fldChar w:fldCharType="begin"/>
      </w:r>
      <w:r>
        <w:instrText>H</w:instrText>
      </w:r>
      <w:bookmarkEnd w:id="15"/>
      <w:r>
        <w:instrText>YPERLINK "https://www.oxfordreference.com/view/10.1093/acref/9780195102345.001.0001/acref-9780195102345-e-0423"</w:instrText>
      </w:r>
      <w:r>
        <w:fldChar w:fldCharType="separate"/>
      </w:r>
      <w:r w:rsidRPr="000862CA">
        <w:rPr>
          <w:rFonts w:ascii="Times New Roman" w:hAnsi="Times New Roman" w:cs="Times New Roman"/>
          <w:color w:val="0000FF"/>
          <w:sz w:val="16"/>
          <w:szCs w:val="16"/>
          <w:u w:val="single"/>
        </w:rPr>
        <w:t>https://www.oxfordreference.com/view/10.1093/acref/9780195102345.001.0001/acref-9780195102345-e-0423</w:t>
      </w:r>
      <w:r>
        <w:fldChar w:fldCharType="end"/>
      </w:r>
      <w:r w:rsidRPr="000862CA">
        <w:rPr>
          <w:rFonts w:ascii="Times New Roman" w:hAnsi="Times New Roman" w:cs="Times New Roman"/>
          <w:color w:val="000000"/>
          <w:sz w:val="16"/>
          <w:szCs w:val="16"/>
        </w:rPr>
        <w:t>[accessed 14 April 2025]</w:t>
      </w:r>
    </w:p>
  </w:footnote>
  <w:footnote w:id="5">
    <w:p w14:paraId="3A299270" w14:textId="77777777" w:rsidR="003F7BF8" w:rsidRPr="00F03A65" w:rsidRDefault="003F7BF8">
      <w:pPr>
        <w:pStyle w:val="FootnoteText"/>
        <w:rPr>
          <w:rFonts w:ascii="Times New Roman" w:hAnsi="Times New Roman" w:cs="Times New Roman"/>
          <w:color w:val="000000"/>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Oskar Kaelin, 'Gods in Ancient Egypt', in Oxford Research Encyclopedia of Religion (Oxford: Oxford University Press, 2016</w:t>
      </w:r>
      <w:bookmarkStart w:id="16" w:name="_Int_vRn3tfD9"/>
      <w:r w:rsidRPr="000862CA">
        <w:rPr>
          <w:rFonts w:ascii="Times New Roman" w:hAnsi="Times New Roman" w:cs="Times New Roman"/>
          <w:color w:val="000000"/>
          <w:sz w:val="16"/>
          <w:szCs w:val="16"/>
        </w:rPr>
        <w:t>), </w:t>
      </w:r>
      <w:r>
        <w:fldChar w:fldCharType="begin"/>
      </w:r>
      <w:r>
        <w:instrText>H</w:instrText>
      </w:r>
      <w:bookmarkEnd w:id="16"/>
      <w:r>
        <w:instrText>YPERLINK "https://oxfordre.com/religion/view/10.1093/acrefore/9780199340378.001.0001/acrefore-9780199340378-e-244"</w:instrText>
      </w:r>
      <w:r>
        <w:fldChar w:fldCharType="separate"/>
      </w:r>
      <w:r w:rsidRPr="000862CA">
        <w:rPr>
          <w:rFonts w:ascii="Times New Roman" w:hAnsi="Times New Roman" w:cs="Times New Roman"/>
          <w:color w:val="0000FF"/>
          <w:sz w:val="16"/>
          <w:szCs w:val="16"/>
          <w:u w:val="single"/>
        </w:rPr>
        <w:t>https://oxfordre.com/religion/view/10.1093/acrefore/9780199340378.001.0001/acrefore-9780199340378-e-244</w:t>
      </w:r>
      <w:r>
        <w:fldChar w:fldCharType="end"/>
      </w:r>
      <w:r w:rsidRPr="000862CA">
        <w:rPr>
          <w:rFonts w:ascii="Times New Roman" w:hAnsi="Times New Roman" w:cs="Times New Roman"/>
          <w:color w:val="000000"/>
          <w:sz w:val="16"/>
          <w:szCs w:val="16"/>
        </w:rPr>
        <w:t> [accessed 12 April 2025]</w:t>
      </w:r>
    </w:p>
  </w:footnote>
  <w:footnote w:id="6">
    <w:p w14:paraId="67E3B4D7" w14:textId="77777777" w:rsidR="003F7BF8" w:rsidRPr="000862CA" w:rsidRDefault="003F7BF8">
      <w:pPr>
        <w:pStyle w:val="FootnoteText"/>
        <w:rPr>
          <w:rFonts w:ascii="Times New Roman" w:hAnsi="Times New Roman" w:cs="Times New Roman"/>
          <w:color w:val="000000"/>
          <w:sz w:val="16"/>
          <w:szCs w:val="16"/>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Kaelin, 'Gods in Ancient Egypt'</w:t>
      </w:r>
    </w:p>
  </w:footnote>
  <w:footnote w:id="7">
    <w:p w14:paraId="259D9A5D" w14:textId="77777777" w:rsidR="003F7BF8" w:rsidRPr="000862CA" w:rsidRDefault="003F7BF8">
      <w:pPr>
        <w:pStyle w:val="FootnoteText"/>
        <w:rPr>
          <w:rFonts w:ascii="Times New Roman" w:hAnsi="Times New Roman" w:cs="Times New Roman"/>
          <w:color w:val="000000"/>
          <w:sz w:val="16"/>
          <w:szCs w:val="16"/>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Jean-Marie Husser and Alice Mouton (eds.), 'Nightmares in Ancient Egypt', in Le cauchemar dans l'Antiquité: Actes des journées d'étude de l'UMR 7044 (15-16 Novembre 2007, Strasbourg) (Paris: De Boccard, 2010), pp. 21-</w:t>
      </w:r>
      <w:bookmarkStart w:id="17" w:name="_Int_aEqVFCf9"/>
      <w:r w:rsidRPr="000862CA">
        <w:rPr>
          <w:rFonts w:ascii="Times New Roman" w:hAnsi="Times New Roman" w:cs="Times New Roman"/>
          <w:color w:val="000000"/>
          <w:sz w:val="16"/>
          <w:szCs w:val="16"/>
        </w:rPr>
        <w:t>39, </w:t>
      </w:r>
      <w:r>
        <w:fldChar w:fldCharType="begin"/>
      </w:r>
      <w:r>
        <w:instrText>H</w:instrText>
      </w:r>
      <w:bookmarkEnd w:id="17"/>
      <w:r>
        <w:instrText>YPERLINK "https://doi.org/10.2307/j.ctv327fw8f.5"</w:instrText>
      </w:r>
      <w:r>
        <w:fldChar w:fldCharType="separate"/>
      </w:r>
      <w:r w:rsidRPr="000862CA">
        <w:rPr>
          <w:rFonts w:ascii="Times New Roman" w:hAnsi="Times New Roman" w:cs="Times New Roman"/>
          <w:color w:val="0000FF"/>
          <w:sz w:val="16"/>
          <w:szCs w:val="16"/>
          <w:u w:val="single"/>
        </w:rPr>
        <w:t>https://doi.org/10.2307/j.ctv327fw8f.5</w:t>
      </w:r>
      <w:r>
        <w:fldChar w:fldCharType="end"/>
      </w:r>
      <w:r w:rsidRPr="000862CA">
        <w:rPr>
          <w:rFonts w:ascii="Times New Roman" w:hAnsi="Times New Roman" w:cs="Times New Roman"/>
          <w:color w:val="000000"/>
          <w:sz w:val="16"/>
          <w:szCs w:val="16"/>
        </w:rPr>
        <w:t>.</w:t>
      </w:r>
    </w:p>
  </w:footnote>
  <w:footnote w:id="8">
    <w:p w14:paraId="2A3797BC" w14:textId="77777777" w:rsidR="003F7BF8" w:rsidRPr="000862CA" w:rsidRDefault="003F7BF8">
      <w:pPr>
        <w:pStyle w:val="FootnoteText"/>
        <w:rPr>
          <w:rFonts w:ascii="Times New Roman" w:hAnsi="Times New Roman" w:cs="Times New Roman"/>
          <w:color w:val="000000"/>
          <w:sz w:val="16"/>
          <w:szCs w:val="16"/>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Betsy M. Bryan, 'Thutmose IV', in The Oxford Encyclopedia of Ancient Egypt (Oxford: Oxford University Press, 2005</w:t>
      </w:r>
      <w:bookmarkStart w:id="18" w:name="_Int_hV6KJmlp"/>
      <w:r w:rsidRPr="000862CA">
        <w:rPr>
          <w:rFonts w:ascii="Times New Roman" w:hAnsi="Times New Roman" w:cs="Times New Roman"/>
          <w:color w:val="000000"/>
          <w:sz w:val="16"/>
          <w:szCs w:val="16"/>
        </w:rPr>
        <w:t>), </w:t>
      </w:r>
      <w:r>
        <w:fldChar w:fldCharType="begin"/>
      </w:r>
      <w:r>
        <w:instrText>H</w:instrText>
      </w:r>
      <w:bookmarkEnd w:id="18"/>
      <w:r>
        <w:instrText>YPERLINK "https://www.oxfordreference.com/view/10.1093/acref/9780195102345.001.0001/acref-9780195102345-e-0724"</w:instrText>
      </w:r>
      <w:r>
        <w:fldChar w:fldCharType="separate"/>
      </w:r>
      <w:r w:rsidRPr="000862CA">
        <w:rPr>
          <w:rFonts w:ascii="Times New Roman" w:hAnsi="Times New Roman" w:cs="Times New Roman"/>
          <w:color w:val="0000FF"/>
          <w:sz w:val="16"/>
          <w:szCs w:val="16"/>
          <w:u w:val="single"/>
        </w:rPr>
        <w:t>https://www.oxfordreference.com/view/10.1093/acref/9780195102345.001.0001/acref-9780195102345-e-0724</w:t>
      </w:r>
      <w:r>
        <w:fldChar w:fldCharType="end"/>
      </w:r>
      <w:r w:rsidRPr="000862CA">
        <w:rPr>
          <w:rFonts w:ascii="Times New Roman" w:hAnsi="Times New Roman" w:cs="Times New Roman"/>
          <w:color w:val="000000"/>
          <w:sz w:val="16"/>
          <w:szCs w:val="16"/>
        </w:rPr>
        <w:t> [accessed 20 April 2025]</w:t>
      </w:r>
    </w:p>
  </w:footnote>
  <w:footnote w:id="9">
    <w:p w14:paraId="31C4D8BF" w14:textId="77777777" w:rsidR="003F7BF8" w:rsidRPr="00456264" w:rsidRDefault="003F7BF8">
      <w:pPr>
        <w:pStyle w:val="FootnoteText"/>
        <w:rPr>
          <w:rFonts w:ascii="Times New Roman" w:hAnsi="Times New Roman" w:cs="Times New Roman"/>
          <w:color w:val="000000"/>
        </w:rPr>
      </w:pPr>
      <w:r w:rsidRPr="000862CA">
        <w:rPr>
          <w:rStyle w:val="FootnoteReference"/>
          <w:sz w:val="16"/>
          <w:szCs w:val="16"/>
        </w:rPr>
        <w:footnoteRef/>
      </w:r>
      <w:r w:rsidRPr="000862CA">
        <w:rPr>
          <w:sz w:val="16"/>
          <w:szCs w:val="16"/>
        </w:rPr>
        <w:t xml:space="preserve"> </w:t>
      </w:r>
      <w:r w:rsidRPr="000862CA">
        <w:rPr>
          <w:rFonts w:ascii="Times New Roman" w:hAnsi="Times New Roman" w:cs="Times New Roman"/>
          <w:color w:val="000000"/>
          <w:sz w:val="16"/>
          <w:szCs w:val="16"/>
        </w:rPr>
        <w:t>Dan'el Kahn, 'The Assyrian Invasions of Egypt (673-663 B.C.) and the Final Expulsion of the Kushites', Studien Zur Altägyptischen Kultur, 34 (2006), 251-</w:t>
      </w:r>
      <w:bookmarkStart w:id="19" w:name="_Int_l54LKr6x"/>
      <w:r w:rsidRPr="000862CA">
        <w:rPr>
          <w:rFonts w:ascii="Times New Roman" w:hAnsi="Times New Roman" w:cs="Times New Roman"/>
          <w:color w:val="000000"/>
          <w:sz w:val="16"/>
          <w:szCs w:val="16"/>
        </w:rPr>
        <w:t>67, </w:t>
      </w:r>
      <w:r>
        <w:fldChar w:fldCharType="begin"/>
      </w:r>
      <w:r>
        <w:instrText>H</w:instrText>
      </w:r>
      <w:bookmarkEnd w:id="19"/>
      <w:r>
        <w:instrText>YPERLINK "http://www.jstor.org/stable/25157757"</w:instrText>
      </w:r>
      <w:r>
        <w:fldChar w:fldCharType="separate"/>
      </w:r>
      <w:r w:rsidRPr="000862CA">
        <w:rPr>
          <w:rFonts w:ascii="Times New Roman" w:hAnsi="Times New Roman" w:cs="Times New Roman"/>
          <w:color w:val="0000FF"/>
          <w:sz w:val="16"/>
          <w:szCs w:val="16"/>
          <w:u w:val="single"/>
        </w:rPr>
        <w:t>http://www.jstor.org/stable/25157757</w:t>
      </w:r>
      <w:r>
        <w:fldChar w:fldCharType="end"/>
      </w:r>
      <w:r w:rsidRPr="000862CA">
        <w:rPr>
          <w:rFonts w:ascii="Times New Roman" w:hAnsi="Times New Roman" w:cs="Times New Roman"/>
          <w:color w:val="000000"/>
          <w:sz w:val="16"/>
          <w:szCs w:val="16"/>
        </w:rPr>
        <w:t> [accessed 20 April 2025].</w:t>
      </w:r>
    </w:p>
  </w:footnote>
  <w:footnote w:id="10">
    <w:p w14:paraId="67BBDBDE"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Emily Teeter, 'In the Presence of the Gods: How the Gods Communicated with Men', in Religion and Ritual in Ancient Egypt (Cambridge: Cambridge University Press, 2011), pp. 104-18.</w:t>
      </w:r>
    </w:p>
  </w:footnote>
  <w:footnote w:id="11">
    <w:p w14:paraId="2CEED49A"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K. Szpakowska, 'Dream Interpretation in the Ramesside Age', in Mark Collier and Steven Snape (eds.), Ramesside Studies in Honour of K. A. Kitchen (Bolton: Rutherford Press, 2011), pp. 509-17.</w:t>
      </w:r>
    </w:p>
  </w:footnote>
  <w:footnote w:id="12">
    <w:p w14:paraId="615EE292" w14:textId="77777777" w:rsidR="003F7BF8" w:rsidRPr="008B68FA" w:rsidRDefault="003F7BF8">
      <w:pPr>
        <w:pStyle w:val="FootnoteText"/>
        <w:rPr>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Gil Renberg, Where Dreams May Come: Incubation Sanctuaries in the Greco-Roman World (Leiden: Brill, 2017), p. 523.</w:t>
      </w:r>
    </w:p>
  </w:footnote>
  <w:footnote w:id="13">
    <w:p w14:paraId="1026F7F3"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John Ray et al., 'The Dreams of the Twins in St Petersburg', in Kasia Szpakowska (ed.), Through a Glass Darkly: Magic, Dreams and Prophecy in Ancient Egypt (Swansea: Classical Press of Wales, 2006), pp. 189-204</w:t>
      </w:r>
    </w:p>
    <w:p w14:paraId="4202D0E3" w14:textId="77777777" w:rsidR="003F7BF8" w:rsidRDefault="003F7BF8">
      <w:pPr>
        <w:pStyle w:val="FootnoteText"/>
      </w:pPr>
    </w:p>
  </w:footnote>
  <w:footnote w:id="14">
    <w:p w14:paraId="0114635E"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Sabine Kubisch, 'Oracles as an Instrument for Political Decisions and Royal Legitimation: A Case Study of Ancient Egypt', in Sabine Kubisch and Hilmar Klinkott (eds.), Power of the Priests: Political Use of Religious Knowledge (Berlin: De Gruyter, 2024), pp. 35-52.</w:t>
      </w:r>
    </w:p>
    <w:p w14:paraId="0634CAE5" w14:textId="77777777" w:rsidR="003F7BF8" w:rsidRPr="008B68FA" w:rsidRDefault="003F7BF8">
      <w:pPr>
        <w:pStyle w:val="FootnoteText"/>
        <w:rPr>
          <w:sz w:val="16"/>
          <w:szCs w:val="16"/>
        </w:rPr>
      </w:pPr>
    </w:p>
  </w:footnote>
  <w:footnote w:id="15">
    <w:p w14:paraId="32585A15"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Jean-Marie Kruchten, 'Oracles', in The Oxford Encyclopaedia of Ancient Egypt</w:t>
      </w:r>
    </w:p>
    <w:p w14:paraId="0284A106" w14:textId="77777777" w:rsidR="003F7BF8" w:rsidRDefault="003F7BF8">
      <w:pPr>
        <w:pStyle w:val="FootnoteText"/>
      </w:pPr>
    </w:p>
  </w:footnote>
  <w:footnote w:id="16">
    <w:p w14:paraId="352226A7"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Kubisch, 'Oracles as an Instrument for Political Decisions and Royal Legitimation'</w:t>
      </w:r>
    </w:p>
    <w:p w14:paraId="7A31B117" w14:textId="77777777" w:rsidR="003F7BF8" w:rsidRPr="008B68FA" w:rsidRDefault="003F7BF8">
      <w:pPr>
        <w:pStyle w:val="FootnoteText"/>
        <w:rPr>
          <w:sz w:val="16"/>
          <w:szCs w:val="16"/>
        </w:rPr>
      </w:pPr>
    </w:p>
  </w:footnote>
  <w:footnote w:id="17">
    <w:p w14:paraId="5F63C570"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Charles F. Nims, 'An Oracle Dated in "The Repeating of Births"', Journal of Near Eastern Studies, 7.3 (1948), 157-</w:t>
      </w:r>
      <w:bookmarkStart w:id="21" w:name="_Int_0CXgPwTW"/>
      <w:r w:rsidRPr="008B68FA">
        <w:rPr>
          <w:rFonts w:ascii="Times New Roman" w:hAnsi="Times New Roman" w:cs="Times New Roman"/>
          <w:color w:val="000000"/>
          <w:sz w:val="16"/>
          <w:szCs w:val="16"/>
        </w:rPr>
        <w:t>62, </w:t>
      </w:r>
      <w:r>
        <w:fldChar w:fldCharType="begin"/>
      </w:r>
      <w:r>
        <w:instrText>H</w:instrText>
      </w:r>
      <w:bookmarkEnd w:id="21"/>
      <w:r>
        <w:instrText>YPERLINK "http://www.jstor.org/stable/542531"</w:instrText>
      </w:r>
      <w:r>
        <w:fldChar w:fldCharType="separate"/>
      </w:r>
      <w:r w:rsidRPr="008B68FA">
        <w:rPr>
          <w:rFonts w:ascii="Times New Roman" w:hAnsi="Times New Roman" w:cs="Times New Roman"/>
          <w:color w:val="0000FF"/>
          <w:sz w:val="16"/>
          <w:szCs w:val="16"/>
          <w:u w:val="single"/>
        </w:rPr>
        <w:t>http://www.jstor.org/stable/542531</w:t>
      </w:r>
      <w:r>
        <w:fldChar w:fldCharType="end"/>
      </w:r>
      <w:r w:rsidRPr="008B68FA">
        <w:rPr>
          <w:rFonts w:ascii="Times New Roman" w:hAnsi="Times New Roman" w:cs="Times New Roman"/>
          <w:color w:val="000000"/>
          <w:sz w:val="16"/>
          <w:szCs w:val="16"/>
        </w:rPr>
        <w:t> [accessed 19 April 2025].</w:t>
      </w:r>
    </w:p>
    <w:p w14:paraId="119A4882" w14:textId="77777777" w:rsidR="003F7BF8" w:rsidRPr="008B68FA" w:rsidRDefault="003F7BF8">
      <w:pPr>
        <w:pStyle w:val="FootnoteText"/>
        <w:rPr>
          <w:sz w:val="16"/>
          <w:szCs w:val="16"/>
        </w:rPr>
      </w:pPr>
    </w:p>
  </w:footnote>
  <w:footnote w:id="18">
    <w:p w14:paraId="66DC6F80"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Deborah Sweeney, 'Gender and Oracular Practice in Deir el-Medîna', Zeitschrift für Ägyptische Sprache und Altertumskunde, 135.1-2 (2008), 154-64.</w:t>
      </w:r>
    </w:p>
    <w:p w14:paraId="31AE7E42" w14:textId="77777777" w:rsidR="003F7BF8" w:rsidRPr="008B68FA" w:rsidRDefault="003F7BF8">
      <w:pPr>
        <w:pStyle w:val="FootnoteText"/>
        <w:rPr>
          <w:sz w:val="16"/>
          <w:szCs w:val="16"/>
        </w:rPr>
      </w:pPr>
    </w:p>
  </w:footnote>
  <w:footnote w:id="19">
    <w:p w14:paraId="0E2E6E04"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Teeter, 'In the Presence of the Gods'</w:t>
      </w:r>
    </w:p>
    <w:p w14:paraId="263F403C" w14:textId="77777777" w:rsidR="003F7BF8" w:rsidRPr="008B68FA" w:rsidRDefault="003F7BF8">
      <w:pPr>
        <w:pStyle w:val="FootnoteText"/>
        <w:rPr>
          <w:sz w:val="16"/>
          <w:szCs w:val="16"/>
        </w:rPr>
      </w:pPr>
    </w:p>
  </w:footnote>
  <w:footnote w:id="20">
    <w:p w14:paraId="638FFAC9" w14:textId="77777777" w:rsidR="003F7BF8" w:rsidRPr="008B68FA" w:rsidRDefault="003F7BF8">
      <w:pPr>
        <w:pStyle w:val="FootnoteText"/>
        <w:rPr>
          <w:rFonts w:ascii="Times New Roman" w:hAnsi="Times New Roman" w:cs="Times New Roman"/>
          <w:color w:val="000000"/>
          <w:sz w:val="16"/>
          <w:szCs w:val="16"/>
        </w:rPr>
      </w:pPr>
      <w:r w:rsidRPr="008B68FA">
        <w:rPr>
          <w:rStyle w:val="FootnoteReference"/>
          <w:sz w:val="16"/>
          <w:szCs w:val="16"/>
        </w:rPr>
        <w:footnoteRef/>
      </w:r>
      <w:r w:rsidRPr="008B68FA">
        <w:rPr>
          <w:sz w:val="16"/>
          <w:szCs w:val="16"/>
        </w:rPr>
        <w:t xml:space="preserve"> </w:t>
      </w:r>
      <w:r w:rsidRPr="008B68FA">
        <w:rPr>
          <w:rFonts w:ascii="Times New Roman" w:hAnsi="Times New Roman" w:cs="Times New Roman"/>
          <w:color w:val="000000"/>
          <w:sz w:val="16"/>
          <w:szCs w:val="16"/>
        </w:rPr>
        <w:t>Andrew Collins, 'Alexander's visit to Siwah: A New Analysis', Phoenix, 68.1/2 (2014), 62-</w:t>
      </w:r>
      <w:bookmarkStart w:id="22" w:name="_Int_FOECTm26"/>
      <w:r w:rsidRPr="008B68FA">
        <w:rPr>
          <w:rFonts w:ascii="Times New Roman" w:hAnsi="Times New Roman" w:cs="Times New Roman"/>
          <w:color w:val="000000"/>
          <w:sz w:val="16"/>
          <w:szCs w:val="16"/>
        </w:rPr>
        <w:t>77, </w:t>
      </w:r>
      <w:r>
        <w:fldChar w:fldCharType="begin"/>
      </w:r>
      <w:r>
        <w:instrText>H</w:instrText>
      </w:r>
      <w:bookmarkEnd w:id="22"/>
      <w:r>
        <w:instrText>YPERLINK "https://doi.org/10.7834/phoenix.68.1-2.0062"</w:instrText>
      </w:r>
      <w:r>
        <w:fldChar w:fldCharType="separate"/>
      </w:r>
      <w:r w:rsidRPr="008B68FA">
        <w:rPr>
          <w:rFonts w:ascii="Times New Roman" w:hAnsi="Times New Roman" w:cs="Times New Roman"/>
          <w:color w:val="0000FF"/>
          <w:sz w:val="16"/>
          <w:szCs w:val="16"/>
          <w:u w:val="single"/>
        </w:rPr>
        <w:t>https://doi.org/10.7834/phoenix.68.1-2.0062</w:t>
      </w:r>
      <w:r>
        <w:fldChar w:fldCharType="end"/>
      </w:r>
      <w:r w:rsidRPr="008B68FA">
        <w:rPr>
          <w:rFonts w:ascii="Times New Roman" w:hAnsi="Times New Roman" w:cs="Times New Roman"/>
          <w:color w:val="000000"/>
          <w:sz w:val="16"/>
          <w:szCs w:val="16"/>
        </w:rPr>
        <w:t> [accessed 20 April 2025].</w:t>
      </w:r>
    </w:p>
    <w:p w14:paraId="2594EBAE" w14:textId="77777777" w:rsidR="003F7BF8" w:rsidRDefault="003F7BF8">
      <w:pPr>
        <w:pStyle w:val="FootnoteText"/>
      </w:pPr>
    </w:p>
  </w:footnote>
  <w:footnote w:id="21">
    <w:p w14:paraId="5D2232F3" w14:textId="77777777" w:rsidR="003F7BF8" w:rsidRPr="007B2B91" w:rsidRDefault="003F7BF8">
      <w:pPr>
        <w:pStyle w:val="FootnoteText"/>
        <w:rPr>
          <w:rFonts w:ascii="Times New Roman" w:hAnsi="Times New Roman" w:cs="Times New Roman"/>
          <w:color w:val="000000"/>
          <w:sz w:val="16"/>
          <w:szCs w:val="16"/>
        </w:rPr>
      </w:pPr>
      <w:r w:rsidRPr="007B2B91">
        <w:rPr>
          <w:rStyle w:val="FootnoteReference"/>
          <w:sz w:val="16"/>
          <w:szCs w:val="16"/>
        </w:rPr>
        <w:footnoteRef/>
      </w:r>
      <w:r w:rsidRPr="007B2B91">
        <w:rPr>
          <w:sz w:val="16"/>
          <w:szCs w:val="16"/>
        </w:rPr>
        <w:t xml:space="preserve"> </w:t>
      </w:r>
      <w:r w:rsidRPr="007B2B91">
        <w:rPr>
          <w:rFonts w:ascii="Times New Roman" w:hAnsi="Times New Roman" w:cs="Times New Roman"/>
          <w:color w:val="000000"/>
          <w:sz w:val="16"/>
          <w:szCs w:val="16"/>
        </w:rPr>
        <w:t>R. A. Parker, 'Ancient Egyptian Astronomy', Philosophical Transactions of the Royal Society of London. Series A, Mathematical and Physical Sciences, 276.1257 (1974), 51-</w:t>
      </w:r>
      <w:bookmarkStart w:id="23" w:name="_Int_rJXJjrwo"/>
      <w:r w:rsidRPr="007B2B91">
        <w:rPr>
          <w:rFonts w:ascii="Times New Roman" w:hAnsi="Times New Roman" w:cs="Times New Roman"/>
          <w:color w:val="000000"/>
          <w:sz w:val="16"/>
          <w:szCs w:val="16"/>
        </w:rPr>
        <w:t>65, </w:t>
      </w:r>
      <w:r>
        <w:fldChar w:fldCharType="begin"/>
      </w:r>
      <w:r>
        <w:instrText>H</w:instrText>
      </w:r>
      <w:bookmarkEnd w:id="23"/>
      <w:r>
        <w:instrText>YPERLINK "http://www.jstor.org/stable/74274"</w:instrText>
      </w:r>
      <w:r>
        <w:fldChar w:fldCharType="separate"/>
      </w:r>
      <w:r w:rsidRPr="007B2B91">
        <w:rPr>
          <w:rFonts w:ascii="Times New Roman" w:hAnsi="Times New Roman" w:cs="Times New Roman"/>
          <w:color w:val="0000FF"/>
          <w:sz w:val="16"/>
          <w:szCs w:val="16"/>
          <w:u w:val="single"/>
        </w:rPr>
        <w:t>http://www.jstor.org/stable/74274</w:t>
      </w:r>
      <w:r>
        <w:fldChar w:fldCharType="end"/>
      </w:r>
      <w:r w:rsidRPr="007B2B91">
        <w:rPr>
          <w:rFonts w:ascii="Times New Roman" w:hAnsi="Times New Roman" w:cs="Times New Roman"/>
          <w:color w:val="000000"/>
          <w:sz w:val="16"/>
          <w:szCs w:val="16"/>
        </w:rPr>
        <w:t> [accessed 20 April 2025].</w:t>
      </w:r>
    </w:p>
    <w:p w14:paraId="04096BB9" w14:textId="77777777" w:rsidR="003F7BF8" w:rsidRPr="007B2B91" w:rsidRDefault="003F7BF8">
      <w:pPr>
        <w:pStyle w:val="FootnoteText"/>
        <w:rPr>
          <w:sz w:val="16"/>
          <w:szCs w:val="16"/>
        </w:rPr>
      </w:pPr>
    </w:p>
  </w:footnote>
  <w:footnote w:id="22">
    <w:p w14:paraId="78764AB5" w14:textId="77777777" w:rsidR="003F7BF8" w:rsidRPr="007B2B91" w:rsidRDefault="003F7BF8">
      <w:pPr>
        <w:pStyle w:val="FootnoteText"/>
        <w:rPr>
          <w:rFonts w:ascii="Times New Roman" w:hAnsi="Times New Roman" w:cs="Times New Roman"/>
          <w:color w:val="000000"/>
          <w:sz w:val="16"/>
          <w:szCs w:val="16"/>
        </w:rPr>
      </w:pPr>
      <w:r w:rsidRPr="007B2B91">
        <w:rPr>
          <w:rStyle w:val="FootnoteReference"/>
          <w:sz w:val="16"/>
          <w:szCs w:val="16"/>
        </w:rPr>
        <w:footnoteRef/>
      </w:r>
      <w:r w:rsidRPr="007B2B91">
        <w:rPr>
          <w:sz w:val="16"/>
          <w:szCs w:val="16"/>
        </w:rPr>
        <w:t xml:space="preserve"> </w:t>
      </w:r>
      <w:r w:rsidRPr="007B2B91">
        <w:rPr>
          <w:rFonts w:ascii="Times New Roman" w:hAnsi="Times New Roman" w:cs="Times New Roman"/>
          <w:color w:val="000000"/>
          <w:sz w:val="16"/>
          <w:szCs w:val="16"/>
        </w:rPr>
        <w:t>Parker, 'Ancient Egyptian Astronomy'</w:t>
      </w:r>
    </w:p>
    <w:p w14:paraId="6D1CEBED" w14:textId="77777777" w:rsidR="003F7BF8" w:rsidRPr="007B2B91" w:rsidRDefault="003F7BF8">
      <w:pPr>
        <w:pStyle w:val="FootnoteText"/>
        <w:rPr>
          <w:sz w:val="16"/>
          <w:szCs w:val="16"/>
        </w:rPr>
      </w:pPr>
    </w:p>
  </w:footnote>
  <w:footnote w:id="23">
    <w:p w14:paraId="0993CBC7" w14:textId="77777777" w:rsidR="003F7BF8" w:rsidRPr="007B2B91" w:rsidRDefault="003F7BF8">
      <w:pPr>
        <w:pStyle w:val="FootnoteText"/>
        <w:rPr>
          <w:rFonts w:ascii="Times New Roman" w:hAnsi="Times New Roman" w:cs="Times New Roman"/>
          <w:color w:val="000000"/>
          <w:sz w:val="16"/>
          <w:szCs w:val="16"/>
        </w:rPr>
      </w:pPr>
      <w:r w:rsidRPr="007B2B91">
        <w:rPr>
          <w:rStyle w:val="FootnoteReference"/>
          <w:sz w:val="16"/>
          <w:szCs w:val="16"/>
        </w:rPr>
        <w:footnoteRef/>
      </w:r>
      <w:r w:rsidRPr="007B2B91">
        <w:rPr>
          <w:sz w:val="16"/>
          <w:szCs w:val="16"/>
        </w:rPr>
        <w:t xml:space="preserve"> </w:t>
      </w:r>
      <w:r w:rsidRPr="007B2B91">
        <w:rPr>
          <w:rFonts w:ascii="Times New Roman" w:hAnsi="Times New Roman" w:cs="Times New Roman"/>
          <w:color w:val="000000"/>
          <w:sz w:val="16"/>
          <w:szCs w:val="16"/>
        </w:rPr>
        <w:t>Ronald A. Wells, 'Astronomy', in The Oxford Encyclopedia of Ancient Egypt (Oxford: Oxford University Press, 2005</w:t>
      </w:r>
      <w:bookmarkStart w:id="24" w:name="_Int_DA0MVOUD"/>
      <w:r w:rsidRPr="007B2B91">
        <w:rPr>
          <w:rFonts w:ascii="Times New Roman" w:hAnsi="Times New Roman" w:cs="Times New Roman"/>
          <w:color w:val="000000"/>
          <w:sz w:val="16"/>
          <w:szCs w:val="16"/>
        </w:rPr>
        <w:t>), </w:t>
      </w:r>
      <w:r>
        <w:fldChar w:fldCharType="begin"/>
      </w:r>
      <w:r>
        <w:instrText>H</w:instrText>
      </w:r>
      <w:bookmarkEnd w:id="24"/>
      <w:r>
        <w:instrText>YPERLINK "https://www.oxfordreference.com/view/10.1093/acref/9780195102345.001.0001/acref-9780195102345-e-0067"</w:instrText>
      </w:r>
      <w:r>
        <w:fldChar w:fldCharType="separate"/>
      </w:r>
      <w:r w:rsidRPr="007B2B91">
        <w:rPr>
          <w:rFonts w:ascii="Times New Roman" w:hAnsi="Times New Roman" w:cs="Times New Roman"/>
          <w:color w:val="0000FF"/>
          <w:sz w:val="16"/>
          <w:szCs w:val="16"/>
          <w:u w:val="single"/>
        </w:rPr>
        <w:t>https://www.oxfordreference.com/view/10.1093/acref/9780195102345.001.0001/acref-9780195102345-e-0067</w:t>
      </w:r>
      <w:r>
        <w:fldChar w:fldCharType="end"/>
      </w:r>
      <w:r w:rsidRPr="007B2B91">
        <w:rPr>
          <w:rFonts w:ascii="Times New Roman" w:hAnsi="Times New Roman" w:cs="Times New Roman"/>
          <w:color w:val="000000"/>
          <w:sz w:val="16"/>
          <w:szCs w:val="16"/>
        </w:rPr>
        <w:t> [accessed 21 April 2025]</w:t>
      </w:r>
    </w:p>
    <w:p w14:paraId="05FD3B55" w14:textId="77777777" w:rsidR="003F7BF8" w:rsidRPr="007B2B91" w:rsidRDefault="003F7BF8">
      <w:pPr>
        <w:pStyle w:val="FootnoteText"/>
        <w:rPr>
          <w:sz w:val="16"/>
          <w:szCs w:val="16"/>
        </w:rPr>
      </w:pPr>
    </w:p>
  </w:footnote>
  <w:footnote w:id="24">
    <w:p w14:paraId="5ED9DB88" w14:textId="77777777" w:rsidR="003F7BF8" w:rsidRPr="007B2B91" w:rsidRDefault="003F7BF8">
      <w:pPr>
        <w:pStyle w:val="FootnoteText"/>
        <w:rPr>
          <w:rFonts w:ascii="Times New Roman" w:hAnsi="Times New Roman" w:cs="Times New Roman"/>
          <w:color w:val="000000"/>
          <w:sz w:val="16"/>
          <w:szCs w:val="16"/>
        </w:rPr>
      </w:pPr>
      <w:r w:rsidRPr="007B2B91">
        <w:rPr>
          <w:rStyle w:val="FootnoteReference"/>
          <w:sz w:val="16"/>
          <w:szCs w:val="16"/>
        </w:rPr>
        <w:footnoteRef/>
      </w:r>
      <w:r w:rsidRPr="007B2B91">
        <w:rPr>
          <w:sz w:val="16"/>
          <w:szCs w:val="16"/>
        </w:rPr>
        <w:t xml:space="preserve"> </w:t>
      </w:r>
      <w:r w:rsidRPr="007B2B91">
        <w:rPr>
          <w:rFonts w:ascii="Times New Roman" w:hAnsi="Times New Roman" w:cs="Times New Roman"/>
          <w:color w:val="000000"/>
          <w:sz w:val="16"/>
          <w:szCs w:val="16"/>
        </w:rPr>
        <w:t>S. Symons, 'Egyptian "Star Clocks"', in C. Ruggles (ed.), Handbook of Archaeoastronomy and Ethnoastronomy (New York: Springer, 2015).</w:t>
      </w:r>
    </w:p>
    <w:p w14:paraId="66C7DE53" w14:textId="77777777" w:rsidR="003F7BF8" w:rsidRDefault="003F7BF8">
      <w:pPr>
        <w:pStyle w:val="FootnoteText"/>
      </w:pPr>
    </w:p>
  </w:footnote>
  <w:footnote w:id="25">
    <w:p w14:paraId="1CA901E7" w14:textId="77777777" w:rsidR="003F7BF8" w:rsidRPr="008C5B4C" w:rsidRDefault="003F7BF8">
      <w:pPr>
        <w:pStyle w:val="FootnoteText"/>
        <w:rPr>
          <w:rFonts w:ascii="Times New Roman" w:hAnsi="Times New Roman" w:cs="Times New Roman"/>
          <w:color w:val="000000"/>
          <w:sz w:val="16"/>
          <w:szCs w:val="16"/>
        </w:rPr>
      </w:pPr>
      <w:r w:rsidRPr="008C5B4C">
        <w:rPr>
          <w:rStyle w:val="FootnoteReference"/>
          <w:sz w:val="16"/>
          <w:szCs w:val="16"/>
        </w:rPr>
        <w:footnoteRef/>
      </w:r>
      <w:r w:rsidRPr="008C5B4C">
        <w:rPr>
          <w:sz w:val="16"/>
          <w:szCs w:val="16"/>
        </w:rPr>
        <w:t xml:space="preserve"> </w:t>
      </w:r>
      <w:r w:rsidRPr="008C5B4C">
        <w:rPr>
          <w:rFonts w:ascii="Times New Roman" w:hAnsi="Times New Roman" w:cs="Times New Roman"/>
          <w:color w:val="000000"/>
          <w:sz w:val="16"/>
          <w:szCs w:val="16"/>
        </w:rPr>
        <w:t>Sebastian Porceddu et al., 'Evidence of Periodicity in Ancient Egyptian Calendars of Lucky and Unlucky Days', Cambridge Archaeological Journal, 18.3 (2008), 327-39, p. 328.</w:t>
      </w:r>
    </w:p>
    <w:p w14:paraId="1ABAB60A" w14:textId="77777777" w:rsidR="003F7BF8" w:rsidRPr="008C5B4C" w:rsidRDefault="003F7BF8">
      <w:pPr>
        <w:pStyle w:val="FootnoteText"/>
        <w:rPr>
          <w:sz w:val="16"/>
          <w:szCs w:val="16"/>
        </w:rPr>
      </w:pPr>
    </w:p>
  </w:footnote>
  <w:footnote w:id="26">
    <w:p w14:paraId="07E65D2D" w14:textId="77777777" w:rsidR="003F7BF8" w:rsidRPr="008C5B4C" w:rsidRDefault="003F7BF8">
      <w:pPr>
        <w:pStyle w:val="FootnoteText"/>
        <w:rPr>
          <w:sz w:val="16"/>
          <w:szCs w:val="16"/>
        </w:rPr>
      </w:pPr>
      <w:r w:rsidRPr="008C5B4C">
        <w:rPr>
          <w:rStyle w:val="FootnoteReference"/>
          <w:sz w:val="16"/>
          <w:szCs w:val="16"/>
        </w:rPr>
        <w:footnoteRef/>
      </w:r>
      <w:r w:rsidRPr="008C5B4C">
        <w:rPr>
          <w:sz w:val="16"/>
          <w:szCs w:val="16"/>
        </w:rPr>
        <w:t xml:space="preserve"> </w:t>
      </w:r>
      <w:r w:rsidRPr="008C5B4C">
        <w:rPr>
          <w:rFonts w:ascii="Times New Roman" w:hAnsi="Times New Roman" w:cs="Times New Roman"/>
          <w:color w:val="000000"/>
          <w:sz w:val="16"/>
          <w:szCs w:val="16"/>
        </w:rPr>
        <w:t>Patty Hardy, 'The Cairo Calendar as a Stellar Almanac', Archaeoastronomy, 17 (2003), </w:t>
      </w:r>
      <w:hyperlink r:id="rId1" w:history="1">
        <w:r w:rsidRPr="008C5B4C">
          <w:rPr>
            <w:rFonts w:ascii="Times New Roman" w:hAnsi="Times New Roman" w:cs="Times New Roman"/>
            <w:color w:val="0000FF"/>
            <w:sz w:val="16"/>
            <w:szCs w:val="16"/>
            <w:u w:val="single"/>
          </w:rPr>
          <w:t>https://www.academia.edu/2341091/The_Cairo_Calendar_as_a_Stellar_Almanac</w:t>
        </w:r>
      </w:hyperlink>
    </w:p>
    <w:p w14:paraId="2B913C06" w14:textId="77777777" w:rsidR="003F7BF8" w:rsidRPr="008C5B4C" w:rsidRDefault="003F7BF8">
      <w:pPr>
        <w:pStyle w:val="FootnoteText"/>
        <w:rPr>
          <w:sz w:val="16"/>
          <w:szCs w:val="16"/>
        </w:rPr>
      </w:pPr>
    </w:p>
  </w:footnote>
  <w:footnote w:id="27">
    <w:p w14:paraId="7DB88040" w14:textId="77777777" w:rsidR="003F7BF8" w:rsidRPr="008C5B4C" w:rsidRDefault="003F7BF8">
      <w:pPr>
        <w:pStyle w:val="FootnoteText"/>
        <w:rPr>
          <w:rFonts w:ascii="Times New Roman" w:hAnsi="Times New Roman" w:cs="Times New Roman"/>
          <w:color w:val="000000"/>
          <w:sz w:val="16"/>
          <w:szCs w:val="16"/>
        </w:rPr>
      </w:pPr>
      <w:r w:rsidRPr="008C5B4C">
        <w:rPr>
          <w:rStyle w:val="FootnoteReference"/>
          <w:sz w:val="16"/>
          <w:szCs w:val="16"/>
        </w:rPr>
        <w:footnoteRef/>
      </w:r>
      <w:r w:rsidRPr="008C5B4C">
        <w:rPr>
          <w:sz w:val="16"/>
          <w:szCs w:val="16"/>
        </w:rPr>
        <w:t xml:space="preserve"> </w:t>
      </w:r>
      <w:r w:rsidRPr="008C5B4C">
        <w:rPr>
          <w:rFonts w:ascii="Times New Roman" w:hAnsi="Times New Roman" w:cs="Times New Roman"/>
          <w:color w:val="000000"/>
          <w:sz w:val="16"/>
          <w:szCs w:val="16"/>
        </w:rPr>
        <w:t>Andreas Winkler, 'Stellar Scientists: The Egyptian Temple Astrologers', Journal of Ancient Near Eastern History, 8.1-2 (2021), 91-145, </w:t>
      </w:r>
      <w:hyperlink r:id="rId2" w:history="1">
        <w:r w:rsidRPr="008C5B4C">
          <w:rPr>
            <w:rFonts w:ascii="Times New Roman" w:hAnsi="Times New Roman" w:cs="Times New Roman"/>
            <w:color w:val="0000FF"/>
            <w:sz w:val="16"/>
            <w:szCs w:val="16"/>
            <w:u w:val="single"/>
          </w:rPr>
          <w:t>https://doi.org/10.1515/janeh-2020-0017</w:t>
        </w:r>
      </w:hyperlink>
      <w:r w:rsidRPr="008C5B4C">
        <w:rPr>
          <w:rFonts w:ascii="Times New Roman" w:hAnsi="Times New Roman" w:cs="Times New Roman"/>
          <w:color w:val="000000"/>
          <w:sz w:val="16"/>
          <w:szCs w:val="16"/>
        </w:rPr>
        <w:t>.</w:t>
      </w:r>
    </w:p>
    <w:p w14:paraId="2A1D21CB" w14:textId="77777777" w:rsidR="003F7BF8" w:rsidRDefault="003F7BF8">
      <w:pPr>
        <w:pStyle w:val="FootnoteText"/>
      </w:pPr>
    </w:p>
  </w:footnote>
  <w:footnote w:id="28">
    <w:p w14:paraId="3AA63D0B" w14:textId="77777777" w:rsidR="003F7BF8" w:rsidRPr="00035D59" w:rsidRDefault="003F7BF8">
      <w:pPr>
        <w:pStyle w:val="FootnoteText"/>
        <w:rPr>
          <w:rFonts w:ascii="Times New Roman" w:hAnsi="Times New Roman" w:cs="Times New Roman"/>
          <w:color w:val="000000"/>
          <w:sz w:val="16"/>
          <w:szCs w:val="16"/>
        </w:rPr>
      </w:pPr>
      <w:r w:rsidRPr="00035D59">
        <w:rPr>
          <w:rStyle w:val="FootnoteReference"/>
          <w:sz w:val="16"/>
          <w:szCs w:val="16"/>
        </w:rPr>
        <w:footnoteRef/>
      </w:r>
      <w:r w:rsidRPr="00035D59">
        <w:rPr>
          <w:sz w:val="16"/>
          <w:szCs w:val="16"/>
        </w:rPr>
        <w:t xml:space="preserve"> </w:t>
      </w:r>
      <w:r w:rsidRPr="00035D59">
        <w:rPr>
          <w:rFonts w:ascii="Times New Roman" w:hAnsi="Times New Roman" w:cs="Times New Roman"/>
          <w:color w:val="000000"/>
          <w:sz w:val="16"/>
          <w:szCs w:val="16"/>
        </w:rPr>
        <w:t>Joachim Friedrich Quack, 'The Planets in Ancient Egypt', in Oxford Research Encyclopedia of Planetary Science (Oxford: Oxford University Press, 2019), </w:t>
      </w:r>
      <w:hyperlink r:id="rId3" w:history="1">
        <w:r w:rsidRPr="00035D59">
          <w:rPr>
            <w:rFonts w:ascii="Times New Roman" w:hAnsi="Times New Roman" w:cs="Times New Roman"/>
            <w:color w:val="0000FF"/>
            <w:sz w:val="16"/>
            <w:szCs w:val="16"/>
            <w:u w:val="single"/>
          </w:rPr>
          <w:t>https://oxfordre.com/planetaryscience/view/10.1093/acrefore/9780190647926.001.0001/acrefore-9780190647926-e-61</w:t>
        </w:r>
      </w:hyperlink>
      <w:r w:rsidRPr="00035D59">
        <w:rPr>
          <w:rFonts w:ascii="Times New Roman" w:hAnsi="Times New Roman" w:cs="Times New Roman"/>
          <w:color w:val="000000"/>
          <w:sz w:val="16"/>
          <w:szCs w:val="16"/>
        </w:rPr>
        <w:t> [accessed 22 April 2025]</w:t>
      </w:r>
    </w:p>
    <w:p w14:paraId="16808FBD" w14:textId="77777777" w:rsidR="003F7BF8" w:rsidRPr="00035D59" w:rsidRDefault="003F7BF8">
      <w:pPr>
        <w:pStyle w:val="FootnoteText"/>
        <w:rPr>
          <w:sz w:val="16"/>
          <w:szCs w:val="16"/>
        </w:rPr>
      </w:pPr>
    </w:p>
  </w:footnote>
  <w:footnote w:id="29">
    <w:p w14:paraId="5D16F6BD" w14:textId="77777777" w:rsidR="003F7BF8" w:rsidRPr="00035D59" w:rsidRDefault="003F7BF8">
      <w:pPr>
        <w:pStyle w:val="FootnoteText"/>
        <w:rPr>
          <w:rFonts w:ascii="Times New Roman" w:hAnsi="Times New Roman" w:cs="Times New Roman"/>
          <w:color w:val="000000"/>
          <w:sz w:val="16"/>
          <w:szCs w:val="16"/>
        </w:rPr>
      </w:pPr>
      <w:r w:rsidRPr="00035D59">
        <w:rPr>
          <w:rStyle w:val="FootnoteReference"/>
          <w:sz w:val="16"/>
          <w:szCs w:val="16"/>
        </w:rPr>
        <w:footnoteRef/>
      </w:r>
      <w:r w:rsidRPr="00035D59">
        <w:rPr>
          <w:sz w:val="16"/>
          <w:szCs w:val="16"/>
        </w:rPr>
        <w:t xml:space="preserve"> </w:t>
      </w:r>
      <w:r w:rsidRPr="00035D59">
        <w:rPr>
          <w:rFonts w:ascii="Times New Roman" w:hAnsi="Times New Roman" w:cs="Times New Roman"/>
          <w:color w:val="000000"/>
          <w:sz w:val="16"/>
          <w:szCs w:val="16"/>
        </w:rPr>
        <w:t>N. Campion, A History of Western Astrology Volume 1: The Ancient and Classical Worlds (London: Bloomsbury Publishing, 2009), p. 183.</w:t>
      </w:r>
    </w:p>
    <w:p w14:paraId="55048986" w14:textId="77777777" w:rsidR="003F7BF8" w:rsidRPr="00035D59" w:rsidRDefault="003F7BF8">
      <w:pPr>
        <w:pStyle w:val="FootnoteText"/>
        <w:rPr>
          <w:sz w:val="16"/>
          <w:szCs w:val="16"/>
        </w:rPr>
      </w:pPr>
    </w:p>
  </w:footnote>
  <w:footnote w:id="30">
    <w:p w14:paraId="2A1CC3DB" w14:textId="77777777" w:rsidR="003F7BF8" w:rsidRPr="00035D59" w:rsidRDefault="003F7BF8">
      <w:pPr>
        <w:pStyle w:val="FootnoteText"/>
        <w:rPr>
          <w:sz w:val="16"/>
          <w:szCs w:val="16"/>
        </w:rPr>
      </w:pPr>
      <w:r w:rsidRPr="00035D59">
        <w:rPr>
          <w:rStyle w:val="FootnoteReference"/>
          <w:sz w:val="16"/>
          <w:szCs w:val="16"/>
        </w:rPr>
        <w:footnoteRef/>
      </w:r>
      <w:r w:rsidRPr="00035D59">
        <w:rPr>
          <w:sz w:val="16"/>
          <w:szCs w:val="16"/>
        </w:rPr>
        <w:t xml:space="preserve"> </w:t>
      </w:r>
      <w:r w:rsidRPr="00035D59">
        <w:rPr>
          <w:rFonts w:ascii="Times New Roman" w:hAnsi="Times New Roman" w:cs="Times New Roman"/>
          <w:color w:val="000000"/>
          <w:sz w:val="16"/>
          <w:szCs w:val="16"/>
        </w:rPr>
        <w:t>Andreas Winkler and Michael Zellman-Roher, 'Zodiacs and Monuments', Journal for the History of Astronomy, 54.2 (2023), </w:t>
      </w:r>
      <w:hyperlink r:id="rId4" w:history="1">
        <w:r w:rsidRPr="00035D59">
          <w:rPr>
            <w:rFonts w:ascii="Times New Roman" w:hAnsi="Times New Roman" w:cs="Times New Roman"/>
            <w:color w:val="0000FF"/>
            <w:sz w:val="16"/>
            <w:szCs w:val="16"/>
            <w:u w:val="single"/>
          </w:rPr>
          <w:t>https://doi.org/10.1177/00218286231159361</w:t>
        </w:r>
      </w:hyperlink>
      <w:r w:rsidRPr="00035D59">
        <w:rPr>
          <w:rFonts w:ascii="Times New Roman" w:hAnsi="Times New Roman" w:cs="Times New Roman"/>
          <w:color w:val="000000"/>
          <w:sz w:val="16"/>
          <w:szCs w:val="16"/>
        </w:rPr>
        <w:t>, </w:t>
      </w:r>
      <w:hyperlink r:id="rId5" w:history="1">
        <w:r w:rsidRPr="00035D59">
          <w:rPr>
            <w:rFonts w:ascii="Times New Roman" w:hAnsi="Times New Roman" w:cs="Times New Roman"/>
            <w:color w:val="0000FF"/>
            <w:sz w:val="16"/>
            <w:szCs w:val="16"/>
            <w:u w:val="single"/>
          </w:rPr>
          <w:t>https://refubium.fu-berlin.de/bitstream/handle/fub188/45739/Zodiacs%20and%20monuments%20author%20version.pdf?sequence=4&amp;isAllowed=y</w:t>
        </w:r>
      </w:hyperlink>
    </w:p>
    <w:p w14:paraId="2C926ACC" w14:textId="77777777" w:rsidR="003F7BF8" w:rsidRDefault="003F7BF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7474A" w14:textId="77777777" w:rsidR="00446BDA" w:rsidRDefault="00446BDA">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ACED4" w14:textId="77777777" w:rsidR="00446BDA" w:rsidRDefault="00446BDA">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7AD5D" w14:textId="77777777" w:rsidR="00446BDA" w:rsidRDefault="00446BDA">
    <w:pPr>
      <w:spacing w:after="160" w:line="259" w:lineRule="auto"/>
      <w:ind w:left="0"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BDA"/>
    <w:rsid w:val="00057B50"/>
    <w:rsid w:val="0018408F"/>
    <w:rsid w:val="001E07B8"/>
    <w:rsid w:val="00274F84"/>
    <w:rsid w:val="002C7446"/>
    <w:rsid w:val="003578BF"/>
    <w:rsid w:val="003F7BF8"/>
    <w:rsid w:val="00446BDA"/>
    <w:rsid w:val="0046490B"/>
    <w:rsid w:val="00743807"/>
    <w:rsid w:val="0094094F"/>
    <w:rsid w:val="00A46E29"/>
    <w:rsid w:val="00AD435C"/>
    <w:rsid w:val="00BE543D"/>
    <w:rsid w:val="00C36CB2"/>
    <w:rsid w:val="00CF5CD2"/>
    <w:rsid w:val="00F63166"/>
    <w:rsid w:val="00F718B7"/>
    <w:rsid w:val="00FF4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B781BE"/>
  <w15:docId w15:val="{5B082BEF-B392-884E-B3AC-740AF5979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3" w:line="270" w:lineRule="auto"/>
      <w:ind w:left="191" w:hanging="10"/>
    </w:pPr>
    <w:rPr>
      <w:rFonts w:ascii="Aptos" w:eastAsia="Aptos" w:hAnsi="Aptos" w:cs="Times New Roman"/>
      <w:color w:val="000000"/>
      <w:lang w:val="en" w:eastAsia="en"/>
    </w:rPr>
  </w:style>
  <w:style w:type="paragraph" w:styleId="Heading1">
    <w:name w:val="heading 1"/>
    <w:next w:val="Normal"/>
    <w:link w:val="Heading1Char"/>
    <w:uiPriority w:val="9"/>
    <w:qFormat/>
    <w:pPr>
      <w:keepNext/>
      <w:keepLines/>
      <w:spacing w:after="13" w:line="259" w:lineRule="auto"/>
      <w:ind w:left="191" w:hanging="10"/>
      <w:outlineLvl w:val="0"/>
    </w:pPr>
    <w:rPr>
      <w:rFonts w:ascii="Aptos" w:eastAsia="Aptos" w:hAnsi="Aptos" w:cs="Aptos"/>
      <w:b/>
      <w:color w:val="000000"/>
      <w:u w:val="single" w:color="000000"/>
    </w:rPr>
  </w:style>
  <w:style w:type="paragraph" w:styleId="Heading2">
    <w:name w:val="heading 2"/>
    <w:next w:val="Normal"/>
    <w:link w:val="Heading2Char"/>
    <w:uiPriority w:val="9"/>
    <w:unhideWhenUsed/>
    <w:qFormat/>
    <w:pPr>
      <w:keepNext/>
      <w:keepLines/>
      <w:spacing w:after="181" w:line="259" w:lineRule="auto"/>
      <w:ind w:left="191" w:hanging="10"/>
      <w:outlineLvl w:val="1"/>
    </w:pPr>
    <w:rPr>
      <w:rFonts w:ascii="Aptos" w:eastAsia="Aptos" w:hAnsi="Aptos" w:cs="Aptos"/>
      <w:b/>
      <w:color w:val="000000"/>
    </w:rPr>
  </w:style>
  <w:style w:type="paragraph" w:styleId="Heading3">
    <w:name w:val="heading 3"/>
    <w:next w:val="Normal"/>
    <w:link w:val="Heading3Char"/>
    <w:uiPriority w:val="9"/>
    <w:unhideWhenUsed/>
    <w:qFormat/>
    <w:pPr>
      <w:keepNext/>
      <w:keepLines/>
      <w:spacing w:after="94" w:line="265" w:lineRule="auto"/>
      <w:ind w:left="10" w:right="615" w:hanging="10"/>
      <w:jc w:val="center"/>
      <w:outlineLvl w:val="2"/>
    </w:pPr>
    <w:rPr>
      <w:rFonts w:ascii="Aptos" w:eastAsia="Aptos" w:hAnsi="Aptos" w:cs="Aptos"/>
      <w:b/>
      <w:color w:val="156082"/>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ptos" w:eastAsia="Aptos" w:hAnsi="Aptos" w:cs="Aptos"/>
      <w:b/>
      <w:color w:val="000000"/>
      <w:sz w:val="24"/>
    </w:rPr>
  </w:style>
  <w:style w:type="character" w:customStyle="1" w:styleId="Heading1Char">
    <w:name w:val="Heading 1 Char"/>
    <w:link w:val="Heading1"/>
    <w:rPr>
      <w:rFonts w:ascii="Aptos" w:eastAsia="Aptos" w:hAnsi="Aptos" w:cs="Aptos"/>
      <w:b/>
      <w:color w:val="000000"/>
      <w:sz w:val="24"/>
      <w:u w:val="single" w:color="000000"/>
    </w:rPr>
  </w:style>
  <w:style w:type="paragraph" w:customStyle="1" w:styleId="footnotedescription">
    <w:name w:val="footnote description"/>
    <w:next w:val="Normal"/>
    <w:link w:val="footnotedescriptionChar"/>
    <w:hidden/>
    <w:pPr>
      <w:spacing w:after="0" w:line="259" w:lineRule="auto"/>
      <w:ind w:left="181"/>
    </w:pPr>
    <w:rPr>
      <w:rFonts w:ascii="Aptos" w:eastAsia="Aptos" w:hAnsi="Aptos" w:cs="Aptos"/>
      <w:color w:val="000000"/>
      <w:sz w:val="20"/>
    </w:rPr>
  </w:style>
  <w:style w:type="character" w:customStyle="1" w:styleId="footnotedescriptionChar">
    <w:name w:val="footnote description Char"/>
    <w:link w:val="footnotedescription"/>
    <w:rPr>
      <w:rFonts w:ascii="Aptos" w:eastAsia="Aptos" w:hAnsi="Aptos" w:cs="Aptos"/>
      <w:color w:val="000000"/>
      <w:sz w:val="20"/>
    </w:rPr>
  </w:style>
  <w:style w:type="character" w:customStyle="1" w:styleId="Heading3Char">
    <w:name w:val="Heading 3 Char"/>
    <w:link w:val="Heading3"/>
    <w:rPr>
      <w:rFonts w:ascii="Aptos" w:eastAsia="Aptos" w:hAnsi="Aptos" w:cs="Aptos"/>
      <w:b/>
      <w:color w:val="156082"/>
      <w:sz w:val="18"/>
    </w:rPr>
  </w:style>
  <w:style w:type="character" w:customStyle="1" w:styleId="footnotemark">
    <w:name w:val="footnote mark"/>
    <w:hidden/>
    <w:rPr>
      <w:rFonts w:ascii="Aptos" w:eastAsia="Aptos" w:hAnsi="Aptos" w:cs="Aptos"/>
      <w:color w:val="000000"/>
      <w:sz w:val="18"/>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743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807"/>
    <w:rPr>
      <w:rFonts w:ascii="Aptos" w:eastAsia="Aptos" w:hAnsi="Aptos" w:cs="Times New Roman"/>
      <w:color w:val="000000"/>
      <w:lang w:val="en" w:eastAsia="en"/>
    </w:rPr>
  </w:style>
  <w:style w:type="character" w:styleId="Hyperlink">
    <w:name w:val="Hyperlink"/>
    <w:basedOn w:val="DefaultParagraphFont"/>
    <w:uiPriority w:val="99"/>
    <w:unhideWhenUsed/>
    <w:rsid w:val="001E07B8"/>
    <w:rPr>
      <w:color w:val="467886" w:themeColor="hyperlink"/>
      <w:u w:val="single"/>
    </w:rPr>
  </w:style>
  <w:style w:type="paragraph" w:styleId="FootnoteText">
    <w:name w:val="footnote text"/>
    <w:basedOn w:val="Normal"/>
    <w:link w:val="FootnoteTextChar"/>
    <w:uiPriority w:val="99"/>
    <w:unhideWhenUsed/>
    <w:rsid w:val="001E07B8"/>
    <w:pPr>
      <w:spacing w:after="0" w:line="240" w:lineRule="auto"/>
      <w:ind w:left="0" w:firstLine="0"/>
    </w:pPr>
    <w:rPr>
      <w:rFonts w:asciiTheme="minorHAnsi" w:eastAsiaTheme="minorEastAsia" w:hAnsiTheme="minorHAnsi" w:cstheme="minorBidi"/>
      <w:color w:val="auto"/>
      <w:kern w:val="0"/>
      <w:sz w:val="20"/>
      <w:szCs w:val="20"/>
      <w:lang w:val="en-GB" w:eastAsia="ja-JP"/>
      <w14:ligatures w14:val="none"/>
    </w:rPr>
  </w:style>
  <w:style w:type="character" w:customStyle="1" w:styleId="FootnoteTextChar">
    <w:name w:val="Footnote Text Char"/>
    <w:basedOn w:val="DefaultParagraphFont"/>
    <w:link w:val="FootnoteText"/>
    <w:uiPriority w:val="99"/>
    <w:rsid w:val="001E07B8"/>
    <w:rPr>
      <w:kern w:val="0"/>
      <w:sz w:val="20"/>
      <w:szCs w:val="20"/>
      <w:lang w:eastAsia="ja-JP"/>
      <w14:ligatures w14:val="none"/>
    </w:rPr>
  </w:style>
  <w:style w:type="character" w:styleId="FootnoteReference">
    <w:name w:val="footnote reference"/>
    <w:basedOn w:val="DefaultParagraphFont"/>
    <w:uiPriority w:val="99"/>
    <w:semiHidden/>
    <w:unhideWhenUsed/>
    <w:rsid w:val="001E07B8"/>
    <w:rPr>
      <w:vertAlign w:val="superscript"/>
    </w:rPr>
  </w:style>
  <w:style w:type="paragraph" w:customStyle="1" w:styleId="p1">
    <w:name w:val="p1"/>
    <w:basedOn w:val="Normal"/>
    <w:rsid w:val="003F7BF8"/>
    <w:pPr>
      <w:spacing w:after="180" w:line="240" w:lineRule="auto"/>
      <w:ind w:left="0" w:firstLine="0"/>
    </w:pPr>
    <w:rPr>
      <w:rFonts w:ascii="Times New Roman" w:eastAsiaTheme="minorEastAsia" w:hAnsi="Times New Roman"/>
      <w:kern w:val="0"/>
      <w:sz w:val="18"/>
      <w:szCs w:val="18"/>
      <w:lang w:val="en-GB" w:eastAsia="en-GB"/>
      <w14:ligatures w14:val="none"/>
    </w:rPr>
  </w:style>
  <w:style w:type="character" w:customStyle="1" w:styleId="s1">
    <w:name w:val="s1"/>
    <w:basedOn w:val="DefaultParagraphFont"/>
    <w:rsid w:val="003F7BF8"/>
    <w:rPr>
      <w:rFonts w:ascii="Times New Roman" w:hAnsi="Times New Roman" w:cs="Times New Roman"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oxfordreference.com/view/10.1093/acref/9780195102345.001.0001/acref-9780195102345-e-0724" TargetMode="External"/><Relationship Id="rId13" Type="http://schemas.openxmlformats.org/officeDocument/2006/relationships/hyperlink" Target="http://www.jstor.org/stable/25157757" TargetMode="External"/><Relationship Id="rId18" Type="http://schemas.openxmlformats.org/officeDocument/2006/relationships/hyperlink" Target="https://www.oxfordreference.com/view/10.1093/acref/9780195102345.001.0001/acref-9780195102345-e-0485"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177/00218286231159361" TargetMode="External"/><Relationship Id="rId7" Type="http://schemas.openxmlformats.org/officeDocument/2006/relationships/hyperlink" Target="https://doi.org/10.1007/978-1-4614-6141-8_147" TargetMode="External"/><Relationship Id="rId12" Type="http://schemas.openxmlformats.org/officeDocument/2006/relationships/hyperlink" Target="https://oxfordre.com/religion/view/10.1093/acrefore/9780199340378.001.0001/acrefore-9780199340378-e-244" TargetMode="External"/><Relationship Id="rId17" Type="http://schemas.openxmlformats.org/officeDocument/2006/relationships/hyperlink" Target="https://www.oxfordreference.com/view/10.1093/acref/9780195102345.001.0001/acref-9780195102345-e-0423"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oxfordre.com/planetaryscience/view/10.1093/acrefore/9780190647926.001.0001/acrefore-9780190647926-e-61" TargetMode="External"/><Relationship Id="rId20" Type="http://schemas.openxmlformats.org/officeDocument/2006/relationships/hyperlink" Target="https://doi.org/10.1515/janeh-2020-0017"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doi.org/10.2307/j.ctv327fw8f.5" TargetMode="External"/><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www.jstor.org/stable/74274" TargetMode="External"/><Relationship Id="rId23" Type="http://schemas.openxmlformats.org/officeDocument/2006/relationships/header" Target="header2.xml"/><Relationship Id="rId10" Type="http://schemas.openxmlformats.org/officeDocument/2006/relationships/hyperlink" Target="https://www.academia.edu/2341091/The_Cairo_Calendar_as_a_Stellar_Almanac" TargetMode="External"/><Relationship Id="rId19" Type="http://schemas.openxmlformats.org/officeDocument/2006/relationships/hyperlink" Target="https://www.oxfordreference.com/view/10.1093/acref/9780195102345.001.0001/acref-9780195102345-e-0067" TargetMode="External"/><Relationship Id="rId4" Type="http://schemas.openxmlformats.org/officeDocument/2006/relationships/footnotes" Target="footnotes.xml"/><Relationship Id="rId9" Type="http://schemas.openxmlformats.org/officeDocument/2006/relationships/hyperlink" Target="https://doi.org/10.7834/phoenix.68.1-2.0062" TargetMode="External"/><Relationship Id="rId14" Type="http://schemas.openxmlformats.org/officeDocument/2006/relationships/hyperlink" Target="http://www.jstor.org/stable/542531"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oxfordre.com/planetaryscience/view/10.1093/acrefore/9780190647926.001.0001/acrefore-9780190647926-e-61" TargetMode="External"/><Relationship Id="rId2" Type="http://schemas.openxmlformats.org/officeDocument/2006/relationships/hyperlink" Target="https://doi.org/10.1515/janeh-2020-0017" TargetMode="External"/><Relationship Id="rId1" Type="http://schemas.openxmlformats.org/officeDocument/2006/relationships/hyperlink" Target="https://www.academia.edu/2341091/The_Cairo_Calendar_as_a_Stellar_Almanac" TargetMode="External"/><Relationship Id="rId5" Type="http://schemas.openxmlformats.org/officeDocument/2006/relationships/hyperlink" Target="https://refubium.fu-berlin.de/bitstream/handle/fub188/45739/Zodiacs%20and%20monuments%20author%20version.pdf?sequence=4&amp;isAllowed=y" TargetMode="External"/><Relationship Id="rId4" Type="http://schemas.openxmlformats.org/officeDocument/2006/relationships/hyperlink" Target="https://doi.org/10.1177/002182862311593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5190</Words>
  <Characters>29583</Characters>
  <Application>Microsoft Office Word</Application>
  <DocSecurity>0</DocSecurity>
  <Lines>246</Lines>
  <Paragraphs>69</Paragraphs>
  <ScaleCrop>false</ScaleCrop>
  <Company/>
  <LinksUpToDate>false</LinksUpToDate>
  <CharactersWithSpaces>34704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Waine (2417718)</dc:creator>
  <cp:keywords/>
  <cp:lastModifiedBy>Isabelle Waine (2417718)</cp:lastModifiedBy>
  <cp:revision>2</cp:revision>
  <dcterms:created xsi:type="dcterms:W3CDTF">2025-04-22T14:05:00Z</dcterms:created>
  <dcterms:modified xsi:type="dcterms:W3CDTF">2025-04-22T14:05:00Z</dcterms:modified>
</cp:coreProperties>
</file>