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jc w:val="center"/>
        <w:rPr>
          <w:b w:val="1"/>
          <w:i w:val="1"/>
          <w:u w:val="single"/>
        </w:rPr>
      </w:pPr>
      <w:r w:rsidDel="00000000" w:rsidR="00000000" w:rsidRPr="00000000">
        <w:rPr>
          <w:b w:val="1"/>
          <w:i w:val="1"/>
          <w:u w:val="single"/>
          <w:rtl w:val="0"/>
        </w:rPr>
        <w:t xml:space="preserve">Courts and Society Journal - Tabnit II, Phoenicia</w:t>
      </w:r>
    </w:p>
    <w:p w:rsidR="00000000" w:rsidDel="00000000" w:rsidP="00000000" w:rsidRDefault="00000000" w:rsidRPr="00000000" w14:paraId="00000001">
      <w:pPr>
        <w:contextualSpacing w:val="0"/>
        <w:jc w:val="center"/>
        <w:rPr>
          <w:b w:val="1"/>
          <w:i w:val="1"/>
          <w:u w:val="single"/>
        </w:rPr>
      </w:pPr>
      <w:r w:rsidDel="00000000" w:rsidR="00000000" w:rsidRPr="00000000">
        <w:rPr>
          <w:rtl w:val="0"/>
        </w:rPr>
      </w:r>
    </w:p>
    <w:p w:rsidR="00000000" w:rsidDel="00000000" w:rsidP="00000000" w:rsidRDefault="00000000" w:rsidRPr="00000000" w14:paraId="00000002">
      <w:pPr>
        <w:contextualSpacing w:val="0"/>
        <w:rPr>
          <w:sz w:val="20"/>
          <w:szCs w:val="20"/>
        </w:rPr>
      </w:pPr>
      <w:r w:rsidDel="00000000" w:rsidR="00000000" w:rsidRPr="00000000">
        <w:rPr>
          <w:sz w:val="20"/>
          <w:szCs w:val="20"/>
          <w:rtl w:val="0"/>
        </w:rPr>
        <w:t xml:space="preserve">In the past few months, I have been tasked with taking on the role of the ruler of Phoenicia during a small period in which the Seleucid and Ptolemaic kingdom historically vied for dominance, with the province itself usually laying witness to a good deal of the fighting as it lay as the border province between the two superpowers in the mediterranean. Unlike in the course of history, the historical record during this module has been far different, with war being raged in other areas, with Phoenicia only coming under attack once, before a peace deal was quickly agreed on between the two warring kings. In the remainder of this journal, I would like to study the actions undertaken by the Governor of Phoenicia, not only why they were taken but also what the historical precedent was for those actions, and look retrospectively back on how the module has helped to shape my understanding of ancient politics and statecraft.</w:t>
      </w:r>
    </w:p>
    <w:p w:rsidR="00000000" w:rsidDel="00000000" w:rsidP="00000000" w:rsidRDefault="00000000" w:rsidRPr="00000000" w14:paraId="00000003">
      <w:pPr>
        <w:contextualSpacing w:val="0"/>
        <w:rPr>
          <w:sz w:val="20"/>
          <w:szCs w:val="20"/>
        </w:rPr>
      </w:pPr>
      <w:r w:rsidDel="00000000" w:rsidR="00000000" w:rsidRPr="00000000">
        <w:rPr>
          <w:rtl w:val="0"/>
        </w:rPr>
      </w:r>
    </w:p>
    <w:p w:rsidR="00000000" w:rsidDel="00000000" w:rsidP="00000000" w:rsidRDefault="00000000" w:rsidRPr="00000000" w14:paraId="00000004">
      <w:pPr>
        <w:contextualSpacing w:val="0"/>
        <w:rPr>
          <w:sz w:val="20"/>
          <w:szCs w:val="20"/>
        </w:rPr>
      </w:pPr>
      <w:r w:rsidDel="00000000" w:rsidR="00000000" w:rsidRPr="00000000">
        <w:rPr>
          <w:sz w:val="20"/>
          <w:szCs w:val="20"/>
          <w:rtl w:val="0"/>
        </w:rPr>
        <w:t xml:space="preserve">At the onset of the module, I crafted my character as Tabnit II, the ruler of Phoenicia and also one of the high priests of the goddess Astarte. Whilst this might have been peculiar in other regions, to elect a high-priest as the ruler, it was a tradition in Phoenicia that originated some time during the Ptolemaic invasion of the area</w:t>
      </w:r>
      <w:r w:rsidDel="00000000" w:rsidR="00000000" w:rsidRPr="00000000">
        <w:rPr>
          <w:sz w:val="20"/>
          <w:szCs w:val="20"/>
          <w:vertAlign w:val="superscript"/>
        </w:rPr>
        <w:footnoteReference w:customMarkFollows="0" w:id="0"/>
      </w:r>
      <w:r w:rsidDel="00000000" w:rsidR="00000000" w:rsidRPr="00000000">
        <w:rPr>
          <w:sz w:val="20"/>
          <w:szCs w:val="20"/>
          <w:rtl w:val="0"/>
        </w:rPr>
        <w:t xml:space="preserve">. Thus, being a ruler who was born and raised in the area, Tabnit II was far more liked by those he ruled over, and during the period of the module there was not a single uprising or rebellion to be had. Not only this, but it also would be a deciding factor when in the later years of the module, a combined Phoenician and Coele-Syrian force would strive to unite both those, and the province of Judea under a united banner to ensure further protection against the super-powers to the North and South-West. Several cities would simply swear fealty to the army, preferring servitude to annihilation at the hands of an army they could not hope to best in combat.. A secondary element to their willingness to surrender could be seen as that Tabnit II was a ruler of local culture, rather than a Greek from either of the two great empires. The people of Judah would likely have rather had a local ruler than one forced upon them. We can see both of these examples in Alexander’s conquest of Egypt. The people of Egypt detested Persian rule and simply surrendered to him rather than face a long drawn out siege, similar to what would happen with Tabnit II in Judah.</w:t>
      </w:r>
    </w:p>
    <w:p w:rsidR="00000000" w:rsidDel="00000000" w:rsidP="00000000" w:rsidRDefault="00000000" w:rsidRPr="00000000" w14:paraId="00000005">
      <w:pPr>
        <w:contextualSpacing w:val="0"/>
        <w:rPr>
          <w:sz w:val="20"/>
          <w:szCs w:val="20"/>
        </w:rPr>
      </w:pPr>
      <w:r w:rsidDel="00000000" w:rsidR="00000000" w:rsidRPr="00000000">
        <w:rPr>
          <w:rtl w:val="0"/>
        </w:rPr>
      </w:r>
    </w:p>
    <w:p w:rsidR="00000000" w:rsidDel="00000000" w:rsidP="00000000" w:rsidRDefault="00000000" w:rsidRPr="00000000" w14:paraId="00000006">
      <w:pPr>
        <w:contextualSpacing w:val="0"/>
        <w:rPr>
          <w:sz w:val="20"/>
          <w:szCs w:val="20"/>
        </w:rPr>
      </w:pPr>
      <w:r w:rsidDel="00000000" w:rsidR="00000000" w:rsidRPr="00000000">
        <w:rPr>
          <w:sz w:val="20"/>
          <w:szCs w:val="20"/>
          <w:rtl w:val="0"/>
        </w:rPr>
        <w:t xml:space="preserve">Following the creation of my character, I aimed to set out several goals that he would aim to complete during his reign, with each growing increasingly more ambitious for if or when opportunities might present themselves. I would like to discuss each objective in detail and look at whether they were achieved, how exactly they were achieved and what the precedent for them was. I will then also look at other opportunities that presented themselves, and how, whilst not originally part of Tabnit II’s plans, they were either a boon or a negative to his rule.</w:t>
      </w:r>
    </w:p>
    <w:p w:rsidR="00000000" w:rsidDel="00000000" w:rsidP="00000000" w:rsidRDefault="00000000" w:rsidRPr="00000000" w14:paraId="00000007">
      <w:pPr>
        <w:contextualSpacing w:val="0"/>
        <w:rPr>
          <w:sz w:val="20"/>
          <w:szCs w:val="20"/>
        </w:rPr>
      </w:pPr>
      <w:r w:rsidDel="00000000" w:rsidR="00000000" w:rsidRPr="00000000">
        <w:rPr>
          <w:rtl w:val="0"/>
        </w:rPr>
      </w:r>
    </w:p>
    <w:p w:rsidR="00000000" w:rsidDel="00000000" w:rsidP="00000000" w:rsidRDefault="00000000" w:rsidRPr="00000000" w14:paraId="00000008">
      <w:pPr>
        <w:contextualSpacing w:val="0"/>
        <w:rPr>
          <w:sz w:val="20"/>
          <w:szCs w:val="20"/>
        </w:rPr>
      </w:pPr>
      <w:r w:rsidDel="00000000" w:rsidR="00000000" w:rsidRPr="00000000">
        <w:rPr>
          <w:sz w:val="20"/>
          <w:szCs w:val="20"/>
          <w:rtl w:val="0"/>
        </w:rPr>
        <w:t xml:space="preserve">At the modules outset, it was decided that the provinces of both Phoenicia and Coele-Syria would not be ruled by Satraps in their own right. Instead, they would be ruled by individual governors who would answer to an individual Satrap who held control over the city of Damascus, denying it to the governor of Coele-Syria whom it rightly belonged. From an early stage both the governors underneath the Satrap would grow to resent him, viewing him as a foreigner that had no real authority to be ruling over them. Despite this, they would lack an opportunity to try and remove him for quite some time, fearing the retribution that might arise if they were too fail. Ultimately though, they would be able to achieve their goal during the years of chaos caused by the inept king Ptolemy IV, Kleitos Eupator (Satrap of Damascus) being assassinated whilst attending events meant to celebrate the cooperation between the three rulers. Finding historical precedent for such an event is not difficult, as the Ancient world was one filled with intrigue and assassination. Perhaps the most famous example of this method of assassination can be seen in the death of Philip II of Macedon, who was slain in 336 BC in Aegea when attending celebrations for the marriage of Philip’s daughter. Whilst the exact reason for the assassination is still disputed</w:t>
      </w:r>
      <w:r w:rsidDel="00000000" w:rsidR="00000000" w:rsidRPr="00000000">
        <w:rPr>
          <w:sz w:val="20"/>
          <w:szCs w:val="20"/>
          <w:vertAlign w:val="superscript"/>
        </w:rPr>
        <w:footnoteReference w:customMarkFollows="0" w:id="1"/>
      </w:r>
      <w:r w:rsidDel="00000000" w:rsidR="00000000" w:rsidRPr="00000000">
        <w:rPr>
          <w:sz w:val="20"/>
          <w:szCs w:val="20"/>
          <w:rtl w:val="0"/>
        </w:rPr>
        <w:t xml:space="preserve">, it has a different reasoning than that which was used during the module, yet it still serves as historical precedent for the actions undertaken by the two governors, as evidence of political assassinations taking place at supposedly celebratory events.</w:t>
      </w:r>
    </w:p>
    <w:p w:rsidR="00000000" w:rsidDel="00000000" w:rsidP="00000000" w:rsidRDefault="00000000" w:rsidRPr="00000000" w14:paraId="00000009">
      <w:pPr>
        <w:contextualSpacing w:val="0"/>
        <w:rPr>
          <w:sz w:val="20"/>
          <w:szCs w:val="20"/>
        </w:rPr>
      </w:pPr>
      <w:r w:rsidDel="00000000" w:rsidR="00000000" w:rsidRPr="00000000">
        <w:rPr>
          <w:rtl w:val="0"/>
        </w:rPr>
      </w:r>
    </w:p>
    <w:p w:rsidR="00000000" w:rsidDel="00000000" w:rsidP="00000000" w:rsidRDefault="00000000" w:rsidRPr="00000000" w14:paraId="0000000A">
      <w:pPr>
        <w:contextualSpacing w:val="0"/>
        <w:rPr>
          <w:sz w:val="20"/>
          <w:szCs w:val="20"/>
        </w:rPr>
      </w:pPr>
      <w:r w:rsidDel="00000000" w:rsidR="00000000" w:rsidRPr="00000000">
        <w:rPr>
          <w:sz w:val="20"/>
          <w:szCs w:val="20"/>
          <w:rtl w:val="0"/>
        </w:rPr>
        <w:t xml:space="preserve">Tabnit II’s primary goal was, and remained throughout the module, to see to the defence of his realm. With enemies on nearly all sides, he was forced to first look inwards before attempting to grow the realm. His original goal was to petition his ruler at the time, Ptolemy IV for funds to help in the construction of defences at the border between the two realms, knowing full well that without such fortifications, Phoenicia was doomed to bare the brunt of any invasion from the north until Ptolemy IV would be able to muster an army to send to the provinces aid. Unfortunately, the king would deny their request, under the grounds that a better defense would be a planned invasion of the Seleucid kingdom. This lack of defences, combined with the draining of Phoenicia’s own army (as will be discussed later) would ultimately end in disaster for the state as a Seleucid invasion from the north would see the city of Antaradus looted and all but destroyed before Tabnit II could send a message to the invading forces, surrendering and swearing fealty to the invaders. This would be shortly followed by a similar message from both the Satrap of Damascus and the governor of Coele-Syria, both wishing to avoid the destruction that had been brought upon Antaradus. The Proceeding peace treaty would become one of the key moments in the development of Phoenicia, as the province would be given to the Seleucids in the resulting peace treaty, with Tabnit II maintaining his position as governor. In the following year, so too would Coele-Syria and Damascus be given to the Seleucids and the joint system of rulership would be reinstated, yet in the short time of independence, Tabnit II would discover how self-sufficient Phoenicia could be and only further increase his desire for independent rule. It was not an uncommon thing, for provinces to surrender given untenable odds, and with Tabnit owing no real allegiance to his king on account of their failure to offer adequate protection,  he would rather see them change sides than be destroyed. A perfect example of this is the people of Egypt during Alexander’s invasion, changing sides to avoid destruction and because they harboured no allegiance to the Persians.</w:t>
      </w:r>
    </w:p>
    <w:p w:rsidR="00000000" w:rsidDel="00000000" w:rsidP="00000000" w:rsidRDefault="00000000" w:rsidRPr="00000000" w14:paraId="0000000B">
      <w:pPr>
        <w:contextualSpacing w:val="0"/>
        <w:rPr>
          <w:sz w:val="20"/>
          <w:szCs w:val="20"/>
        </w:rPr>
      </w:pPr>
      <w:r w:rsidDel="00000000" w:rsidR="00000000" w:rsidRPr="00000000">
        <w:rPr>
          <w:rtl w:val="0"/>
        </w:rPr>
      </w:r>
    </w:p>
    <w:p w:rsidR="00000000" w:rsidDel="00000000" w:rsidP="00000000" w:rsidRDefault="00000000" w:rsidRPr="00000000" w14:paraId="0000000C">
      <w:pPr>
        <w:contextualSpacing w:val="0"/>
        <w:rPr>
          <w:sz w:val="20"/>
          <w:szCs w:val="20"/>
        </w:rPr>
      </w:pPr>
      <w:r w:rsidDel="00000000" w:rsidR="00000000" w:rsidRPr="00000000">
        <w:rPr>
          <w:sz w:val="20"/>
          <w:szCs w:val="20"/>
          <w:rtl w:val="0"/>
        </w:rPr>
        <w:t xml:space="preserve">Militarily, throughout much of the duration of the module, Phoenicia remained largely a peaceful province, through a mix of its own peaceful politics and through circumstances that were out of the province’s control. As would be expected of any province, Phoenicia would be called upon to send troops in support of it’s kings wars. Soon after it’s take-over by the kingdom of the Seleucids, almost the province’s entire levy was called up to wage a war in the north by Seleucus IV, leaving only a small garrison of 1,000 men to defend the province. This would later become important as the Seleucid kingdom began to fracture, the levy who had been taken on campaign for several years would lead to growing resentment within their home province against their Seleucid kings, leading Tabnit II to throw his support behind the rulers of Antioch when they would ultimately decide to assassinate the king upon his return, dissolving his army and allowing the people of Phoenicia to return to their homes. For historical precedent for this assassination, again we are best to look towards Alexander and his conquests across the known world. It is common knowledge that his army began to grow more and more discontent as he continued to conquer with pause, famously refusing to march further into India. There were also several notable assassination attempts against the king, partly due to his warlike nature, and partly due to his adoption of Persian practises</w:t>
      </w:r>
      <w:r w:rsidDel="00000000" w:rsidR="00000000" w:rsidRPr="00000000">
        <w:rPr>
          <w:sz w:val="20"/>
          <w:szCs w:val="20"/>
          <w:vertAlign w:val="superscript"/>
        </w:rPr>
        <w:footnoteReference w:customMarkFollows="0" w:id="2"/>
      </w:r>
      <w:r w:rsidDel="00000000" w:rsidR="00000000" w:rsidRPr="00000000">
        <w:rPr>
          <w:sz w:val="20"/>
          <w:szCs w:val="20"/>
          <w:rtl w:val="0"/>
        </w:rPr>
        <w:t xml:space="preserve">.</w:t>
      </w:r>
    </w:p>
    <w:p w:rsidR="00000000" w:rsidDel="00000000" w:rsidP="00000000" w:rsidRDefault="00000000" w:rsidRPr="00000000" w14:paraId="0000000D">
      <w:pPr>
        <w:contextualSpacing w:val="0"/>
        <w:rPr>
          <w:sz w:val="20"/>
          <w:szCs w:val="20"/>
        </w:rPr>
      </w:pPr>
      <w:r w:rsidDel="00000000" w:rsidR="00000000" w:rsidRPr="00000000">
        <w:rPr>
          <w:rtl w:val="0"/>
        </w:rPr>
      </w:r>
    </w:p>
    <w:p w:rsidR="00000000" w:rsidDel="00000000" w:rsidP="00000000" w:rsidRDefault="00000000" w:rsidRPr="00000000" w14:paraId="0000000E">
      <w:pPr>
        <w:contextualSpacing w:val="0"/>
        <w:rPr>
          <w:color w:val="222222"/>
          <w:sz w:val="20"/>
          <w:szCs w:val="20"/>
          <w:highlight w:val="white"/>
        </w:rPr>
      </w:pPr>
      <w:r w:rsidDel="00000000" w:rsidR="00000000" w:rsidRPr="00000000">
        <w:rPr>
          <w:sz w:val="20"/>
          <w:szCs w:val="20"/>
          <w:rtl w:val="0"/>
        </w:rPr>
        <w:t xml:space="preserve">Having finally had its own troops returned to the province, and seeing that in the prior breakup of the Ptolemaic kingdom, the rulers of Phoenicia and Coele-Syria would continue their alliance, deciding to invade the lands to their south in the form of unoccupied Judea. In the aforementioned breakup, Judea had managed to find its way to independence but also had no real garrison or army to speak of, making it an easy target for invasion. The reasoning for the invasion was twofold, firstly to bring protection to the southern border of Phoenicia and provide a buffer state between itself and the newly established Egyptian kingdom in Alexandria. Secondly, Tabnit II represented the goddess Astarte, who by this time was a fairly minor deity, in part due to the influx of Greek culture into the region following Macedonian invasion. He hoped, that by taking over neighbouring land he would be able to spread the religion by force, keeping it alive and pushing back the Greek culture he had grown to despise. It is this reason that I would take to use as the historical precedent for the invasion, as historically, Judea (Or Judah as it was known at the time) was a target for invasion simply for it’s adherence to the Jewish faith. The example of this being used was during the Babylonian invasion of the region that culminated in the Siege of Jerusalem in 597 BC. After which, the influential citizens of the city would be taken prisoner in Babylon</w:t>
      </w:r>
      <w:r w:rsidDel="00000000" w:rsidR="00000000" w:rsidRPr="00000000">
        <w:rPr>
          <w:sz w:val="20"/>
          <w:szCs w:val="20"/>
          <w:vertAlign w:val="superscript"/>
        </w:rPr>
        <w:footnoteReference w:customMarkFollows="0" w:id="3"/>
      </w:r>
      <w:r w:rsidDel="00000000" w:rsidR="00000000" w:rsidRPr="00000000">
        <w:rPr>
          <w:sz w:val="20"/>
          <w:szCs w:val="20"/>
          <w:rtl w:val="0"/>
        </w:rPr>
        <w:t xml:space="preserve">, and all others would be driven from the land, with only the “</w:t>
      </w:r>
      <w:r w:rsidDel="00000000" w:rsidR="00000000" w:rsidRPr="00000000">
        <w:rPr>
          <w:color w:val="222222"/>
          <w:sz w:val="20"/>
          <w:szCs w:val="20"/>
          <w:highlight w:val="white"/>
          <w:rtl w:val="0"/>
        </w:rPr>
        <w:t xml:space="preserve">poorest people of the land” being allowed to remain to tend to what remained</w:t>
      </w:r>
      <w:r w:rsidDel="00000000" w:rsidR="00000000" w:rsidRPr="00000000">
        <w:rPr>
          <w:color w:val="222222"/>
          <w:sz w:val="20"/>
          <w:szCs w:val="20"/>
          <w:highlight w:val="white"/>
          <w:vertAlign w:val="superscript"/>
        </w:rPr>
        <w:footnoteReference w:customMarkFollows="0" w:id="4"/>
      </w:r>
      <w:r w:rsidDel="00000000" w:rsidR="00000000" w:rsidRPr="00000000">
        <w:rPr>
          <w:color w:val="222222"/>
          <w:sz w:val="20"/>
          <w:szCs w:val="20"/>
          <w:highlight w:val="white"/>
          <w:rtl w:val="0"/>
        </w:rPr>
        <w:t xml:space="preserve">.</w:t>
      </w:r>
    </w:p>
    <w:p w:rsidR="00000000" w:rsidDel="00000000" w:rsidP="00000000" w:rsidRDefault="00000000" w:rsidRPr="00000000" w14:paraId="0000000F">
      <w:pPr>
        <w:contextualSpacing w:val="0"/>
        <w:rPr>
          <w:color w:val="222222"/>
          <w:sz w:val="20"/>
          <w:szCs w:val="20"/>
          <w:highlight w:val="white"/>
        </w:rPr>
      </w:pPr>
      <w:r w:rsidDel="00000000" w:rsidR="00000000" w:rsidRPr="00000000">
        <w:rPr>
          <w:rtl w:val="0"/>
        </w:rPr>
      </w:r>
    </w:p>
    <w:p w:rsidR="00000000" w:rsidDel="00000000" w:rsidP="00000000" w:rsidRDefault="00000000" w:rsidRPr="00000000" w14:paraId="00000010">
      <w:pPr>
        <w:contextualSpacing w:val="0"/>
        <w:rPr>
          <w:color w:val="222222"/>
          <w:sz w:val="20"/>
          <w:szCs w:val="20"/>
          <w:highlight w:val="white"/>
        </w:rPr>
      </w:pPr>
      <w:r w:rsidDel="00000000" w:rsidR="00000000" w:rsidRPr="00000000">
        <w:rPr>
          <w:color w:val="222222"/>
          <w:sz w:val="20"/>
          <w:szCs w:val="20"/>
          <w:highlight w:val="white"/>
          <w:rtl w:val="0"/>
        </w:rPr>
        <w:t xml:space="preserve">Phoenicia has a history as a thriving center of trade in the Mediterranean and whilst it still retained some of that legacy during the current time, Tabnit was more than aware that he would be able to revivify the provinces trading potential. In order to do this, he looked outside of the borders of the Ptolemaic and Seleucid kingdoms that he found himself under the control of, sending trade envoys to a variety of Polis’, Satrap’s and even to tribes to try and secure trade through the region. By and large, he would find himself successful due to a policy of neutrality, Phoenicia had found itself with few enemies and a wealth of access to resources. Principally among these was access to Greece via trading through the historic trading port of Rhodes. Phoenicia, whilst a great exporter of agriculture and manufactured goods, had a lack of metal resources within its own area, thus needing to bring them in from elsewhere through trade. Primary among these was copper, brought in from Cyprus via Rhodes which would be needed to make bronze. The historical precedent for this trade is not hard to find, as it can be seen that Cyprus was famous for exporting large amounts of copper all over the mediterranean, to the point that it was capable of producing enough copper to nearly meet the entire worlds demand</w:t>
      </w:r>
      <w:r w:rsidDel="00000000" w:rsidR="00000000" w:rsidRPr="00000000">
        <w:rPr>
          <w:color w:val="222222"/>
          <w:sz w:val="20"/>
          <w:szCs w:val="20"/>
          <w:highlight w:val="white"/>
          <w:vertAlign w:val="superscript"/>
        </w:rPr>
        <w:footnoteReference w:customMarkFollows="0" w:id="5"/>
      </w:r>
      <w:r w:rsidDel="00000000" w:rsidR="00000000" w:rsidRPr="00000000">
        <w:rPr>
          <w:color w:val="222222"/>
          <w:sz w:val="20"/>
          <w:szCs w:val="20"/>
          <w:highlight w:val="white"/>
          <w:rtl w:val="0"/>
        </w:rPr>
        <w:t xml:space="preserve">, and continues to export the material to this day. Historically, according to Strabo</w:t>
      </w:r>
      <w:r w:rsidDel="00000000" w:rsidR="00000000" w:rsidRPr="00000000">
        <w:rPr>
          <w:color w:val="222222"/>
          <w:sz w:val="20"/>
          <w:szCs w:val="20"/>
          <w:highlight w:val="white"/>
          <w:vertAlign w:val="superscript"/>
        </w:rPr>
        <w:footnoteReference w:customMarkFollows="0" w:id="6"/>
      </w:r>
      <w:r w:rsidDel="00000000" w:rsidR="00000000" w:rsidRPr="00000000">
        <w:rPr>
          <w:color w:val="222222"/>
          <w:sz w:val="20"/>
          <w:szCs w:val="20"/>
          <w:highlight w:val="white"/>
          <w:rtl w:val="0"/>
        </w:rPr>
        <w:t xml:space="preserve">, Phoenicia would have acquired the tin for the production of bronze from northern Europe and early Britain, something that Tabnit II was not able to achieve during his attempts to redevelop Phoenicia’s trade routes. Instead, it is plausible that trade of tin may have been made possible through trading with the states of the Iberian Peninsula at the time, who provided a great deal of tin to the Mediterranean world. Unfortunately, I have not had a chance to look into this possibility during the course of the module. </w:t>
      </w:r>
    </w:p>
    <w:p w:rsidR="00000000" w:rsidDel="00000000" w:rsidP="00000000" w:rsidRDefault="00000000" w:rsidRPr="00000000" w14:paraId="00000011">
      <w:pPr>
        <w:contextualSpacing w:val="0"/>
        <w:rPr>
          <w:color w:val="222222"/>
          <w:sz w:val="20"/>
          <w:szCs w:val="20"/>
          <w:highlight w:val="white"/>
        </w:rPr>
      </w:pPr>
      <w:r w:rsidDel="00000000" w:rsidR="00000000" w:rsidRPr="00000000">
        <w:rPr>
          <w:rtl w:val="0"/>
        </w:rPr>
      </w:r>
    </w:p>
    <w:p w:rsidR="00000000" w:rsidDel="00000000" w:rsidP="00000000" w:rsidRDefault="00000000" w:rsidRPr="00000000" w14:paraId="00000012">
      <w:pPr>
        <w:contextualSpacing w:val="0"/>
        <w:rPr>
          <w:color w:val="222222"/>
          <w:sz w:val="20"/>
          <w:szCs w:val="20"/>
          <w:highlight w:val="white"/>
        </w:rPr>
      </w:pPr>
      <w:r w:rsidDel="00000000" w:rsidR="00000000" w:rsidRPr="00000000">
        <w:rPr>
          <w:color w:val="222222"/>
          <w:sz w:val="20"/>
          <w:szCs w:val="20"/>
          <w:highlight w:val="white"/>
          <w:rtl w:val="0"/>
        </w:rPr>
        <w:t xml:space="preserve">My attempts to formalize trade in the region have given me a much greater understanding of the intense intricacies of trade even over relatively short distances. With consideration having to be given not just to the treaty itself, but things such as transport, tariffs and supply of trade caravans. </w:t>
      </w:r>
    </w:p>
    <w:p w:rsidR="00000000" w:rsidDel="00000000" w:rsidP="00000000" w:rsidRDefault="00000000" w:rsidRPr="00000000" w14:paraId="00000013">
      <w:pPr>
        <w:contextualSpacing w:val="0"/>
        <w:rPr>
          <w:color w:val="222222"/>
          <w:sz w:val="20"/>
          <w:szCs w:val="20"/>
          <w:highlight w:val="white"/>
        </w:rPr>
      </w:pPr>
      <w:r w:rsidDel="00000000" w:rsidR="00000000" w:rsidRPr="00000000">
        <w:rPr>
          <w:rtl w:val="0"/>
        </w:rPr>
      </w:r>
    </w:p>
    <w:p w:rsidR="00000000" w:rsidDel="00000000" w:rsidP="00000000" w:rsidRDefault="00000000" w:rsidRPr="00000000" w14:paraId="00000014">
      <w:pPr>
        <w:contextualSpacing w:val="0"/>
        <w:rPr>
          <w:color w:val="222222"/>
          <w:sz w:val="20"/>
          <w:szCs w:val="20"/>
          <w:highlight w:val="white"/>
        </w:rPr>
      </w:pPr>
      <w:r w:rsidDel="00000000" w:rsidR="00000000" w:rsidRPr="00000000">
        <w:rPr>
          <w:color w:val="222222"/>
          <w:sz w:val="20"/>
          <w:szCs w:val="20"/>
          <w:highlight w:val="white"/>
          <w:rtl w:val="0"/>
        </w:rPr>
        <w:t xml:space="preserve">During the final lecture of the module is when the most turbulent changes would be forced upon Tabnit II and the lands under his control, as a plague would break out across the newly reformed Ptolemaic Kingdom. Whilst Tabnit II would not fall prey to the disease, the lands under his control would, forcing him to take drastic action to survive the outbreak. As many rulers often did throughout time, the solution was to travel to a location free of disease, and wait until it reaped its toll on the population. For Tabnit II, this location was the island of Arwad, located slightly off the coast of modern day Tartus in Syria. Having ascertained that the island itself was free of the plague, Tabnit II would flee to the island for the better part of six months. Plague was an ever present threat throughout most of history and it is only as recently as 1896 that a treatment for the disease was developed</w:t>
      </w:r>
      <w:r w:rsidDel="00000000" w:rsidR="00000000" w:rsidRPr="00000000">
        <w:rPr>
          <w:color w:val="222222"/>
          <w:sz w:val="20"/>
          <w:szCs w:val="20"/>
          <w:highlight w:val="white"/>
          <w:vertAlign w:val="superscript"/>
        </w:rPr>
        <w:footnoteReference w:customMarkFollows="0" w:id="7"/>
      </w:r>
      <w:r w:rsidDel="00000000" w:rsidR="00000000" w:rsidRPr="00000000">
        <w:rPr>
          <w:color w:val="222222"/>
          <w:sz w:val="20"/>
          <w:szCs w:val="20"/>
          <w:highlight w:val="white"/>
          <w:rtl w:val="0"/>
        </w:rPr>
        <w:t xml:space="preserve">. Wherever disease would arise, we often see an attempt by the upper-class to flee the afflicted zones. A perfect example of this was in the great plague of London during 1665, wherein even the king himself would flee the capital, moving to Salisbury before eventually fleeing to Oxford when the plague followed him there</w:t>
      </w:r>
      <w:r w:rsidDel="00000000" w:rsidR="00000000" w:rsidRPr="00000000">
        <w:rPr>
          <w:color w:val="222222"/>
          <w:sz w:val="20"/>
          <w:szCs w:val="20"/>
          <w:highlight w:val="white"/>
          <w:vertAlign w:val="superscript"/>
        </w:rPr>
        <w:footnoteReference w:customMarkFollows="0" w:id="8"/>
      </w:r>
      <w:r w:rsidDel="00000000" w:rsidR="00000000" w:rsidRPr="00000000">
        <w:rPr>
          <w:color w:val="222222"/>
          <w:sz w:val="20"/>
          <w:szCs w:val="20"/>
          <w:highlight w:val="white"/>
          <w:rtl w:val="0"/>
        </w:rPr>
        <w:t xml:space="preserve">.</w:t>
      </w:r>
    </w:p>
    <w:p w:rsidR="00000000" w:rsidDel="00000000" w:rsidP="00000000" w:rsidRDefault="00000000" w:rsidRPr="00000000" w14:paraId="00000015">
      <w:pPr>
        <w:contextualSpacing w:val="0"/>
        <w:rPr>
          <w:color w:val="222222"/>
          <w:sz w:val="20"/>
          <w:szCs w:val="20"/>
          <w:highlight w:val="white"/>
        </w:rPr>
      </w:pPr>
      <w:r w:rsidDel="00000000" w:rsidR="00000000" w:rsidRPr="00000000">
        <w:rPr>
          <w:rtl w:val="0"/>
        </w:rPr>
      </w:r>
    </w:p>
    <w:p w:rsidR="00000000" w:rsidDel="00000000" w:rsidP="00000000" w:rsidRDefault="00000000" w:rsidRPr="00000000" w14:paraId="00000016">
      <w:pPr>
        <w:contextualSpacing w:val="0"/>
        <w:rPr>
          <w:color w:val="222222"/>
          <w:sz w:val="20"/>
          <w:szCs w:val="20"/>
          <w:highlight w:val="white"/>
        </w:rPr>
      </w:pPr>
      <w:r w:rsidDel="00000000" w:rsidR="00000000" w:rsidRPr="00000000">
        <w:rPr>
          <w:color w:val="222222"/>
          <w:sz w:val="20"/>
          <w:szCs w:val="20"/>
          <w:highlight w:val="white"/>
          <w:rtl w:val="0"/>
        </w:rPr>
        <w:t xml:space="preserve">Moving back to the module, the disease would reap a toll on not only Tabnit’s lands, but all those that called themselves part of the Ptolemaic kingdom. Luckily, Phoenicia itself survived relatively well, with only 20% of its population being lossed to the plague, unlike Alexandria and lands around it, for whom the death toll was closer to 60%. As a fortunate side effect, the governor of Coele-Syria and Eastern Judea would fall ill to the plague and pass away, with his lands being given over to Tabnit II to make him the satrap of Phoenicia, Coele-Syria and all of Judea.</w:t>
      </w:r>
    </w:p>
    <w:p w:rsidR="00000000" w:rsidDel="00000000" w:rsidP="00000000" w:rsidRDefault="00000000" w:rsidRPr="00000000" w14:paraId="00000017">
      <w:pPr>
        <w:contextualSpacing w:val="0"/>
        <w:rPr>
          <w:color w:val="222222"/>
          <w:sz w:val="20"/>
          <w:szCs w:val="20"/>
          <w:highlight w:val="white"/>
        </w:rPr>
      </w:pPr>
      <w:r w:rsidDel="00000000" w:rsidR="00000000" w:rsidRPr="00000000">
        <w:rPr>
          <w:rtl w:val="0"/>
        </w:rPr>
      </w:r>
    </w:p>
    <w:p w:rsidR="00000000" w:rsidDel="00000000" w:rsidP="00000000" w:rsidRDefault="00000000" w:rsidRPr="00000000" w14:paraId="00000018">
      <w:pPr>
        <w:contextualSpacing w:val="0"/>
        <w:rPr>
          <w:color w:val="222222"/>
          <w:sz w:val="20"/>
          <w:szCs w:val="20"/>
          <w:highlight w:val="white"/>
        </w:rPr>
      </w:pPr>
      <w:r w:rsidDel="00000000" w:rsidR="00000000" w:rsidRPr="00000000">
        <w:rPr>
          <w:color w:val="222222"/>
          <w:sz w:val="20"/>
          <w:szCs w:val="20"/>
          <w:highlight w:val="white"/>
          <w:rtl w:val="0"/>
        </w:rPr>
        <w:t xml:space="preserve">I found this final event particularly interesting, as it gave me clear and direct insight into what life could be like in the ancient world, where you were at the mercy of events beyond your control far more than the threat of direct invasion or attack. For most of his rule, Tabnit II had been at war under his king but his satrapy had remained relatively undamaged by it’s effects. And yet, in a single six month period his satrapy would be damaged by something completely out of his control. We can see this in history as well, how the outbreak of disease can turn a potentially favourable situation into a devastating one. In Thucydides account of the Peloponnesian war, he talks of the great plague of Athens that he survived, and how it was likely the main cause for their loss of the war as a great deal of it’s army and commanders (including Pericles) were wiped out by the illness</w:t>
      </w:r>
      <w:r w:rsidDel="00000000" w:rsidR="00000000" w:rsidRPr="00000000">
        <w:rPr>
          <w:color w:val="222222"/>
          <w:sz w:val="20"/>
          <w:szCs w:val="20"/>
          <w:highlight w:val="white"/>
          <w:vertAlign w:val="superscript"/>
        </w:rPr>
        <w:footnoteReference w:customMarkFollows="0" w:id="9"/>
      </w:r>
      <w:r w:rsidDel="00000000" w:rsidR="00000000" w:rsidRPr="00000000">
        <w:rPr>
          <w:color w:val="222222"/>
          <w:sz w:val="20"/>
          <w:szCs w:val="20"/>
          <w:highlight w:val="white"/>
          <w:rtl w:val="0"/>
        </w:rPr>
        <w:t xml:space="preserve">.</w:t>
      </w:r>
    </w:p>
    <w:p w:rsidR="00000000" w:rsidDel="00000000" w:rsidP="00000000" w:rsidRDefault="00000000" w:rsidRPr="00000000" w14:paraId="00000019">
      <w:pPr>
        <w:contextualSpacing w:val="0"/>
        <w:rPr>
          <w:color w:val="222222"/>
          <w:sz w:val="20"/>
          <w:szCs w:val="20"/>
          <w:highlight w:val="white"/>
        </w:rPr>
      </w:pPr>
      <w:r w:rsidDel="00000000" w:rsidR="00000000" w:rsidRPr="00000000">
        <w:rPr>
          <w:rtl w:val="0"/>
        </w:rPr>
      </w:r>
    </w:p>
    <w:p w:rsidR="00000000" w:rsidDel="00000000" w:rsidP="00000000" w:rsidRDefault="00000000" w:rsidRPr="00000000" w14:paraId="0000001A">
      <w:pPr>
        <w:contextualSpacing w:val="0"/>
        <w:rPr>
          <w:color w:val="222222"/>
          <w:sz w:val="20"/>
          <w:szCs w:val="20"/>
          <w:highlight w:val="white"/>
        </w:rPr>
      </w:pPr>
      <w:r w:rsidDel="00000000" w:rsidR="00000000" w:rsidRPr="00000000">
        <w:rPr>
          <w:color w:val="222222"/>
          <w:sz w:val="20"/>
          <w:szCs w:val="20"/>
          <w:highlight w:val="white"/>
          <w:rtl w:val="0"/>
        </w:rPr>
        <w:t xml:space="preserve">In conclusion I believe that the unusual method of teaching held up in this module, has by and large been a success for helping me to better understand the workings of the world of Ancient politics and statecraft. It has enabled me to see things from the perspective of not simply a historian looking back in time with the benefit of hindsight, but also as somebody who was on the ground at the time, working with limited information and attempting to navigate a system where they had to manage not only their own lands, but also ensure they kept their ruler happy in order to avoid being simply replaced for being incompetent.</w:t>
      </w:r>
    </w:p>
    <w:p w:rsidR="00000000" w:rsidDel="00000000" w:rsidP="00000000" w:rsidRDefault="00000000" w:rsidRPr="00000000" w14:paraId="0000001B">
      <w:pPr>
        <w:contextualSpacing w:val="0"/>
        <w:rPr>
          <w:color w:val="222222"/>
          <w:sz w:val="18"/>
          <w:szCs w:val="18"/>
          <w:highlight w:val="white"/>
        </w:rPr>
      </w:pPr>
      <w:r w:rsidDel="00000000" w:rsidR="00000000" w:rsidRPr="00000000">
        <w:rPr>
          <w:rtl w:val="0"/>
        </w:rPr>
      </w:r>
    </w:p>
    <w:p w:rsidR="00000000" w:rsidDel="00000000" w:rsidP="00000000" w:rsidRDefault="00000000" w:rsidRPr="00000000" w14:paraId="0000001C">
      <w:pPr>
        <w:contextualSpacing w:val="0"/>
        <w:rPr>
          <w:color w:val="222222"/>
          <w:sz w:val="20"/>
          <w:szCs w:val="20"/>
          <w:highlight w:val="white"/>
        </w:rPr>
      </w:pPr>
      <w:r w:rsidDel="00000000" w:rsidR="00000000" w:rsidRPr="00000000">
        <w:rPr>
          <w:color w:val="222222"/>
          <w:sz w:val="20"/>
          <w:szCs w:val="20"/>
          <w:highlight w:val="white"/>
          <w:rtl w:val="0"/>
        </w:rPr>
        <w:t xml:space="preserve">Word Count -- 2,656</w:t>
      </w:r>
    </w:p>
    <w:p w:rsidR="00000000" w:rsidDel="00000000" w:rsidP="00000000" w:rsidRDefault="00000000" w:rsidRPr="00000000" w14:paraId="0000001D">
      <w:pPr>
        <w:contextualSpacing w:val="0"/>
        <w:rPr>
          <w:sz w:val="18"/>
          <w:szCs w:val="18"/>
        </w:rPr>
      </w:pPr>
      <w:r w:rsidDel="00000000" w:rsidR="00000000" w:rsidRPr="00000000">
        <w:br w:type="page"/>
      </w:r>
      <w:r w:rsidDel="00000000" w:rsidR="00000000" w:rsidRPr="00000000">
        <w:rPr>
          <w:rtl w:val="0"/>
        </w:rPr>
      </w:r>
    </w:p>
    <w:p w:rsidR="00000000" w:rsidDel="00000000" w:rsidP="00000000" w:rsidRDefault="00000000" w:rsidRPr="00000000" w14:paraId="0000001E">
      <w:pPr>
        <w:pStyle w:val="Heading2"/>
        <w:keepNext w:val="0"/>
        <w:keepLines w:val="0"/>
        <w:spacing w:after="80" w:before="0" w:lineRule="auto"/>
        <w:contextualSpacing w:val="0"/>
        <w:rPr>
          <w:color w:val="222222"/>
          <w:sz w:val="34"/>
          <w:szCs w:val="34"/>
          <w:highlight w:val="white"/>
        </w:rPr>
      </w:pPr>
      <w:bookmarkStart w:colFirst="0" w:colLast="0" w:name="_q79volo68mmt" w:id="0"/>
      <w:bookmarkEnd w:id="0"/>
      <w:r w:rsidDel="00000000" w:rsidR="00000000" w:rsidRPr="00000000">
        <w:rPr>
          <w:color w:val="222222"/>
          <w:sz w:val="34"/>
          <w:szCs w:val="34"/>
          <w:highlight w:val="white"/>
          <w:rtl w:val="0"/>
        </w:rPr>
        <w:t xml:space="preserve">References</w:t>
      </w:r>
    </w:p>
    <w:p w:rsidR="00000000" w:rsidDel="00000000" w:rsidP="00000000" w:rsidRDefault="00000000" w:rsidRPr="00000000" w14:paraId="0000001F">
      <w:pPr>
        <w:spacing w:after="180" w:lineRule="auto"/>
        <w:ind w:left="900" w:hanging="440"/>
        <w:contextualSpacing w:val="0"/>
        <w:rPr>
          <w:color w:val="222222"/>
          <w:sz w:val="21"/>
          <w:szCs w:val="21"/>
          <w:highlight w:val="white"/>
        </w:rPr>
      </w:pPr>
      <w:r w:rsidDel="00000000" w:rsidR="00000000" w:rsidRPr="00000000">
        <w:rPr>
          <w:color w:val="222222"/>
          <w:sz w:val="21"/>
          <w:szCs w:val="21"/>
          <w:highlight w:val="white"/>
          <w:rtl w:val="0"/>
        </w:rPr>
        <w:t xml:space="preserve">Bible Gateway. (2018). </w:t>
      </w:r>
      <w:r w:rsidDel="00000000" w:rsidR="00000000" w:rsidRPr="00000000">
        <w:rPr>
          <w:i w:val="1"/>
          <w:color w:val="222222"/>
          <w:sz w:val="21"/>
          <w:szCs w:val="21"/>
          <w:highlight w:val="white"/>
          <w:rtl w:val="0"/>
        </w:rPr>
        <w:t xml:space="preserve">Bible Gateway passage: 2 Kings 24:13 - New International Version</w:t>
      </w:r>
      <w:r w:rsidDel="00000000" w:rsidR="00000000" w:rsidRPr="00000000">
        <w:rPr>
          <w:color w:val="222222"/>
          <w:sz w:val="21"/>
          <w:szCs w:val="21"/>
          <w:highlight w:val="white"/>
          <w:rtl w:val="0"/>
        </w:rPr>
        <w:t xml:space="preserve">. [online] Available at: https://www.biblegateway.com/passage/?search=2+Kings+24%3A13&amp;version=NIV [Accessed 30 Apr. 2018].</w:t>
      </w:r>
    </w:p>
    <w:p w:rsidR="00000000" w:rsidDel="00000000" w:rsidP="00000000" w:rsidRDefault="00000000" w:rsidRPr="00000000" w14:paraId="00000020">
      <w:pPr>
        <w:spacing w:after="180" w:lineRule="auto"/>
        <w:ind w:left="900" w:hanging="440"/>
        <w:contextualSpacing w:val="0"/>
        <w:rPr>
          <w:color w:val="222222"/>
          <w:sz w:val="21"/>
          <w:szCs w:val="21"/>
          <w:highlight w:val="white"/>
        </w:rPr>
      </w:pPr>
      <w:r w:rsidDel="00000000" w:rsidR="00000000" w:rsidRPr="00000000">
        <w:rPr>
          <w:color w:val="222222"/>
          <w:sz w:val="21"/>
          <w:szCs w:val="21"/>
          <w:highlight w:val="white"/>
          <w:rtl w:val="0"/>
        </w:rPr>
        <w:t xml:space="preserve">Butler, T. (2014). Plague history: Yersin’s discovery of the causative bacterium in 1894 enabled, in the subsequent century, scientific progress in understanding the disease and the development of treatments and vaccines. </w:t>
      </w:r>
      <w:r w:rsidDel="00000000" w:rsidR="00000000" w:rsidRPr="00000000">
        <w:rPr>
          <w:i w:val="1"/>
          <w:color w:val="222222"/>
          <w:sz w:val="21"/>
          <w:szCs w:val="21"/>
          <w:highlight w:val="white"/>
          <w:rtl w:val="0"/>
        </w:rPr>
        <w:t xml:space="preserve">Clinical Microbiology and Infection</w:t>
      </w:r>
      <w:r w:rsidDel="00000000" w:rsidR="00000000" w:rsidRPr="00000000">
        <w:rPr>
          <w:color w:val="222222"/>
          <w:sz w:val="21"/>
          <w:szCs w:val="21"/>
          <w:highlight w:val="white"/>
          <w:rtl w:val="0"/>
        </w:rPr>
        <w:t xml:space="preserve">, 20(3), pp.202-209.</w:t>
      </w:r>
    </w:p>
    <w:p w:rsidR="00000000" w:rsidDel="00000000" w:rsidP="00000000" w:rsidRDefault="00000000" w:rsidRPr="00000000" w14:paraId="00000021">
      <w:pPr>
        <w:spacing w:after="180" w:lineRule="auto"/>
        <w:ind w:left="900" w:hanging="440"/>
        <w:contextualSpacing w:val="0"/>
        <w:rPr>
          <w:color w:val="222222"/>
          <w:sz w:val="21"/>
          <w:szCs w:val="21"/>
          <w:highlight w:val="white"/>
        </w:rPr>
      </w:pPr>
      <w:r w:rsidDel="00000000" w:rsidR="00000000" w:rsidRPr="00000000">
        <w:rPr>
          <w:color w:val="222222"/>
          <w:sz w:val="21"/>
          <w:szCs w:val="21"/>
          <w:highlight w:val="white"/>
          <w:rtl w:val="0"/>
        </w:rPr>
        <w:t xml:space="preserve">Coogan, M. (2001). </w:t>
      </w:r>
      <w:r w:rsidDel="00000000" w:rsidR="00000000" w:rsidRPr="00000000">
        <w:rPr>
          <w:i w:val="1"/>
          <w:color w:val="222222"/>
          <w:sz w:val="21"/>
          <w:szCs w:val="21"/>
          <w:highlight w:val="white"/>
          <w:rtl w:val="0"/>
        </w:rPr>
        <w:t xml:space="preserve">The Oxford history of the biblical world</w:t>
      </w:r>
      <w:r w:rsidDel="00000000" w:rsidR="00000000" w:rsidRPr="00000000">
        <w:rPr>
          <w:color w:val="222222"/>
          <w:sz w:val="21"/>
          <w:szCs w:val="21"/>
          <w:highlight w:val="white"/>
          <w:rtl w:val="0"/>
        </w:rPr>
        <w:t xml:space="preserve">. Oxford: Oxford University Press.</w:t>
      </w:r>
    </w:p>
    <w:p w:rsidR="00000000" w:rsidDel="00000000" w:rsidP="00000000" w:rsidRDefault="00000000" w:rsidRPr="00000000" w14:paraId="00000022">
      <w:pPr>
        <w:spacing w:after="180" w:lineRule="auto"/>
        <w:ind w:left="900" w:hanging="440"/>
        <w:contextualSpacing w:val="0"/>
        <w:rPr>
          <w:color w:val="222222"/>
          <w:sz w:val="21"/>
          <w:szCs w:val="21"/>
          <w:highlight w:val="white"/>
        </w:rPr>
      </w:pPr>
      <w:r w:rsidDel="00000000" w:rsidR="00000000" w:rsidRPr="00000000">
        <w:rPr>
          <w:color w:val="222222"/>
          <w:sz w:val="21"/>
          <w:szCs w:val="21"/>
          <w:highlight w:val="white"/>
          <w:rtl w:val="0"/>
        </w:rPr>
        <w:t xml:space="preserve">Gergel, T. (2004). </w:t>
      </w:r>
      <w:r w:rsidDel="00000000" w:rsidR="00000000" w:rsidRPr="00000000">
        <w:rPr>
          <w:i w:val="1"/>
          <w:color w:val="222222"/>
          <w:sz w:val="21"/>
          <w:szCs w:val="21"/>
          <w:highlight w:val="white"/>
          <w:rtl w:val="0"/>
        </w:rPr>
        <w:t xml:space="preserve">Alexander the Great: The Brief Life and Towering Exploits of History's Greatest Conqueror</w:t>
      </w:r>
      <w:r w:rsidDel="00000000" w:rsidR="00000000" w:rsidRPr="00000000">
        <w:rPr>
          <w:color w:val="222222"/>
          <w:sz w:val="21"/>
          <w:szCs w:val="21"/>
          <w:highlight w:val="white"/>
          <w:rtl w:val="0"/>
        </w:rPr>
        <w:t xml:space="preserve">. Penguin Books.</w:t>
      </w:r>
    </w:p>
    <w:p w:rsidR="00000000" w:rsidDel="00000000" w:rsidP="00000000" w:rsidRDefault="00000000" w:rsidRPr="00000000" w14:paraId="00000023">
      <w:pPr>
        <w:spacing w:after="180" w:lineRule="auto"/>
        <w:ind w:left="900" w:hanging="440"/>
        <w:contextualSpacing w:val="0"/>
        <w:rPr/>
      </w:pPr>
      <w:r w:rsidDel="00000000" w:rsidR="00000000" w:rsidRPr="00000000">
        <w:rPr>
          <w:rtl w:val="0"/>
        </w:rPr>
        <w:t xml:space="preserve">Grainger, J. (2004). </w:t>
      </w:r>
      <w:r w:rsidDel="00000000" w:rsidR="00000000" w:rsidRPr="00000000">
        <w:rPr>
          <w:i w:val="1"/>
          <w:rtl w:val="0"/>
        </w:rPr>
        <w:t xml:space="preserve">Hellenistic Phoenicia</w:t>
      </w:r>
      <w:r w:rsidDel="00000000" w:rsidR="00000000" w:rsidRPr="00000000">
        <w:rPr>
          <w:rtl w:val="0"/>
        </w:rPr>
        <w:t xml:space="preserve">. Oxford: Clarendon Press.</w:t>
      </w:r>
    </w:p>
    <w:p w:rsidR="00000000" w:rsidDel="00000000" w:rsidP="00000000" w:rsidRDefault="00000000" w:rsidRPr="00000000" w14:paraId="00000024">
      <w:pPr>
        <w:spacing w:after="180" w:lineRule="auto"/>
        <w:ind w:left="900" w:hanging="440"/>
        <w:contextualSpacing w:val="0"/>
        <w:rPr>
          <w:color w:val="222222"/>
          <w:sz w:val="21"/>
          <w:szCs w:val="21"/>
          <w:highlight w:val="white"/>
        </w:rPr>
      </w:pPr>
      <w:r w:rsidDel="00000000" w:rsidR="00000000" w:rsidRPr="00000000">
        <w:rPr>
          <w:rtl w:val="0"/>
        </w:rPr>
        <w:t xml:space="preserve">Harden, D. (1971). </w:t>
      </w:r>
      <w:r w:rsidDel="00000000" w:rsidR="00000000" w:rsidRPr="00000000">
        <w:rPr>
          <w:i w:val="1"/>
          <w:rtl w:val="0"/>
        </w:rPr>
        <w:t xml:space="preserve">The Phoenicians</w:t>
      </w:r>
      <w:r w:rsidDel="00000000" w:rsidR="00000000" w:rsidRPr="00000000">
        <w:rPr>
          <w:rtl w:val="0"/>
        </w:rPr>
        <w:t xml:space="preserve">. Harmondsworth: Penguin Books.</w:t>
      </w:r>
      <w:r w:rsidDel="00000000" w:rsidR="00000000" w:rsidRPr="00000000">
        <w:rPr>
          <w:rtl w:val="0"/>
        </w:rPr>
      </w:r>
    </w:p>
    <w:p w:rsidR="00000000" w:rsidDel="00000000" w:rsidP="00000000" w:rsidRDefault="00000000" w:rsidRPr="00000000" w14:paraId="00000025">
      <w:pPr>
        <w:spacing w:after="180" w:lineRule="auto"/>
        <w:ind w:left="900" w:hanging="440"/>
        <w:contextualSpacing w:val="0"/>
        <w:rPr>
          <w:color w:val="222222"/>
          <w:sz w:val="21"/>
          <w:szCs w:val="21"/>
          <w:highlight w:val="white"/>
        </w:rPr>
      </w:pPr>
      <w:r w:rsidDel="00000000" w:rsidR="00000000" w:rsidRPr="00000000">
        <w:rPr>
          <w:color w:val="222222"/>
          <w:sz w:val="21"/>
          <w:szCs w:val="21"/>
          <w:highlight w:val="white"/>
          <w:rtl w:val="0"/>
        </w:rPr>
        <w:t xml:space="preserve">Justinus, M., Yardley, J., Wheatley, P. and Heckel, W. (2011). </w:t>
      </w:r>
      <w:r w:rsidDel="00000000" w:rsidR="00000000" w:rsidRPr="00000000">
        <w:rPr>
          <w:i w:val="1"/>
          <w:color w:val="222222"/>
          <w:sz w:val="21"/>
          <w:szCs w:val="21"/>
          <w:highlight w:val="white"/>
          <w:rtl w:val="0"/>
        </w:rPr>
        <w:t xml:space="preserve">Epitome of the Philippic history of Pompeius Trogus</w:t>
      </w:r>
      <w:r w:rsidDel="00000000" w:rsidR="00000000" w:rsidRPr="00000000">
        <w:rPr>
          <w:color w:val="222222"/>
          <w:sz w:val="21"/>
          <w:szCs w:val="21"/>
          <w:highlight w:val="white"/>
          <w:rtl w:val="0"/>
        </w:rPr>
        <w:t xml:space="preserve">. Oxford: Oxford University Press.</w:t>
      </w:r>
    </w:p>
    <w:p w:rsidR="00000000" w:rsidDel="00000000" w:rsidP="00000000" w:rsidRDefault="00000000" w:rsidRPr="00000000" w14:paraId="00000026">
      <w:pPr>
        <w:spacing w:after="180" w:lineRule="auto"/>
        <w:ind w:left="900" w:hanging="440"/>
        <w:contextualSpacing w:val="0"/>
        <w:rPr>
          <w:color w:val="222222"/>
          <w:sz w:val="21"/>
          <w:szCs w:val="21"/>
          <w:highlight w:val="white"/>
        </w:rPr>
      </w:pPr>
      <w:r w:rsidDel="00000000" w:rsidR="00000000" w:rsidRPr="00000000">
        <w:rPr>
          <w:color w:val="222222"/>
          <w:sz w:val="21"/>
          <w:szCs w:val="21"/>
          <w:highlight w:val="white"/>
          <w:rtl w:val="0"/>
        </w:rPr>
        <w:t xml:space="preserve">Leasor, J. (2001). </w:t>
      </w:r>
      <w:r w:rsidDel="00000000" w:rsidR="00000000" w:rsidRPr="00000000">
        <w:rPr>
          <w:i w:val="1"/>
          <w:color w:val="222222"/>
          <w:sz w:val="21"/>
          <w:szCs w:val="21"/>
          <w:highlight w:val="white"/>
          <w:rtl w:val="0"/>
        </w:rPr>
        <w:t xml:space="preserve">The plague and the fire</w:t>
      </w:r>
      <w:r w:rsidDel="00000000" w:rsidR="00000000" w:rsidRPr="00000000">
        <w:rPr>
          <w:color w:val="222222"/>
          <w:sz w:val="21"/>
          <w:szCs w:val="21"/>
          <w:highlight w:val="white"/>
          <w:rtl w:val="0"/>
        </w:rPr>
        <w:t xml:space="preserve">. London: House of Stratus.</w:t>
      </w:r>
    </w:p>
    <w:p w:rsidR="00000000" w:rsidDel="00000000" w:rsidP="00000000" w:rsidRDefault="00000000" w:rsidRPr="00000000" w14:paraId="00000027">
      <w:pPr>
        <w:spacing w:after="180" w:lineRule="auto"/>
        <w:ind w:left="900" w:hanging="440"/>
        <w:contextualSpacing w:val="0"/>
        <w:rPr>
          <w:color w:val="222222"/>
          <w:sz w:val="21"/>
          <w:szCs w:val="21"/>
          <w:highlight w:val="white"/>
        </w:rPr>
      </w:pPr>
      <w:r w:rsidDel="00000000" w:rsidR="00000000" w:rsidRPr="00000000">
        <w:rPr>
          <w:color w:val="222222"/>
          <w:sz w:val="21"/>
          <w:szCs w:val="21"/>
          <w:highlight w:val="white"/>
          <w:rtl w:val="0"/>
        </w:rPr>
        <w:t xml:space="preserve">Network, I. (2018). </w:t>
      </w:r>
      <w:r w:rsidDel="00000000" w:rsidR="00000000" w:rsidRPr="00000000">
        <w:rPr>
          <w:i w:val="1"/>
          <w:color w:val="222222"/>
          <w:sz w:val="21"/>
          <w:szCs w:val="21"/>
          <w:highlight w:val="white"/>
          <w:rtl w:val="0"/>
        </w:rPr>
        <w:t xml:space="preserve">Copper Mining in Cyprus</w:t>
      </w:r>
      <w:r w:rsidDel="00000000" w:rsidR="00000000" w:rsidRPr="00000000">
        <w:rPr>
          <w:color w:val="222222"/>
          <w:sz w:val="21"/>
          <w:szCs w:val="21"/>
          <w:highlight w:val="white"/>
          <w:rtl w:val="0"/>
        </w:rPr>
        <w:t xml:space="preserve">. [online] Investing News Network. Available at: https://investingnews.com/daily/resource-investing/base-metals-investing/copper-investing/copper-mining-in-cyprus/ [Accessed 27 Apr. 2018].</w:t>
      </w:r>
    </w:p>
    <w:p w:rsidR="00000000" w:rsidDel="00000000" w:rsidP="00000000" w:rsidRDefault="00000000" w:rsidRPr="00000000" w14:paraId="00000028">
      <w:pPr>
        <w:spacing w:after="180" w:lineRule="auto"/>
        <w:ind w:left="900" w:hanging="440"/>
        <w:contextualSpacing w:val="0"/>
        <w:rPr/>
      </w:pPr>
      <w:r w:rsidDel="00000000" w:rsidR="00000000" w:rsidRPr="00000000">
        <w:rPr>
          <w:rtl w:val="0"/>
        </w:rPr>
        <w:t xml:space="preserve">Rawlinson, G. (2005). </w:t>
      </w:r>
      <w:r w:rsidDel="00000000" w:rsidR="00000000" w:rsidRPr="00000000">
        <w:rPr>
          <w:i w:val="1"/>
          <w:rtl w:val="0"/>
        </w:rPr>
        <w:t xml:space="preserve">Phoenicia: History of a Civilization</w:t>
      </w:r>
      <w:r w:rsidDel="00000000" w:rsidR="00000000" w:rsidRPr="00000000">
        <w:rPr>
          <w:rtl w:val="0"/>
        </w:rPr>
        <w:t xml:space="preserve">. 3rd ed. St. Martin's Press.</w:t>
      </w:r>
    </w:p>
    <w:p w:rsidR="00000000" w:rsidDel="00000000" w:rsidP="00000000" w:rsidRDefault="00000000" w:rsidRPr="00000000" w14:paraId="00000029">
      <w:pPr>
        <w:spacing w:after="180" w:lineRule="auto"/>
        <w:ind w:left="900" w:hanging="440"/>
        <w:contextualSpacing w:val="0"/>
        <w:rPr>
          <w:color w:val="222222"/>
          <w:sz w:val="21"/>
          <w:szCs w:val="21"/>
          <w:highlight w:val="white"/>
        </w:rPr>
      </w:pPr>
      <w:r w:rsidDel="00000000" w:rsidR="00000000" w:rsidRPr="00000000">
        <w:rPr>
          <w:color w:val="222222"/>
          <w:sz w:val="21"/>
          <w:szCs w:val="21"/>
          <w:highlight w:val="white"/>
          <w:rtl w:val="0"/>
        </w:rPr>
        <w:t xml:space="preserve">Strabo., Jones, H. and Sterrett, J. (1989). </w:t>
      </w:r>
      <w:r w:rsidDel="00000000" w:rsidR="00000000" w:rsidRPr="00000000">
        <w:rPr>
          <w:i w:val="1"/>
          <w:color w:val="222222"/>
          <w:sz w:val="21"/>
          <w:szCs w:val="21"/>
          <w:highlight w:val="white"/>
          <w:rtl w:val="0"/>
        </w:rPr>
        <w:t xml:space="preserve">The geography of Strabo</w:t>
      </w:r>
      <w:r w:rsidDel="00000000" w:rsidR="00000000" w:rsidRPr="00000000">
        <w:rPr>
          <w:color w:val="222222"/>
          <w:sz w:val="21"/>
          <w:szCs w:val="21"/>
          <w:highlight w:val="white"/>
          <w:rtl w:val="0"/>
        </w:rPr>
        <w:t xml:space="preserve">. Cambridge, Mass.: Harvard University Press.</w:t>
      </w:r>
    </w:p>
    <w:p w:rsidR="00000000" w:rsidDel="00000000" w:rsidP="00000000" w:rsidRDefault="00000000" w:rsidRPr="00000000" w14:paraId="0000002A">
      <w:pPr>
        <w:spacing w:after="180" w:lineRule="auto"/>
        <w:ind w:left="900" w:hanging="440"/>
        <w:contextualSpacing w:val="0"/>
        <w:rPr>
          <w:color w:val="222222"/>
          <w:sz w:val="34"/>
          <w:szCs w:val="34"/>
          <w:highlight w:val="white"/>
        </w:rPr>
      </w:pPr>
      <w:r w:rsidDel="00000000" w:rsidR="00000000" w:rsidRPr="00000000">
        <w:rPr>
          <w:color w:val="222222"/>
          <w:sz w:val="21"/>
          <w:szCs w:val="21"/>
          <w:highlight w:val="white"/>
          <w:rtl w:val="0"/>
        </w:rPr>
        <w:t xml:space="preserve">Thucydides. and Crawley, R. (2008). </w:t>
      </w:r>
      <w:r w:rsidDel="00000000" w:rsidR="00000000" w:rsidRPr="00000000">
        <w:rPr>
          <w:i w:val="1"/>
          <w:color w:val="222222"/>
          <w:sz w:val="21"/>
          <w:szCs w:val="21"/>
          <w:highlight w:val="white"/>
          <w:rtl w:val="0"/>
        </w:rPr>
        <w:t xml:space="preserve">The history of the Peloponnesian War</w:t>
      </w:r>
      <w:r w:rsidDel="00000000" w:rsidR="00000000" w:rsidRPr="00000000">
        <w:rPr>
          <w:color w:val="222222"/>
          <w:sz w:val="21"/>
          <w:szCs w:val="21"/>
          <w:highlight w:val="white"/>
          <w:rtl w:val="0"/>
        </w:rPr>
        <w:t xml:space="preserve">. [Auckland, N.Z.]: Floating Press.</w:t>
      </w:r>
      <w:r w:rsidDel="00000000" w:rsidR="00000000" w:rsidRPr="00000000">
        <w:rPr>
          <w:rtl w:val="0"/>
        </w:rPr>
      </w:r>
    </w:p>
    <w:p w:rsidR="00000000" w:rsidDel="00000000" w:rsidP="00000000" w:rsidRDefault="00000000" w:rsidRPr="00000000" w14:paraId="0000002B">
      <w:pPr>
        <w:spacing w:after="180" w:lineRule="auto"/>
        <w:ind w:left="900" w:hanging="440"/>
        <w:contextualSpacing w:val="0"/>
        <w:rPr>
          <w:color w:val="222222"/>
          <w:sz w:val="21"/>
          <w:szCs w:val="21"/>
          <w:highlight w:val="white"/>
        </w:rPr>
      </w:pPr>
      <w:r w:rsidDel="00000000" w:rsidR="00000000" w:rsidRPr="00000000">
        <w:rPr>
          <w:rtl w:val="0"/>
        </w:rPr>
      </w:r>
    </w:p>
    <w:p w:rsidR="00000000" w:rsidDel="00000000" w:rsidP="00000000" w:rsidRDefault="00000000" w:rsidRPr="00000000" w14:paraId="0000002C">
      <w:pPr>
        <w:spacing w:after="180" w:lineRule="auto"/>
        <w:ind w:left="900" w:hanging="440"/>
        <w:contextualSpacing w:val="0"/>
        <w:rPr>
          <w:color w:val="222222"/>
          <w:sz w:val="21"/>
          <w:szCs w:val="21"/>
          <w:highlight w:val="white"/>
        </w:rPr>
      </w:pPr>
      <w:r w:rsidDel="00000000" w:rsidR="00000000" w:rsidRPr="00000000">
        <w:rPr>
          <w:rtl w:val="0"/>
        </w:rPr>
      </w:r>
    </w:p>
    <w:p w:rsidR="00000000" w:rsidDel="00000000" w:rsidP="00000000" w:rsidRDefault="00000000" w:rsidRPr="00000000" w14:paraId="0000002D">
      <w:pPr>
        <w:spacing w:after="180" w:lineRule="auto"/>
        <w:ind w:left="900" w:hanging="440"/>
        <w:contextualSpacing w:val="0"/>
        <w:rPr>
          <w:color w:val="222222"/>
          <w:sz w:val="21"/>
          <w:szCs w:val="21"/>
          <w:highlight w:val="white"/>
        </w:rPr>
      </w:pPr>
      <w:r w:rsidDel="00000000" w:rsidR="00000000" w:rsidRPr="00000000">
        <w:rPr>
          <w:rtl w:val="0"/>
        </w:rPr>
      </w:r>
    </w:p>
    <w:p w:rsidR="00000000" w:rsidDel="00000000" w:rsidP="00000000" w:rsidRDefault="00000000" w:rsidRPr="00000000" w14:paraId="0000002E">
      <w:pPr>
        <w:spacing w:after="180" w:lineRule="auto"/>
        <w:ind w:left="900" w:hanging="440"/>
        <w:contextualSpacing w:val="0"/>
        <w:rPr>
          <w:color w:val="222222"/>
          <w:sz w:val="21"/>
          <w:szCs w:val="21"/>
          <w:highlight w:val="white"/>
        </w:rPr>
      </w:pPr>
      <w:r w:rsidDel="00000000" w:rsidR="00000000" w:rsidRPr="00000000">
        <w:rPr>
          <w:rtl w:val="0"/>
        </w:rPr>
      </w:r>
    </w:p>
    <w:p w:rsidR="00000000" w:rsidDel="00000000" w:rsidP="00000000" w:rsidRDefault="00000000" w:rsidRPr="00000000" w14:paraId="0000002F">
      <w:pPr>
        <w:spacing w:after="180" w:lineRule="auto"/>
        <w:ind w:left="900" w:hanging="440"/>
        <w:contextualSpacing w:val="0"/>
        <w:rPr/>
      </w:pPr>
      <w:r w:rsidDel="00000000" w:rsidR="00000000" w:rsidRPr="00000000">
        <w:rPr>
          <w:rtl w:val="0"/>
        </w:rPr>
      </w:r>
    </w:p>
    <w:p w:rsidR="00000000" w:rsidDel="00000000" w:rsidP="00000000" w:rsidRDefault="00000000" w:rsidRPr="00000000" w14:paraId="00000030">
      <w:pPr>
        <w:spacing w:after="180" w:lineRule="auto"/>
        <w:ind w:left="900" w:hanging="440"/>
        <w:contextualSpacing w:val="0"/>
        <w:rPr/>
      </w:pPr>
      <w:r w:rsidDel="00000000" w:rsidR="00000000" w:rsidRPr="00000000">
        <w:rPr>
          <w:rtl w:val="0"/>
        </w:rPr>
      </w:r>
    </w:p>
    <w:p w:rsidR="00000000" w:rsidDel="00000000" w:rsidP="00000000" w:rsidRDefault="00000000" w:rsidRPr="00000000" w14:paraId="00000031">
      <w:pPr>
        <w:spacing w:after="180" w:lineRule="auto"/>
        <w:ind w:left="900" w:hanging="440"/>
        <w:contextualSpacing w:val="0"/>
        <w:rPr>
          <w:color w:val="222222"/>
          <w:sz w:val="21"/>
          <w:szCs w:val="21"/>
          <w:highlight w:val="white"/>
        </w:rPr>
      </w:pPr>
      <w:r w:rsidDel="00000000" w:rsidR="00000000" w:rsidRPr="00000000">
        <w:rPr>
          <w:rtl w:val="0"/>
        </w:rPr>
      </w:r>
    </w:p>
    <w:p w:rsidR="00000000" w:rsidDel="00000000" w:rsidP="00000000" w:rsidRDefault="00000000" w:rsidRPr="00000000" w14:paraId="00000032">
      <w:pPr>
        <w:spacing w:after="20" w:before="60" w:lineRule="auto"/>
        <w:contextualSpacing w:val="0"/>
        <w:rPr>
          <w:sz w:val="18"/>
          <w:szCs w:val="18"/>
        </w:rPr>
      </w:pPr>
      <w:r w:rsidDel="00000000" w:rsidR="00000000" w:rsidRPr="00000000">
        <w:rPr>
          <w:rtl w:val="0"/>
        </w:rPr>
      </w:r>
    </w:p>
    <w:p w:rsidR="00000000" w:rsidDel="00000000" w:rsidP="00000000" w:rsidRDefault="00000000" w:rsidRPr="00000000" w14:paraId="00000033">
      <w:pPr>
        <w:contextualSpacing w:val="0"/>
        <w:rPr>
          <w:color w:val="222222"/>
          <w:sz w:val="19"/>
          <w:szCs w:val="19"/>
          <w:highlight w:val="white"/>
        </w:rPr>
      </w:pP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1">
    <w:p w:rsidR="00000000" w:rsidDel="00000000" w:rsidP="00000000" w:rsidRDefault="00000000" w:rsidRPr="00000000" w14:paraId="00000034">
      <w:pPr>
        <w:spacing w:line="240" w:lineRule="auto"/>
        <w:contextualSpacing w:val="0"/>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The exact for Philip’s assassination is largely unknown, which several sources reporting different reasons for the kings killing. Later sources would claim that it was due to the assassin being a lover of Philip who had grown jealous when he had begun to lose the kings affection [</w:t>
      </w:r>
      <w:r w:rsidDel="00000000" w:rsidR="00000000" w:rsidRPr="00000000">
        <w:rPr>
          <w:i w:val="1"/>
          <w:sz w:val="18"/>
          <w:szCs w:val="18"/>
          <w:rtl w:val="0"/>
        </w:rPr>
        <w:t xml:space="preserve">Diodorus Siculus. The Library of History. 16. 91-95</w:t>
      </w:r>
      <w:r w:rsidDel="00000000" w:rsidR="00000000" w:rsidRPr="00000000">
        <w:rPr>
          <w:sz w:val="18"/>
          <w:szCs w:val="18"/>
          <w:rtl w:val="0"/>
        </w:rPr>
        <w:t xml:space="preserve">]. Other sources would go on to claim that Alexander himself, and his mother were in some way privy to the assassination attempt. [</w:t>
      </w:r>
      <w:r w:rsidDel="00000000" w:rsidR="00000000" w:rsidRPr="00000000">
        <w:rPr>
          <w:i w:val="1"/>
          <w:sz w:val="18"/>
          <w:szCs w:val="18"/>
          <w:rtl w:val="0"/>
        </w:rPr>
        <w:t xml:space="preserve">Justin.9.7</w:t>
      </w:r>
      <w:r w:rsidDel="00000000" w:rsidR="00000000" w:rsidRPr="00000000">
        <w:rPr>
          <w:sz w:val="18"/>
          <w:szCs w:val="18"/>
          <w:rtl w:val="0"/>
        </w:rPr>
        <w:t xml:space="preserve">]</w:t>
      </w:r>
    </w:p>
  </w:footnote>
  <w:footnote w:id="3">
    <w:p w:rsidR="00000000" w:rsidDel="00000000" w:rsidP="00000000" w:rsidRDefault="00000000" w:rsidRPr="00000000" w14:paraId="00000035">
      <w:pPr>
        <w:spacing w:line="240" w:lineRule="auto"/>
        <w:contextualSpacing w:val="0"/>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i w:val="1"/>
          <w:sz w:val="18"/>
          <w:szCs w:val="18"/>
          <w:rtl w:val="0"/>
        </w:rPr>
        <w:t xml:space="preserve">Coogan</w:t>
      </w:r>
      <w:r w:rsidDel="00000000" w:rsidR="00000000" w:rsidRPr="00000000">
        <w:rPr>
          <w:sz w:val="18"/>
          <w:szCs w:val="18"/>
          <w:rtl w:val="0"/>
        </w:rPr>
        <w:t xml:space="preserve">. 350</w:t>
      </w:r>
    </w:p>
  </w:footnote>
  <w:footnote w:id="4">
    <w:p w:rsidR="00000000" w:rsidDel="00000000" w:rsidP="00000000" w:rsidRDefault="00000000" w:rsidRPr="00000000" w14:paraId="00000036">
      <w:pPr>
        <w:spacing w:line="240" w:lineRule="auto"/>
        <w:contextualSpacing w:val="0"/>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color w:val="272727"/>
          <w:sz w:val="18"/>
          <w:szCs w:val="18"/>
          <w:highlight w:val="white"/>
          <w:rtl w:val="0"/>
        </w:rPr>
        <w:t xml:space="preserve">2 Kings 24:13-20 NIV</w:t>
      </w:r>
      <w:r w:rsidDel="00000000" w:rsidR="00000000" w:rsidRPr="00000000">
        <w:rPr>
          <w:rtl w:val="0"/>
        </w:rPr>
      </w:r>
    </w:p>
  </w:footnote>
  <w:footnote w:id="5">
    <w:p w:rsidR="00000000" w:rsidDel="00000000" w:rsidP="00000000" w:rsidRDefault="00000000" w:rsidRPr="00000000" w14:paraId="00000037">
      <w:pPr>
        <w:spacing w:line="240" w:lineRule="auto"/>
        <w:contextualSpacing w:val="0"/>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Copper Mining in Cyprus</w:t>
      </w:r>
    </w:p>
  </w:footnote>
  <w:footnote w:id="6">
    <w:p w:rsidR="00000000" w:rsidDel="00000000" w:rsidP="00000000" w:rsidRDefault="00000000" w:rsidRPr="00000000" w14:paraId="00000038">
      <w:pPr>
        <w:spacing w:line="240" w:lineRule="auto"/>
        <w:contextualSpacing w:val="0"/>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i w:val="1"/>
          <w:sz w:val="18"/>
          <w:szCs w:val="18"/>
          <w:rtl w:val="0"/>
        </w:rPr>
        <w:t xml:space="preserve">Strabo</w:t>
      </w:r>
      <w:r w:rsidDel="00000000" w:rsidR="00000000" w:rsidRPr="00000000">
        <w:rPr>
          <w:sz w:val="18"/>
          <w:szCs w:val="18"/>
          <w:rtl w:val="0"/>
        </w:rPr>
        <w:t xml:space="preserve">. 3. 5. 11</w:t>
      </w:r>
    </w:p>
  </w:footnote>
  <w:footnote w:id="9">
    <w:p w:rsidR="00000000" w:rsidDel="00000000" w:rsidP="00000000" w:rsidRDefault="00000000" w:rsidRPr="00000000" w14:paraId="00000039">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Thucydides </w:t>
      </w:r>
      <w:r w:rsidDel="00000000" w:rsidR="00000000" w:rsidRPr="00000000">
        <w:rPr>
          <w:sz w:val="20"/>
          <w:szCs w:val="20"/>
          <w:rtl w:val="0"/>
        </w:rPr>
        <w:t xml:space="preserve">1. 117</w:t>
      </w:r>
    </w:p>
  </w:footnote>
  <w:footnote w:id="2">
    <w:p w:rsidR="00000000" w:rsidDel="00000000" w:rsidP="00000000" w:rsidRDefault="00000000" w:rsidRPr="00000000" w14:paraId="0000003A">
      <w:pPr>
        <w:spacing w:line="240" w:lineRule="auto"/>
        <w:contextualSpacing w:val="0"/>
        <w:rPr>
          <w:i w:val="1"/>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i w:val="1"/>
          <w:sz w:val="18"/>
          <w:szCs w:val="18"/>
          <w:rtl w:val="0"/>
        </w:rPr>
        <w:t xml:space="preserve">Gergel</w:t>
      </w:r>
    </w:p>
  </w:footnote>
  <w:footnote w:id="7">
    <w:p w:rsidR="00000000" w:rsidDel="00000000" w:rsidP="00000000" w:rsidRDefault="00000000" w:rsidRPr="00000000" w14:paraId="0000003B">
      <w:pPr>
        <w:spacing w:line="240" w:lineRule="auto"/>
        <w:contextualSpacing w:val="0"/>
        <w:rPr>
          <w:i w:val="1"/>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i w:val="1"/>
          <w:sz w:val="18"/>
          <w:szCs w:val="18"/>
          <w:rtl w:val="0"/>
        </w:rPr>
        <w:t xml:space="preserve">Butler</w:t>
      </w:r>
    </w:p>
  </w:footnote>
  <w:footnote w:id="8">
    <w:p w:rsidR="00000000" w:rsidDel="00000000" w:rsidP="00000000" w:rsidRDefault="00000000" w:rsidRPr="00000000" w14:paraId="0000003C">
      <w:pPr>
        <w:spacing w:line="240" w:lineRule="auto"/>
        <w:contextualSpacing w:val="0"/>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i w:val="1"/>
          <w:sz w:val="18"/>
          <w:szCs w:val="18"/>
          <w:rtl w:val="0"/>
        </w:rPr>
        <w:t xml:space="preserve">Leasor</w:t>
      </w:r>
      <w:r w:rsidDel="00000000" w:rsidR="00000000" w:rsidRPr="00000000">
        <w:rPr>
          <w:sz w:val="18"/>
          <w:szCs w:val="18"/>
          <w:rtl w:val="0"/>
        </w:rPr>
        <w:t xml:space="preserve">. 103</w:t>
      </w:r>
    </w:p>
  </w:footnote>
  <w:footnote w:id="0">
    <w:p w:rsidR="00000000" w:rsidDel="00000000" w:rsidP="00000000" w:rsidRDefault="00000000" w:rsidRPr="00000000" w14:paraId="0000003D">
      <w:pPr>
        <w:spacing w:line="240" w:lineRule="auto"/>
        <w:contextualSpacing w:val="0"/>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Sarcophagus dating from the time, have inscriptions that refer to those inside as both the rulers of Phoenicia, and as high-priests.</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