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1C6E64B3" w:rsidR="00E611D9" w:rsidRDefault="00E611D9" w:rsidP="00E611D9">
      <w:pPr>
        <w:pStyle w:val="AssignBody"/>
      </w:pPr>
    </w:p>
    <w:tbl>
      <w:tblPr>
        <w:tblStyle w:val="TableGrid"/>
        <w:tblW w:w="11199" w:type="dxa"/>
        <w:tblInd w:w="-856" w:type="dxa"/>
        <w:tblLook w:val="04A0" w:firstRow="1" w:lastRow="0" w:firstColumn="1" w:lastColumn="0" w:noHBand="0" w:noVBand="1"/>
      </w:tblPr>
      <w:tblGrid>
        <w:gridCol w:w="1611"/>
        <w:gridCol w:w="4699"/>
        <w:gridCol w:w="4889"/>
      </w:tblGrid>
      <w:tr w:rsidR="00AD4EBD" w14:paraId="706C5A24" w14:textId="09F3EA57" w:rsidTr="00203086">
        <w:tc>
          <w:tcPr>
            <w:tcW w:w="1418" w:type="dxa"/>
          </w:tcPr>
          <w:p w14:paraId="28E17A5A" w14:textId="77777777" w:rsidR="00AD4EBD" w:rsidRDefault="00AD4EBD" w:rsidP="00AE1A4C">
            <w:pPr>
              <w:pStyle w:val="AssignBody"/>
            </w:pPr>
          </w:p>
        </w:tc>
        <w:tc>
          <w:tcPr>
            <w:tcW w:w="4807" w:type="dxa"/>
          </w:tcPr>
          <w:p w14:paraId="6D1F9A38" w14:textId="75E67885" w:rsidR="00AD4EBD" w:rsidRDefault="00AD4EBD" w:rsidP="00AE1A4C">
            <w:pPr>
              <w:pStyle w:val="AssignBody"/>
            </w:pPr>
            <w:proofErr w:type="spellStart"/>
            <w:r>
              <w:t>Targed</w:t>
            </w:r>
            <w:proofErr w:type="spellEnd"/>
            <w:r>
              <w:t>/target</w:t>
            </w:r>
          </w:p>
        </w:tc>
        <w:tc>
          <w:tcPr>
            <w:tcW w:w="4974"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203086">
        <w:tc>
          <w:tcPr>
            <w:tcW w:w="1418"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4807" w:type="dxa"/>
          </w:tcPr>
          <w:p w14:paraId="1A994A24" w14:textId="77777777" w:rsidR="00203086" w:rsidRDefault="00203086" w:rsidP="00203086">
            <w:r>
              <w:t>To engage with a wider range of academic literature (Estyn, current research, blogs, etc.)</w:t>
            </w:r>
          </w:p>
          <w:p w14:paraId="394C5558" w14:textId="77777777" w:rsidR="00AD4EBD" w:rsidRDefault="00AD4EBD" w:rsidP="00AE1A4C">
            <w:pPr>
              <w:pStyle w:val="AssignBody"/>
            </w:pPr>
          </w:p>
        </w:tc>
        <w:tc>
          <w:tcPr>
            <w:tcW w:w="4974" w:type="dxa"/>
          </w:tcPr>
          <w:p w14:paraId="3D96C184" w14:textId="77777777" w:rsidR="00203086" w:rsidRDefault="00203086" w:rsidP="00203086">
            <w:proofErr w:type="gramStart"/>
            <w:r>
              <w:rPr>
                <w:rFonts w:hAnsi="Symbol"/>
              </w:rPr>
              <w:t></w:t>
            </w:r>
            <w:r>
              <w:t xml:space="preserve">  Incorporated</w:t>
            </w:r>
            <w:proofErr w:type="gramEnd"/>
            <w:r>
              <w:t xml:space="preserve"> </w:t>
            </w:r>
            <w:r>
              <w:rPr>
                <w:rStyle w:val="Strong"/>
              </w:rPr>
              <w:t>Estyn reports, Welsh Government guidance, and Ofsted frameworks</w:t>
            </w:r>
            <w:r>
              <w:t xml:space="preserve"> to align with current educational policy.</w:t>
            </w:r>
          </w:p>
          <w:p w14:paraId="5B8AC409" w14:textId="77777777" w:rsidR="00203086" w:rsidRDefault="00203086" w:rsidP="00203086">
            <w:proofErr w:type="gramStart"/>
            <w:r>
              <w:rPr>
                <w:rFonts w:hAnsi="Symbol"/>
              </w:rPr>
              <w:t></w:t>
            </w:r>
            <w:r>
              <w:t xml:space="preserve">  Engaged</w:t>
            </w:r>
            <w:proofErr w:type="gramEnd"/>
            <w:r>
              <w:t xml:space="preserve"> with contemporary research on </w:t>
            </w:r>
            <w:r>
              <w:rPr>
                <w:rStyle w:val="Strong"/>
              </w:rPr>
              <w:t>oracy</w:t>
            </w:r>
            <w:r>
              <w:t xml:space="preserve"> (Mercer &amp; Littleton, Alexander, Voice 21) and </w:t>
            </w:r>
            <w:r>
              <w:rPr>
                <w:rStyle w:val="Strong"/>
              </w:rPr>
              <w:t>teacher professional development</w:t>
            </w:r>
            <w:r>
              <w:t xml:space="preserve"> (</w:t>
            </w:r>
            <w:proofErr w:type="spellStart"/>
            <w:r>
              <w:t>Cordingley</w:t>
            </w:r>
            <w:proofErr w:type="spellEnd"/>
            <w:r>
              <w:t xml:space="preserve"> &amp; Higgins, Sherrington).</w:t>
            </w:r>
          </w:p>
          <w:p w14:paraId="758F7A5D" w14:textId="77777777" w:rsidR="00203086" w:rsidRDefault="00203086" w:rsidP="00203086">
            <w:proofErr w:type="gramStart"/>
            <w:r>
              <w:rPr>
                <w:rFonts w:hAnsi="Symbol"/>
              </w:rPr>
              <w:t></w:t>
            </w:r>
            <w:r>
              <w:t xml:space="preserve">  Included</w:t>
            </w:r>
            <w:proofErr w:type="gramEnd"/>
            <w:r>
              <w:t xml:space="preserve"> reports from the </w:t>
            </w:r>
            <w:r>
              <w:rPr>
                <w:rStyle w:val="Strong"/>
              </w:rPr>
              <w:t>National Literacy Trust</w:t>
            </w:r>
            <w:r>
              <w:t xml:space="preserve"> and discussions on </w:t>
            </w:r>
            <w:r>
              <w:rPr>
                <w:rStyle w:val="Strong"/>
              </w:rPr>
              <w:t>socioeconomic disparities</w:t>
            </w:r>
            <w:r>
              <w:t xml:space="preserve"> to ensure a diverse range of sources beyond traditional academic texts.</w:t>
            </w:r>
          </w:p>
          <w:p w14:paraId="5F7F611A" w14:textId="77777777" w:rsidR="00AD4EBD" w:rsidRDefault="00AD4EBD" w:rsidP="00AE1A4C">
            <w:pPr>
              <w:pStyle w:val="AssignBody"/>
            </w:pPr>
          </w:p>
        </w:tc>
      </w:tr>
      <w:tr w:rsidR="00AD4EBD" w14:paraId="73A65764" w14:textId="34BD1589" w:rsidTr="00203086">
        <w:tc>
          <w:tcPr>
            <w:tcW w:w="1418" w:type="dxa"/>
          </w:tcPr>
          <w:p w14:paraId="12A42483" w14:textId="77777777" w:rsidR="00AD4EBD" w:rsidRDefault="00AD4EBD" w:rsidP="00AE1A4C">
            <w:pPr>
              <w:pStyle w:val="AssignBody"/>
            </w:pPr>
            <w:proofErr w:type="spellStart"/>
            <w:r>
              <w:t>Targed</w:t>
            </w:r>
            <w:proofErr w:type="spellEnd"/>
            <w:r>
              <w:t>/Target 2</w:t>
            </w:r>
          </w:p>
        </w:tc>
        <w:tc>
          <w:tcPr>
            <w:tcW w:w="4807" w:type="dxa"/>
          </w:tcPr>
          <w:p w14:paraId="229C990C" w14:textId="77777777" w:rsidR="00203086" w:rsidRDefault="00203086" w:rsidP="00203086">
            <w:r>
              <w:t>Discuss topics in more depth; provide two detailed and critiqued suggestions rather than over-describing one</w:t>
            </w:r>
          </w:p>
          <w:p w14:paraId="3E19823E" w14:textId="77777777" w:rsidR="00AD4EBD" w:rsidRDefault="00AD4EBD" w:rsidP="00AE1A4C">
            <w:pPr>
              <w:pStyle w:val="AssignBody"/>
            </w:pPr>
          </w:p>
        </w:tc>
        <w:tc>
          <w:tcPr>
            <w:tcW w:w="4974" w:type="dxa"/>
          </w:tcPr>
          <w:p w14:paraId="2E8741F6" w14:textId="77777777" w:rsidR="00203086" w:rsidRDefault="00203086" w:rsidP="00203086">
            <w:proofErr w:type="gramStart"/>
            <w:r>
              <w:rPr>
                <w:rFonts w:hAnsi="Symbol"/>
              </w:rPr>
              <w:t></w:t>
            </w:r>
            <w:r>
              <w:t xml:space="preserve">  Avoided</w:t>
            </w:r>
            <w:proofErr w:type="gramEnd"/>
            <w:r>
              <w:t xml:space="preserve"> focusing on a single aspect by critically evaluating </w:t>
            </w:r>
            <w:r>
              <w:rPr>
                <w:rStyle w:val="Strong"/>
              </w:rPr>
              <w:t>both strengths and challenges</w:t>
            </w:r>
            <w:r>
              <w:t xml:space="preserve"> of oracy initiatives like </w:t>
            </w:r>
            <w:r>
              <w:rPr>
                <w:rStyle w:val="Emphasis"/>
              </w:rPr>
              <w:t>Voice 21</w:t>
            </w:r>
            <w:r>
              <w:t xml:space="preserve"> and </w:t>
            </w:r>
            <w:r>
              <w:rPr>
                <w:rStyle w:val="Strong"/>
              </w:rPr>
              <w:t>dialogic teaching</w:t>
            </w:r>
            <w:r>
              <w:t>.</w:t>
            </w:r>
          </w:p>
          <w:p w14:paraId="15FA515D" w14:textId="77777777" w:rsidR="00203086" w:rsidRDefault="00203086" w:rsidP="00203086">
            <w:proofErr w:type="gramStart"/>
            <w:r>
              <w:rPr>
                <w:rFonts w:hAnsi="Symbol"/>
              </w:rPr>
              <w:t></w:t>
            </w:r>
            <w:r>
              <w:t xml:space="preserve">  Provided</w:t>
            </w:r>
            <w:proofErr w:type="gramEnd"/>
            <w:r>
              <w:t xml:space="preserve"> </w:t>
            </w:r>
            <w:r>
              <w:rPr>
                <w:rStyle w:val="Strong"/>
              </w:rPr>
              <w:t>two well-argued and critiqued suggestions</w:t>
            </w:r>
            <w:r>
              <w:t>:</w:t>
            </w:r>
          </w:p>
          <w:p w14:paraId="3F100BD7" w14:textId="77777777" w:rsidR="00203086" w:rsidRDefault="00203086" w:rsidP="00203086">
            <w:pPr>
              <w:numPr>
                <w:ilvl w:val="0"/>
                <w:numId w:val="1"/>
              </w:numPr>
              <w:spacing w:before="100" w:beforeAutospacing="1" w:after="100" w:afterAutospacing="1"/>
            </w:pPr>
            <w:r>
              <w:rPr>
                <w:rStyle w:val="Strong"/>
              </w:rPr>
              <w:t>Structured teacher training</w:t>
            </w:r>
            <w:r>
              <w:t xml:space="preserve"> to effectively embed oracy across different school contexts.</w:t>
            </w:r>
          </w:p>
          <w:p w14:paraId="65A313A4" w14:textId="77777777" w:rsidR="00203086" w:rsidRDefault="00203086" w:rsidP="00203086">
            <w:pPr>
              <w:numPr>
                <w:ilvl w:val="0"/>
                <w:numId w:val="1"/>
              </w:numPr>
              <w:spacing w:before="100" w:beforeAutospacing="1" w:after="100" w:afterAutospacing="1"/>
            </w:pPr>
            <w:r>
              <w:rPr>
                <w:rStyle w:val="Strong"/>
              </w:rPr>
              <w:t>Policy alignment and funding</w:t>
            </w:r>
            <w:r>
              <w:t xml:space="preserve"> to prevent oracy initiatives from widening the attainment gap for disadvantaged students.</w:t>
            </w:r>
          </w:p>
          <w:p w14:paraId="3C3560EE" w14:textId="77777777" w:rsidR="00203086" w:rsidRDefault="00203086" w:rsidP="00203086">
            <w:proofErr w:type="gramStart"/>
            <w:r>
              <w:rPr>
                <w:rFonts w:hAnsi="Symbol"/>
              </w:rPr>
              <w:t></w:t>
            </w:r>
            <w:r>
              <w:t xml:space="preserve">  Supported</w:t>
            </w:r>
            <w:proofErr w:type="gramEnd"/>
            <w:r>
              <w:t xml:space="preserve"> these critiques with evidence from </w:t>
            </w:r>
            <w:r>
              <w:rPr>
                <w:rStyle w:val="Strong"/>
              </w:rPr>
              <w:t>academic and policy sources</w:t>
            </w:r>
            <w:r>
              <w:t>, ensuring depth and critical engagement.</w:t>
            </w:r>
          </w:p>
          <w:p w14:paraId="54F0029C" w14:textId="77777777" w:rsidR="00AD4EBD" w:rsidRDefault="00AD4EBD" w:rsidP="00AE1A4C">
            <w:pPr>
              <w:pStyle w:val="AssignBody"/>
            </w:pPr>
          </w:p>
        </w:tc>
      </w:tr>
      <w:tr w:rsidR="00AD4EBD" w14:paraId="0216786F" w14:textId="16A0EC59" w:rsidTr="00203086">
        <w:tc>
          <w:tcPr>
            <w:tcW w:w="1418" w:type="dxa"/>
          </w:tcPr>
          <w:p w14:paraId="4F73937C" w14:textId="77777777" w:rsidR="00AD4EBD" w:rsidRDefault="00AD4EBD" w:rsidP="00AE1A4C">
            <w:pPr>
              <w:pStyle w:val="AssignBody"/>
            </w:pPr>
            <w:proofErr w:type="spellStart"/>
            <w:r>
              <w:t>Targed</w:t>
            </w:r>
            <w:proofErr w:type="spellEnd"/>
            <w:r>
              <w:t>/Target 3</w:t>
            </w:r>
          </w:p>
        </w:tc>
        <w:tc>
          <w:tcPr>
            <w:tcW w:w="4807" w:type="dxa"/>
          </w:tcPr>
          <w:p w14:paraId="03FABCFE" w14:textId="77777777" w:rsidR="00203086" w:rsidRDefault="00203086" w:rsidP="00203086">
            <w:pPr>
              <w:pStyle w:val="Heading4"/>
            </w:pPr>
            <w:r>
              <w:rPr>
                <w:rStyle w:val="Strong"/>
                <w:b/>
                <w:bCs/>
              </w:rPr>
              <w:t>Use essential reading to support writing (Tripp and BERA)</w:t>
            </w:r>
          </w:p>
          <w:p w14:paraId="45310C27" w14:textId="77777777" w:rsidR="00203086" w:rsidRDefault="00203086" w:rsidP="00203086">
            <w:pPr>
              <w:spacing w:before="100" w:beforeAutospacing="1" w:after="100" w:afterAutospacing="1"/>
              <w:ind w:left="720"/>
            </w:pPr>
          </w:p>
          <w:p w14:paraId="1FEDD524" w14:textId="77777777" w:rsidR="00AD4EBD" w:rsidRDefault="00AD4EBD" w:rsidP="00AE1A4C">
            <w:pPr>
              <w:pStyle w:val="AssignBody"/>
            </w:pPr>
          </w:p>
        </w:tc>
        <w:tc>
          <w:tcPr>
            <w:tcW w:w="4974" w:type="dxa"/>
          </w:tcPr>
          <w:p w14:paraId="075B3E0F" w14:textId="77777777" w:rsidR="00203086" w:rsidRDefault="00203086" w:rsidP="00203086">
            <w:pPr>
              <w:numPr>
                <w:ilvl w:val="0"/>
                <w:numId w:val="3"/>
              </w:numPr>
              <w:spacing w:before="100" w:beforeAutospacing="1" w:after="100" w:afterAutospacing="1"/>
            </w:pPr>
            <w:r>
              <w:t xml:space="preserve">Applied </w:t>
            </w:r>
            <w:r>
              <w:rPr>
                <w:rStyle w:val="Strong"/>
              </w:rPr>
              <w:t>Tripp’s (1993) critical incidents</w:t>
            </w:r>
            <w:r>
              <w:t xml:space="preserve"> framework to reflect on oracy implementation and its impact on teaching and learning.</w:t>
            </w:r>
          </w:p>
          <w:p w14:paraId="526868D1" w14:textId="77777777" w:rsidR="00203086" w:rsidRDefault="00203086" w:rsidP="00203086">
            <w:pPr>
              <w:numPr>
                <w:ilvl w:val="0"/>
                <w:numId w:val="3"/>
              </w:numPr>
              <w:spacing w:before="100" w:beforeAutospacing="1" w:after="100" w:afterAutospacing="1"/>
            </w:pPr>
            <w:r>
              <w:t xml:space="preserve">Integrated </w:t>
            </w:r>
            <w:r>
              <w:rPr>
                <w:rStyle w:val="Strong"/>
              </w:rPr>
              <w:t>BERA (2018) ethical guidelines</w:t>
            </w:r>
            <w:r>
              <w:t xml:space="preserve">, particularly focusing on </w:t>
            </w:r>
            <w:r>
              <w:rPr>
                <w:rStyle w:val="Strong"/>
              </w:rPr>
              <w:t>inclusivity, accessibility, and teacher workload</w:t>
            </w:r>
            <w:r>
              <w:t xml:space="preserve"> in research and policy discussions on oracy.</w:t>
            </w:r>
          </w:p>
          <w:p w14:paraId="0A89E994" w14:textId="77777777" w:rsidR="00203086" w:rsidRDefault="00203086" w:rsidP="00203086">
            <w:pPr>
              <w:numPr>
                <w:ilvl w:val="0"/>
                <w:numId w:val="3"/>
              </w:numPr>
              <w:spacing w:before="100" w:beforeAutospacing="1" w:after="100" w:afterAutospacing="1"/>
            </w:pPr>
            <w:r>
              <w:t xml:space="preserve">Strengthened the theoretical foundation by grounding arguments in </w:t>
            </w:r>
            <w:r>
              <w:rPr>
                <w:rStyle w:val="Strong"/>
              </w:rPr>
              <w:t>key educational literature</w:t>
            </w:r>
            <w:r>
              <w:t>.</w:t>
            </w:r>
          </w:p>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4915B7CE" w14:textId="77777777" w:rsidR="0013215E" w:rsidRDefault="0013215E" w:rsidP="00B44847">
      <w:pPr>
        <w:pStyle w:val="AssignHeader"/>
      </w:pPr>
    </w:p>
    <w:p w14:paraId="0086B3D9" w14:textId="56701B4A" w:rsidR="0013215E" w:rsidRPr="0013215E" w:rsidRDefault="0013215E" w:rsidP="0013215E">
      <w:pPr>
        <w:rPr>
          <w:b/>
          <w:bCs/>
          <w:sz w:val="32"/>
          <w:szCs w:val="32"/>
          <w:u w:val="single"/>
        </w:rPr>
      </w:pPr>
      <w:r w:rsidRPr="00E243A8">
        <w:rPr>
          <w:b/>
          <w:bCs/>
          <w:sz w:val="32"/>
          <w:szCs w:val="32"/>
          <w:u w:val="single"/>
        </w:rPr>
        <w:t>AI Acknowledgement</w:t>
      </w:r>
    </w:p>
    <w:p w14:paraId="5EC9E9D3" w14:textId="7A92FDED" w:rsidR="0013215E" w:rsidRPr="0013215E" w:rsidRDefault="0013215E" w:rsidP="0013215E">
      <w:pPr>
        <w:rPr>
          <w:rFonts w:ascii="Arial" w:hAnsi="Arial" w:cs="Arial"/>
          <w:sz w:val="28"/>
          <w:szCs w:val="28"/>
        </w:rPr>
      </w:pPr>
      <w:r w:rsidRPr="0013215E">
        <w:rPr>
          <w:rFonts w:ascii="Arial" w:hAnsi="Arial" w:cs="Arial"/>
          <w:sz w:val="28"/>
          <w:szCs w:val="28"/>
        </w:rPr>
        <w:t xml:space="preserve">I acknowledge the use of Grammarly (https://www.grammarly.com/) on </w:t>
      </w:r>
      <w:r w:rsidRPr="0013215E">
        <w:rPr>
          <w:rFonts w:ascii="Arial" w:hAnsi="Arial" w:cs="Arial"/>
          <w:sz w:val="28"/>
          <w:szCs w:val="28"/>
        </w:rPr>
        <w:t>26</w:t>
      </w:r>
      <w:r w:rsidRPr="0013215E">
        <w:rPr>
          <w:rFonts w:ascii="Arial" w:hAnsi="Arial" w:cs="Arial"/>
          <w:sz w:val="28"/>
          <w:szCs w:val="28"/>
          <w:vertAlign w:val="superscript"/>
        </w:rPr>
        <w:t>th</w:t>
      </w:r>
      <w:r w:rsidRPr="0013215E">
        <w:rPr>
          <w:rFonts w:ascii="Arial" w:hAnsi="Arial" w:cs="Arial"/>
          <w:sz w:val="28"/>
          <w:szCs w:val="28"/>
        </w:rPr>
        <w:t xml:space="preserve"> </w:t>
      </w:r>
      <w:r w:rsidRPr="0013215E">
        <w:rPr>
          <w:rFonts w:ascii="Arial" w:hAnsi="Arial" w:cs="Arial"/>
          <w:sz w:val="28"/>
          <w:szCs w:val="28"/>
        </w:rPr>
        <w:t xml:space="preserve">February </w:t>
      </w:r>
      <w:r w:rsidRPr="0013215E">
        <w:rPr>
          <w:rFonts w:ascii="Arial" w:hAnsi="Arial" w:cs="Arial"/>
          <w:sz w:val="28"/>
          <w:szCs w:val="28"/>
        </w:rPr>
        <w:t>2025 to</w:t>
      </w:r>
      <w:r w:rsidRPr="0013215E">
        <w:rPr>
          <w:rFonts w:ascii="Arial" w:hAnsi="Arial" w:cs="Arial"/>
          <w:sz w:val="28"/>
          <w:szCs w:val="28"/>
        </w:rPr>
        <w:t xml:space="preserve"> check my work using the prompt(s): </w:t>
      </w:r>
    </w:p>
    <w:p w14:paraId="031C2E6E" w14:textId="450E0CA9" w:rsidR="0013215E" w:rsidRPr="0013215E" w:rsidRDefault="0013215E" w:rsidP="0013215E">
      <w:pPr>
        <w:rPr>
          <w:rFonts w:ascii="Arial" w:hAnsi="Arial" w:cs="Arial"/>
          <w:sz w:val="28"/>
          <w:szCs w:val="28"/>
        </w:rPr>
      </w:pPr>
      <w:r w:rsidRPr="0013215E">
        <w:rPr>
          <w:rFonts w:ascii="Arial" w:hAnsi="Arial" w:cs="Arial"/>
          <w:sz w:val="28"/>
          <w:szCs w:val="28"/>
        </w:rPr>
        <w:t xml:space="preserve">1. Please check the following text for </w:t>
      </w:r>
      <w:r w:rsidRPr="0013215E">
        <w:rPr>
          <w:rFonts w:ascii="Arial" w:hAnsi="Arial" w:cs="Arial"/>
          <w:sz w:val="28"/>
          <w:szCs w:val="28"/>
        </w:rPr>
        <w:t xml:space="preserve">grammar and academic style </w:t>
      </w:r>
    </w:p>
    <w:p w14:paraId="6B2DDF37" w14:textId="77777777" w:rsidR="0013215E" w:rsidRPr="0013215E" w:rsidRDefault="0013215E" w:rsidP="0013215E">
      <w:pPr>
        <w:rPr>
          <w:rFonts w:ascii="Arial" w:hAnsi="Arial" w:cs="Arial"/>
          <w:sz w:val="28"/>
          <w:szCs w:val="28"/>
        </w:rPr>
      </w:pPr>
      <w:r w:rsidRPr="0013215E">
        <w:rPr>
          <w:rFonts w:ascii="Arial" w:hAnsi="Arial" w:cs="Arial"/>
          <w:sz w:val="28"/>
          <w:szCs w:val="28"/>
        </w:rPr>
        <w:t xml:space="preserve">I confirm that I have not presented any AI generated text as my own work. I confirm that I have copies of my drafts, notes, and other resources I used before, and after the use of AI tools which I may be asked to provide in evidence. </w:t>
      </w:r>
    </w:p>
    <w:p w14:paraId="407885A3" w14:textId="05022822" w:rsidR="0013215E" w:rsidRPr="0013215E" w:rsidRDefault="0013215E" w:rsidP="0013215E">
      <w:pPr>
        <w:spacing w:before="100" w:beforeAutospacing="1" w:after="100" w:afterAutospacing="1" w:line="240" w:lineRule="auto"/>
        <w:rPr>
          <w:rFonts w:ascii="Arial" w:eastAsia="Times New Roman" w:hAnsi="Arial" w:cs="Arial"/>
          <w:sz w:val="28"/>
          <w:szCs w:val="28"/>
          <w:lang w:eastAsia="en-GB"/>
        </w:rPr>
      </w:pPr>
      <w:r w:rsidRPr="0013215E">
        <w:rPr>
          <w:rFonts w:ascii="Arial" w:eastAsia="Times New Roman" w:hAnsi="Arial" w:cs="Arial"/>
          <w:sz w:val="28"/>
          <w:szCs w:val="28"/>
          <w:lang w:eastAsia="en-GB"/>
        </w:rPr>
        <w:t xml:space="preserve">I acknowledge the use of, </w:t>
      </w:r>
      <w:proofErr w:type="spellStart"/>
      <w:r w:rsidRPr="0013215E">
        <w:rPr>
          <w:rFonts w:ascii="Arial" w:eastAsia="Times New Roman" w:hAnsi="Arial" w:cs="Arial"/>
          <w:sz w:val="28"/>
          <w:szCs w:val="28"/>
          <w:lang w:eastAsia="en-GB"/>
        </w:rPr>
        <w:t>SciSpace</w:t>
      </w:r>
      <w:proofErr w:type="spellEnd"/>
      <w:r w:rsidRPr="0013215E">
        <w:rPr>
          <w:rFonts w:ascii="Arial" w:eastAsia="Times New Roman" w:hAnsi="Arial" w:cs="Arial"/>
          <w:sz w:val="28"/>
          <w:szCs w:val="28"/>
          <w:lang w:eastAsia="en-GB"/>
        </w:rPr>
        <w:t xml:space="preserve"> </w:t>
      </w:r>
      <w:r w:rsidRPr="0013215E">
        <w:rPr>
          <w:rFonts w:ascii="Arial" w:eastAsia="Times New Roman" w:hAnsi="Arial" w:cs="Arial"/>
          <w:sz w:val="28"/>
          <w:szCs w:val="28"/>
          <w:lang w:eastAsia="en-GB"/>
        </w:rPr>
        <w:t xml:space="preserve">on </w:t>
      </w:r>
      <w:r w:rsidRPr="0013215E">
        <w:rPr>
          <w:rFonts w:ascii="Arial" w:eastAsia="Times New Roman" w:hAnsi="Arial" w:cs="Arial"/>
          <w:sz w:val="28"/>
          <w:szCs w:val="28"/>
          <w:lang w:eastAsia="en-GB"/>
        </w:rPr>
        <w:t>10</w:t>
      </w:r>
      <w:r w:rsidRPr="0013215E">
        <w:rPr>
          <w:rFonts w:ascii="Arial" w:eastAsia="Times New Roman" w:hAnsi="Arial" w:cs="Arial"/>
          <w:sz w:val="28"/>
          <w:szCs w:val="28"/>
          <w:vertAlign w:val="superscript"/>
          <w:lang w:eastAsia="en-GB"/>
        </w:rPr>
        <w:t>th</w:t>
      </w:r>
      <w:r w:rsidRPr="0013215E">
        <w:rPr>
          <w:rFonts w:ascii="Arial" w:eastAsia="Times New Roman" w:hAnsi="Arial" w:cs="Arial"/>
          <w:sz w:val="28"/>
          <w:szCs w:val="28"/>
          <w:lang w:eastAsia="en-GB"/>
        </w:rPr>
        <w:t xml:space="preserve"> February 2025 </w:t>
      </w:r>
      <w:r w:rsidRPr="0013215E">
        <w:rPr>
          <w:rFonts w:ascii="Arial" w:eastAsia="Times New Roman" w:hAnsi="Arial" w:cs="Arial"/>
          <w:sz w:val="28"/>
          <w:szCs w:val="28"/>
          <w:lang w:eastAsia="en-GB"/>
        </w:rPr>
        <w:t>to support my research using the prompt(s):</w:t>
      </w:r>
    </w:p>
    <w:p w14:paraId="6AAB8223" w14:textId="7F7C6D45" w:rsidR="0013215E" w:rsidRPr="0013215E" w:rsidRDefault="0013215E" w:rsidP="0013215E">
      <w:pPr>
        <w:numPr>
          <w:ilvl w:val="0"/>
          <w:numId w:val="5"/>
        </w:numPr>
        <w:spacing w:before="100" w:beforeAutospacing="1" w:after="100" w:afterAutospacing="1" w:line="240" w:lineRule="auto"/>
        <w:rPr>
          <w:rFonts w:ascii="Arial" w:eastAsia="Times New Roman" w:hAnsi="Arial" w:cs="Arial"/>
          <w:sz w:val="28"/>
          <w:szCs w:val="28"/>
          <w:lang w:eastAsia="en-GB"/>
        </w:rPr>
      </w:pPr>
      <w:r w:rsidRPr="0013215E">
        <w:rPr>
          <w:rFonts w:ascii="Arial" w:eastAsia="Times New Roman" w:hAnsi="Arial" w:cs="Arial"/>
          <w:sz w:val="28"/>
          <w:szCs w:val="28"/>
          <w:lang w:eastAsia="en-GB"/>
        </w:rPr>
        <w:t>["Provide academic sources on oracy in education."]</w:t>
      </w:r>
    </w:p>
    <w:p w14:paraId="50AC589F" w14:textId="6378E7E0" w:rsidR="0013215E" w:rsidRPr="0013215E" w:rsidRDefault="0013215E" w:rsidP="0013215E">
      <w:pPr>
        <w:numPr>
          <w:ilvl w:val="0"/>
          <w:numId w:val="5"/>
        </w:numPr>
        <w:spacing w:before="100" w:beforeAutospacing="1" w:after="100" w:afterAutospacing="1" w:line="240" w:lineRule="auto"/>
        <w:rPr>
          <w:rFonts w:ascii="Arial" w:eastAsia="Times New Roman" w:hAnsi="Arial" w:cs="Arial"/>
          <w:sz w:val="28"/>
          <w:szCs w:val="28"/>
          <w:lang w:eastAsia="en-GB"/>
        </w:rPr>
      </w:pPr>
      <w:r w:rsidRPr="0013215E">
        <w:rPr>
          <w:rFonts w:ascii="Arial" w:eastAsia="Times New Roman" w:hAnsi="Arial" w:cs="Arial"/>
          <w:sz w:val="28"/>
          <w:szCs w:val="28"/>
          <w:lang w:eastAsia="en-GB"/>
        </w:rPr>
        <w:t>["Summarize research on teacher professional development in oracy."]</w:t>
      </w:r>
    </w:p>
    <w:p w14:paraId="7ED0B8C7" w14:textId="77777777" w:rsidR="0013215E" w:rsidRPr="0013215E" w:rsidRDefault="0013215E" w:rsidP="0013215E">
      <w:pPr>
        <w:spacing w:before="100" w:beforeAutospacing="1" w:after="100" w:afterAutospacing="1" w:line="240" w:lineRule="auto"/>
        <w:rPr>
          <w:rFonts w:ascii="Arial" w:eastAsia="Times New Roman" w:hAnsi="Arial" w:cs="Arial"/>
          <w:sz w:val="28"/>
          <w:szCs w:val="28"/>
          <w:lang w:eastAsia="en-GB"/>
        </w:rPr>
      </w:pPr>
      <w:r w:rsidRPr="0013215E">
        <w:rPr>
          <w:rFonts w:ascii="Arial" w:eastAsia="Times New Roman" w:hAnsi="Arial" w:cs="Arial"/>
          <w:sz w:val="28"/>
          <w:szCs w:val="28"/>
          <w:lang w:eastAsia="en-GB"/>
        </w:rPr>
        <w:t>I confirm that I have not presented any AI-generated text as my own work. I have engaged critically with all materials provided and used AI tools solely for research and refinement purposes. I retain copies of my drafts, notes, and other resources used before and after using AI tools, which I can provide as evidence if required.</w:t>
      </w:r>
    </w:p>
    <w:p w14:paraId="174A07B3" w14:textId="4F1B20E6" w:rsidR="0013215E" w:rsidRPr="0013215E" w:rsidRDefault="0013215E" w:rsidP="0013215E">
      <w:pPr>
        <w:pStyle w:val="AssignHeader"/>
        <w:tabs>
          <w:tab w:val="left" w:pos="764"/>
        </w:tabs>
        <w:jc w:val="left"/>
        <w:rPr>
          <w:rFonts w:cs="Arial"/>
          <w:sz w:val="28"/>
          <w:szCs w:val="28"/>
        </w:rPr>
      </w:pPr>
    </w:p>
    <w:p w14:paraId="7E965FF2" w14:textId="77777777" w:rsidR="0013215E" w:rsidRDefault="0013215E" w:rsidP="00B44847">
      <w:pPr>
        <w:pStyle w:val="AssignHeader"/>
      </w:pPr>
    </w:p>
    <w:p w14:paraId="16FD47BB" w14:textId="77777777" w:rsidR="0013215E" w:rsidRDefault="0013215E" w:rsidP="00B44847">
      <w:pPr>
        <w:pStyle w:val="AssignHeader"/>
      </w:pPr>
    </w:p>
    <w:p w14:paraId="0B40384E" w14:textId="77777777" w:rsidR="0013215E" w:rsidRDefault="0013215E" w:rsidP="00B44847">
      <w:pPr>
        <w:pStyle w:val="AssignHeader"/>
      </w:pPr>
    </w:p>
    <w:p w14:paraId="1B666ABE" w14:textId="77777777" w:rsidR="0013215E" w:rsidRDefault="0013215E" w:rsidP="00B44847">
      <w:pPr>
        <w:pStyle w:val="AssignHeader"/>
      </w:pPr>
    </w:p>
    <w:p w14:paraId="4C3C8B2E" w14:textId="77777777" w:rsidR="0013215E" w:rsidRDefault="0013215E" w:rsidP="00B44847">
      <w:pPr>
        <w:pStyle w:val="AssignHeader"/>
      </w:pPr>
    </w:p>
    <w:p w14:paraId="21D84556" w14:textId="77777777" w:rsidR="0013215E" w:rsidRDefault="0013215E" w:rsidP="00B44847">
      <w:pPr>
        <w:pStyle w:val="AssignHeader"/>
      </w:pPr>
    </w:p>
    <w:p w14:paraId="7D3CB88C" w14:textId="77777777" w:rsidR="0013215E" w:rsidRDefault="0013215E" w:rsidP="00B44847">
      <w:pPr>
        <w:pStyle w:val="AssignHeader"/>
      </w:pPr>
    </w:p>
    <w:p w14:paraId="7643C118" w14:textId="00E8C791" w:rsidR="00160B95" w:rsidRDefault="00160B95" w:rsidP="00B44847">
      <w:pPr>
        <w:pStyle w:val="AssignHeader"/>
      </w:pPr>
      <w:r>
        <w:lastRenderedPageBreak/>
        <w:t xml:space="preserve">A critical Evaluation of the development of a strategic target in a </w:t>
      </w:r>
      <w:proofErr w:type="gramStart"/>
      <w:r>
        <w:t>schools</w:t>
      </w:r>
      <w:proofErr w:type="gramEnd"/>
      <w:r>
        <w:t xml:space="preserve"> development plan: action, impact and evidence based reflections.</w:t>
      </w:r>
    </w:p>
    <w:p w14:paraId="018CC98B" w14:textId="4DDEE224" w:rsidR="00160B95" w:rsidRDefault="00160B95" w:rsidP="00160B95">
      <w:pPr>
        <w:pStyle w:val="NormalWeb"/>
        <w:rPr>
          <w:rStyle w:val="Strong"/>
          <w:rFonts w:ascii="Arial" w:hAnsi="Arial" w:cs="Arial"/>
          <w:sz w:val="28"/>
          <w:szCs w:val="28"/>
        </w:rPr>
      </w:pPr>
      <w:r w:rsidRPr="00160B95">
        <w:rPr>
          <w:rStyle w:val="Strong"/>
          <w:rFonts w:ascii="Arial" w:hAnsi="Arial" w:cs="Arial"/>
          <w:sz w:val="28"/>
          <w:szCs w:val="28"/>
        </w:rPr>
        <w:t xml:space="preserve">Introduction </w:t>
      </w:r>
    </w:p>
    <w:p w14:paraId="76C3CB2F" w14:textId="77777777" w:rsidR="00160B95" w:rsidRPr="00195D43" w:rsidRDefault="00160B95" w:rsidP="00B44847">
      <w:pPr>
        <w:spacing w:line="360" w:lineRule="auto"/>
        <w:ind w:left="720"/>
        <w:rPr>
          <w:rFonts w:ascii="Arial" w:eastAsia="Times New Roman" w:hAnsi="Arial" w:cs="Arial"/>
          <w:lang w:eastAsia="en-GB"/>
        </w:rPr>
      </w:pPr>
      <w:r w:rsidRPr="00195D43">
        <w:rPr>
          <w:rFonts w:ascii="Arial" w:eastAsia="Times New Roman" w:hAnsi="Arial" w:cs="Arial"/>
          <w:lang w:eastAsia="en-GB"/>
        </w:rPr>
        <w:t>School development planning is an essential mechanism for continuous improvement in teaching and learning, ensuring alignment with national priorities and contemporary educational research (Welsh Government, 2021). This essay critically evaluates a specific action point within School A’s Development Plan (SDP) for 2024–2025, focusing on the enhancement of oracy through the Voice 21 initiative. Oracy development is widely regarded as crucial to literacy and cognitive advancement, supplying learners with the abilities required for effective communication and critical thinking (Alexander, 2020). The British Educational Research Association (BERA, 2018) stresses the ethical obligation of educators to implement evidence-based approaches, guaranteeing fair learning opportunities. As a result, improving oracy is a top priority for the school's improvement plan.</w:t>
      </w:r>
    </w:p>
    <w:p w14:paraId="5056C3FB" w14:textId="77777777" w:rsidR="00160B95" w:rsidRPr="00B44847" w:rsidRDefault="00160B95" w:rsidP="00B44847">
      <w:pPr>
        <w:spacing w:line="360" w:lineRule="auto"/>
        <w:ind w:left="720"/>
        <w:rPr>
          <w:rFonts w:ascii="Arial" w:hAnsi="Arial" w:cs="Arial"/>
        </w:rPr>
      </w:pPr>
    </w:p>
    <w:p w14:paraId="2BA96268" w14:textId="77777777" w:rsidR="00160B95" w:rsidRPr="00195D43" w:rsidRDefault="00160B95" w:rsidP="00B44847">
      <w:pPr>
        <w:spacing w:line="360" w:lineRule="auto"/>
        <w:ind w:left="720"/>
        <w:rPr>
          <w:rFonts w:ascii="Arial" w:eastAsia="Times New Roman" w:hAnsi="Arial" w:cs="Arial"/>
          <w:lang w:eastAsia="en-GB"/>
        </w:rPr>
      </w:pPr>
      <w:r w:rsidRPr="00195D43">
        <w:rPr>
          <w:rFonts w:ascii="Arial" w:eastAsia="Times New Roman" w:hAnsi="Arial" w:cs="Arial"/>
          <w:lang w:eastAsia="en-GB"/>
        </w:rPr>
        <w:t>711 students, ages 3 to 11, are enrolled in School A, located in North Cardiff. With 8.7% of students identified as having Additional Learning Needs (ALN) and 12.8% of students eligible for Free School Meals (FSM), the school largely serves a white British community. Deficiencies in students' speaking and listening skills were discovered during recent school inspections, underscoring the need for organised interventions to improve oracy. Improving participation and achievement throughout the curriculum requires addressing these issues through the Voice 21 project.</w:t>
      </w:r>
    </w:p>
    <w:p w14:paraId="1C30EAAD" w14:textId="77777777" w:rsidR="00160B95" w:rsidRPr="00B44847" w:rsidRDefault="00160B95" w:rsidP="00B44847">
      <w:pPr>
        <w:spacing w:line="360" w:lineRule="auto"/>
        <w:ind w:left="720"/>
        <w:rPr>
          <w:rFonts w:ascii="Arial" w:hAnsi="Arial" w:cs="Arial"/>
        </w:rPr>
      </w:pPr>
    </w:p>
    <w:p w14:paraId="1BA7BFD9" w14:textId="77777777" w:rsidR="00160B95" w:rsidRPr="00195D43" w:rsidRDefault="00160B95" w:rsidP="00B44847">
      <w:pPr>
        <w:spacing w:line="360" w:lineRule="auto"/>
        <w:ind w:left="720"/>
        <w:rPr>
          <w:rFonts w:ascii="Arial" w:eastAsia="Times New Roman" w:hAnsi="Arial" w:cs="Arial"/>
          <w:lang w:eastAsia="en-GB"/>
        </w:rPr>
      </w:pPr>
      <w:r w:rsidRPr="00195D43">
        <w:rPr>
          <w:rFonts w:ascii="Arial" w:eastAsia="Times New Roman" w:hAnsi="Arial" w:cs="Arial"/>
          <w:lang w:eastAsia="en-GB"/>
        </w:rPr>
        <w:t xml:space="preserve">This essay is divided into a number of important sections. The first part presents a literature review, outlining theoretical perspectives on school development planning and oracy, while also examining relevant policy frameworks and educational research. The implementation method used by School A to accomplish its oracy development objectives is further examined in the second section. A critical assessment of the initiative's effects, highlighting its advantages and disadvantages, </w:t>
      </w:r>
      <w:r w:rsidRPr="00195D43">
        <w:rPr>
          <w:rFonts w:ascii="Arial" w:eastAsia="Times New Roman" w:hAnsi="Arial" w:cs="Arial"/>
          <w:lang w:eastAsia="en-GB"/>
        </w:rPr>
        <w:lastRenderedPageBreak/>
        <w:t>comes next. The study ends with a thoughtful discussion and evidence-based suggestions for professional growth and future practice.</w:t>
      </w:r>
    </w:p>
    <w:p w14:paraId="0D77A8E0" w14:textId="77777777" w:rsidR="00160B95" w:rsidRPr="00B44847" w:rsidRDefault="00160B95" w:rsidP="00B44847">
      <w:pPr>
        <w:spacing w:line="360" w:lineRule="auto"/>
        <w:ind w:left="720"/>
        <w:rPr>
          <w:rFonts w:ascii="Arial" w:hAnsi="Arial" w:cs="Arial"/>
        </w:rPr>
      </w:pPr>
    </w:p>
    <w:p w14:paraId="42963FF7" w14:textId="16C1D1B1" w:rsidR="00160B95" w:rsidRPr="00B44847" w:rsidRDefault="00160B95" w:rsidP="00B44847">
      <w:pPr>
        <w:pStyle w:val="NormalWeb"/>
        <w:spacing w:line="360" w:lineRule="auto"/>
        <w:ind w:left="720"/>
        <w:rPr>
          <w:rStyle w:val="Strong"/>
          <w:rFonts w:ascii="Arial" w:hAnsi="Arial" w:cs="Arial"/>
          <w:sz w:val="28"/>
          <w:szCs w:val="28"/>
        </w:rPr>
      </w:pPr>
      <w:r w:rsidRPr="00B44847">
        <w:rPr>
          <w:rStyle w:val="Strong"/>
          <w:rFonts w:ascii="Arial" w:hAnsi="Arial" w:cs="Arial"/>
          <w:sz w:val="28"/>
          <w:szCs w:val="28"/>
        </w:rPr>
        <w:t xml:space="preserve">Literature Review </w:t>
      </w:r>
    </w:p>
    <w:p w14:paraId="1920AF1D" w14:textId="77777777" w:rsidR="00160B95" w:rsidRPr="00195D43" w:rsidRDefault="00160B95" w:rsidP="00B44847">
      <w:pPr>
        <w:spacing w:line="360" w:lineRule="auto"/>
        <w:ind w:left="720"/>
        <w:rPr>
          <w:rFonts w:ascii="Arial" w:eastAsia="Times New Roman" w:hAnsi="Arial" w:cs="Arial"/>
          <w:lang w:eastAsia="en-GB"/>
        </w:rPr>
      </w:pPr>
      <w:r w:rsidRPr="00195D43">
        <w:rPr>
          <w:rFonts w:ascii="Arial" w:eastAsia="Times New Roman" w:hAnsi="Arial" w:cs="Arial"/>
          <w:lang w:eastAsia="en-GB"/>
        </w:rPr>
        <w:t xml:space="preserve">The goal of school development planning is to improve student outcomes and educational standards through an organised, research-based process. It guarantees that educational institutions establish unambiguous priorities, conform to national policies, and implement tactical measures for ongoing enhancement (Welsh Government, 2021). Self-evaluation, </w:t>
      </w:r>
      <w:proofErr w:type="gramStart"/>
      <w:r w:rsidRPr="00195D43">
        <w:rPr>
          <w:rFonts w:ascii="Arial" w:eastAsia="Times New Roman" w:hAnsi="Arial" w:cs="Arial"/>
          <w:lang w:eastAsia="en-GB"/>
        </w:rPr>
        <w:t>goal-setting</w:t>
      </w:r>
      <w:proofErr w:type="gramEnd"/>
      <w:r w:rsidRPr="00195D43">
        <w:rPr>
          <w:rFonts w:ascii="Arial" w:eastAsia="Times New Roman" w:hAnsi="Arial" w:cs="Arial"/>
          <w:lang w:eastAsia="en-GB"/>
        </w:rPr>
        <w:t>, execution, and review are all cyclical components of effective school development planning (Harris &amp; Jones, 2017). A framework to guarantee that school priorities correspond with national educational objectives and promote uniformity in educational quality throughout the nation is outlined in the Welsh Government's School Improvement Guidance (2021).</w:t>
      </w:r>
    </w:p>
    <w:p w14:paraId="15EAB0D9" w14:textId="77777777" w:rsidR="00160B95" w:rsidRPr="00B44847" w:rsidRDefault="00160B95" w:rsidP="00B44847">
      <w:pPr>
        <w:spacing w:line="360" w:lineRule="auto"/>
        <w:ind w:left="720"/>
        <w:rPr>
          <w:rFonts w:ascii="Arial" w:hAnsi="Arial" w:cs="Arial"/>
        </w:rPr>
      </w:pPr>
    </w:p>
    <w:p w14:paraId="678F28FB" w14:textId="77777777" w:rsidR="00160B95" w:rsidRPr="00195D43" w:rsidRDefault="00160B95" w:rsidP="00B44847">
      <w:pPr>
        <w:spacing w:line="360" w:lineRule="auto"/>
        <w:ind w:left="720"/>
        <w:rPr>
          <w:rFonts w:ascii="Arial" w:eastAsia="Times New Roman" w:hAnsi="Arial" w:cs="Arial"/>
          <w:lang w:eastAsia="en-GB"/>
        </w:rPr>
      </w:pPr>
      <w:r w:rsidRPr="00195D43">
        <w:rPr>
          <w:rFonts w:ascii="Arial" w:eastAsia="Times New Roman" w:hAnsi="Arial" w:cs="Arial"/>
          <w:lang w:eastAsia="en-GB"/>
        </w:rPr>
        <w:t>The improvement of oracy skills is one of the main priorities in contemporary school development planning since it is generally acknowledged to be a prerequisite for social confidence, cognitive growth, and academic achievement (Mercer et al., 2019). Despite its importance, formal education's emphasis on literacy and numeracy has frequently eclipsed oracy development (Alexander, 2020). It is imperative to close this gap since studies indicate that systematic oracy education can greatly enhance students' critical thinking, communication, and general learning engagement (Howe et al., 2019).</w:t>
      </w:r>
    </w:p>
    <w:p w14:paraId="7A240F34" w14:textId="77777777" w:rsidR="00160B95" w:rsidRPr="00B44847" w:rsidRDefault="00160B95" w:rsidP="00B44847">
      <w:pPr>
        <w:spacing w:line="360" w:lineRule="auto"/>
        <w:ind w:left="720"/>
        <w:rPr>
          <w:rFonts w:ascii="Arial" w:hAnsi="Arial" w:cs="Arial"/>
        </w:rPr>
      </w:pPr>
    </w:p>
    <w:p w14:paraId="54683EEB" w14:textId="77777777" w:rsidR="00160B95" w:rsidRPr="004D64B8" w:rsidRDefault="00160B95" w:rsidP="00B44847">
      <w:pPr>
        <w:spacing w:line="360" w:lineRule="auto"/>
        <w:ind w:left="720"/>
        <w:rPr>
          <w:rFonts w:ascii="Arial" w:eastAsia="Times New Roman" w:hAnsi="Arial" w:cs="Arial"/>
          <w:lang w:eastAsia="en-GB"/>
        </w:rPr>
      </w:pPr>
      <w:r w:rsidRPr="004D64B8">
        <w:rPr>
          <w:rFonts w:ascii="Arial" w:eastAsia="Times New Roman" w:hAnsi="Arial" w:cs="Arial"/>
          <w:lang w:eastAsia="en-GB"/>
        </w:rPr>
        <w:t>Voice 21, an initiative aimed at integrating oracy into the curriculum, emphasises dialogic teaching methods in which students engage in structured classroom discussions to develop verbal reasoning and articulation skills (Mercer et al., 2019). The ability to express oneself fluently and coherently in spoken language is essential for success in both academic and professional settings.</w:t>
      </w:r>
    </w:p>
    <w:p w14:paraId="3E428F1E" w14:textId="77777777" w:rsidR="00160B95" w:rsidRPr="00B44847" w:rsidRDefault="00160B95" w:rsidP="00B44847">
      <w:pPr>
        <w:spacing w:line="360" w:lineRule="auto"/>
        <w:ind w:left="720"/>
        <w:rPr>
          <w:rFonts w:ascii="Arial" w:hAnsi="Arial" w:cs="Arial"/>
        </w:rPr>
      </w:pPr>
    </w:p>
    <w:p w14:paraId="1A795242" w14:textId="77777777" w:rsidR="00160B95" w:rsidRPr="004D64B8" w:rsidRDefault="00160B95" w:rsidP="00B44847">
      <w:pPr>
        <w:spacing w:line="360" w:lineRule="auto"/>
        <w:ind w:left="720"/>
        <w:rPr>
          <w:rFonts w:ascii="Arial" w:eastAsia="Times New Roman" w:hAnsi="Arial" w:cs="Arial"/>
          <w:lang w:eastAsia="en-GB"/>
        </w:rPr>
      </w:pPr>
      <w:r w:rsidRPr="004D64B8">
        <w:rPr>
          <w:rFonts w:ascii="Arial" w:eastAsia="Times New Roman" w:hAnsi="Arial" w:cs="Arial"/>
          <w:lang w:eastAsia="en-GB"/>
        </w:rPr>
        <w:t>Unlike reading and writing, which have well-defined benchmarks, speaking and listening skills are frequently taught inconsistently across schools (</w:t>
      </w:r>
      <w:proofErr w:type="spellStart"/>
      <w:r w:rsidRPr="004D64B8">
        <w:rPr>
          <w:rFonts w:ascii="Arial" w:eastAsia="Times New Roman" w:hAnsi="Arial" w:cs="Arial"/>
          <w:lang w:eastAsia="en-GB"/>
        </w:rPr>
        <w:t>Dockrell</w:t>
      </w:r>
      <w:proofErr w:type="spellEnd"/>
      <w:r w:rsidRPr="004D64B8">
        <w:rPr>
          <w:rFonts w:ascii="Arial" w:eastAsia="Times New Roman" w:hAnsi="Arial" w:cs="Arial"/>
          <w:lang w:eastAsia="en-GB"/>
        </w:rPr>
        <w:t xml:space="preserve"> &amp; </w:t>
      </w:r>
      <w:r w:rsidRPr="004D64B8">
        <w:rPr>
          <w:rFonts w:ascii="Arial" w:eastAsia="Times New Roman" w:hAnsi="Arial" w:cs="Arial"/>
          <w:lang w:eastAsia="en-GB"/>
        </w:rPr>
        <w:lastRenderedPageBreak/>
        <w:t>Marshall, 2015). This lack of consistency can result in significant disparities in students' oracy competencies, particularly among those from disadvantaged backgrounds.</w:t>
      </w:r>
    </w:p>
    <w:p w14:paraId="3B557815" w14:textId="77777777" w:rsidR="00160B95" w:rsidRPr="00B44847" w:rsidRDefault="00160B95" w:rsidP="00B44847">
      <w:pPr>
        <w:spacing w:line="360" w:lineRule="auto"/>
        <w:ind w:left="720"/>
        <w:rPr>
          <w:rFonts w:ascii="Arial" w:hAnsi="Arial" w:cs="Arial"/>
        </w:rPr>
      </w:pPr>
    </w:p>
    <w:p w14:paraId="58EC89C1"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Another problem is the variety of teacher confidence and ability in delivering oracy-focused classes. Many educators lack formal training in dialogic teaching, resulting in inconsistencies in practice (Howe et al., 2019). Professional development is thus essential for providing instructors with the skills required to foster meaningful classroom discussions. Studies have emphasised the need of incorporating oracy training into teacher preparation programs to ensure that future educators are well-prepared to properly integrate spoken language activities into their classrooms (</w:t>
      </w:r>
      <w:proofErr w:type="spellStart"/>
      <w:r w:rsidRPr="00C12494">
        <w:rPr>
          <w:rFonts w:ascii="Arial" w:eastAsia="Times New Roman" w:hAnsi="Arial" w:cs="Arial"/>
          <w:lang w:eastAsia="en-GB"/>
        </w:rPr>
        <w:t>Dockrell</w:t>
      </w:r>
      <w:proofErr w:type="spellEnd"/>
      <w:r w:rsidRPr="00C12494">
        <w:rPr>
          <w:rFonts w:ascii="Arial" w:eastAsia="Times New Roman" w:hAnsi="Arial" w:cs="Arial"/>
          <w:lang w:eastAsia="en-GB"/>
        </w:rPr>
        <w:t xml:space="preserve"> and Howell, 2015).</w:t>
      </w:r>
    </w:p>
    <w:p w14:paraId="056D9FF0" w14:textId="77777777" w:rsidR="00160B95" w:rsidRPr="00B44847" w:rsidRDefault="00160B95" w:rsidP="00B44847">
      <w:pPr>
        <w:spacing w:line="360" w:lineRule="auto"/>
        <w:ind w:left="720"/>
        <w:rPr>
          <w:rFonts w:ascii="Arial" w:hAnsi="Arial" w:cs="Arial"/>
        </w:rPr>
      </w:pPr>
    </w:p>
    <w:p w14:paraId="599D601A"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 xml:space="preserve">The socio-economic divide in oracy skills further complicates efforts to implement effective interventions. Research reveals that children from impoverished homes enter school with a </w:t>
      </w:r>
      <w:proofErr w:type="gramStart"/>
      <w:r w:rsidRPr="00C12494">
        <w:rPr>
          <w:rFonts w:ascii="Arial" w:eastAsia="Times New Roman" w:hAnsi="Arial" w:cs="Arial"/>
          <w:lang w:eastAsia="en-GB"/>
        </w:rPr>
        <w:t>much reduced</w:t>
      </w:r>
      <w:proofErr w:type="gramEnd"/>
      <w:r w:rsidRPr="00C12494">
        <w:rPr>
          <w:rFonts w:ascii="Arial" w:eastAsia="Times New Roman" w:hAnsi="Arial" w:cs="Arial"/>
          <w:lang w:eastAsia="en-GB"/>
        </w:rPr>
        <w:t xml:space="preserve"> variety of vocabulary compared to their more affluent counterparts (Hart &amp; </w:t>
      </w:r>
      <w:proofErr w:type="spellStart"/>
      <w:r w:rsidRPr="00C12494">
        <w:rPr>
          <w:rFonts w:ascii="Arial" w:eastAsia="Times New Roman" w:hAnsi="Arial" w:cs="Arial"/>
          <w:lang w:eastAsia="en-GB"/>
        </w:rPr>
        <w:t>Risley</w:t>
      </w:r>
      <w:proofErr w:type="spellEnd"/>
      <w:r w:rsidRPr="00C12494">
        <w:rPr>
          <w:rFonts w:ascii="Arial" w:eastAsia="Times New Roman" w:hAnsi="Arial" w:cs="Arial"/>
          <w:lang w:eastAsia="en-GB"/>
        </w:rPr>
        <w:t>, 2003). This vocabulary difference has long-term implications for reading comprehension, academic achievement, and social mobility. School interventions that focus on oracy can help bridge this gap by providing structured opportunity for all students to develop fundamental communication skills (</w:t>
      </w:r>
      <w:proofErr w:type="spellStart"/>
      <w:r w:rsidRPr="00C12494">
        <w:rPr>
          <w:rFonts w:ascii="Arial" w:eastAsia="Times New Roman" w:hAnsi="Arial" w:cs="Arial"/>
          <w:lang w:eastAsia="en-GB"/>
        </w:rPr>
        <w:t>Dockrell</w:t>
      </w:r>
      <w:proofErr w:type="spellEnd"/>
      <w:r w:rsidRPr="00C12494">
        <w:rPr>
          <w:rFonts w:ascii="Arial" w:eastAsia="Times New Roman" w:hAnsi="Arial" w:cs="Arial"/>
          <w:lang w:eastAsia="en-GB"/>
        </w:rPr>
        <w:t xml:space="preserve"> &amp; Marshall, 2015). Voice 21 takes an organised approach to resolving this issue, highlighting peer debate, argumentation, and reflective thinking as essential components of oracy education (Mercer et al., 2019).</w:t>
      </w:r>
    </w:p>
    <w:p w14:paraId="057C9BD7" w14:textId="77777777" w:rsidR="00160B95" w:rsidRPr="00B44847" w:rsidRDefault="00160B95" w:rsidP="00B44847">
      <w:pPr>
        <w:spacing w:line="360" w:lineRule="auto"/>
        <w:ind w:left="720"/>
        <w:rPr>
          <w:rFonts w:ascii="Arial" w:hAnsi="Arial" w:cs="Arial"/>
        </w:rPr>
      </w:pPr>
    </w:p>
    <w:p w14:paraId="18734B25"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Another rising topic in oracy research is the use of digital technologies to facilitate verbal communication. With the growing use of digital learning tools in classrooms, several educators have looked into the possibility of technology-enhanced oracy instruction. Students can rehearse and enhance their speaking skills in innovative ways using digital platforms like video recording and online discussion forums (Mercer et al., 2019). While these technologies offer excellent learning opportunities, other researchers believe that technology should supplement rather than replace in-person interactions, as human interaction is still essential for building good communication skills (Howe et al., 2019).</w:t>
      </w:r>
    </w:p>
    <w:p w14:paraId="1A167B39" w14:textId="77777777" w:rsidR="00160B95" w:rsidRPr="00B44847" w:rsidRDefault="00160B95" w:rsidP="00B44847">
      <w:pPr>
        <w:spacing w:line="360" w:lineRule="auto"/>
        <w:ind w:left="720"/>
        <w:rPr>
          <w:rFonts w:ascii="Arial" w:hAnsi="Arial" w:cs="Arial"/>
        </w:rPr>
      </w:pPr>
    </w:p>
    <w:p w14:paraId="6B81F6B2"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Despite significant theoretical support for oracy-focused therapies, determining their long-term impact remains challenging. Much of the present research focusses on short-term improvements in student engagement and literacy performance, with few longitudinal studies examining the long-term advantages of structured oracy training (</w:t>
      </w:r>
      <w:proofErr w:type="spellStart"/>
      <w:r w:rsidRPr="00C12494">
        <w:rPr>
          <w:rFonts w:ascii="Arial" w:eastAsia="Times New Roman" w:hAnsi="Arial" w:cs="Arial"/>
          <w:lang w:eastAsia="en-GB"/>
        </w:rPr>
        <w:t>Dockrell</w:t>
      </w:r>
      <w:proofErr w:type="spellEnd"/>
      <w:r w:rsidRPr="00C12494">
        <w:rPr>
          <w:rFonts w:ascii="Arial" w:eastAsia="Times New Roman" w:hAnsi="Arial" w:cs="Arial"/>
          <w:lang w:eastAsia="en-GB"/>
        </w:rPr>
        <w:t xml:space="preserve"> &amp; Marshall, 2015). Future study should look into how oracy development contributes to overall educational and career success, giving governments and educators a better evidence framework for investing in speaking and listening efforts.</w:t>
      </w:r>
    </w:p>
    <w:p w14:paraId="73E20552" w14:textId="77777777" w:rsidR="00160B95" w:rsidRPr="00B44847" w:rsidRDefault="00160B95" w:rsidP="00B44847">
      <w:pPr>
        <w:spacing w:line="360" w:lineRule="auto"/>
        <w:ind w:left="720"/>
        <w:rPr>
          <w:rFonts w:ascii="Arial" w:hAnsi="Arial" w:cs="Arial"/>
        </w:rPr>
      </w:pPr>
    </w:p>
    <w:p w14:paraId="40F301F7"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Another topic of dispute is the scalability of initiatives such as Voice 21. While case studies have shown the effectiveness of dialogic teaching in specific contexts, there is ongoing debate regarding how such tactics might be adapted for a variety of classroom settings. Class size, teacher expertise, and school resources are all factors that influence the success of oracy efforts (Alexander, 2020). Some critics believe that without systematic reforms in teacher training and curriculum design, oracy will remain a secondary priority in education policy (Mercer et al., 2019).</w:t>
      </w:r>
    </w:p>
    <w:p w14:paraId="459F3F37" w14:textId="77777777" w:rsidR="00160B95" w:rsidRPr="00B44847" w:rsidRDefault="00160B95" w:rsidP="00B44847">
      <w:pPr>
        <w:spacing w:line="360" w:lineRule="auto"/>
        <w:ind w:left="720"/>
        <w:rPr>
          <w:rFonts w:ascii="Arial" w:hAnsi="Arial" w:cs="Arial"/>
        </w:rPr>
      </w:pPr>
    </w:p>
    <w:p w14:paraId="0948FCB2"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To address these issues, schools must take a comprehensive approach to oracy development, combining spoken language instruction across disciplines while also ensuring alignment with broader literacy goals. Effective school development planning should contain clear goals for oracy abilities, professional learning opportunities for educators, and comprehensive evaluation frameworks to track progress (Welsh Government, 2021). Collaboration among schools, policymakers, and researchers can also encourage the exchange of best practices and novel techniques for incorporating oracy into the curriculum (Harris &amp; Jones, 2017).</w:t>
      </w:r>
    </w:p>
    <w:p w14:paraId="5012F8BA" w14:textId="77777777" w:rsidR="00160B95" w:rsidRPr="00B44847" w:rsidRDefault="00160B95" w:rsidP="00B44847">
      <w:pPr>
        <w:spacing w:line="360" w:lineRule="auto"/>
        <w:ind w:left="720"/>
        <w:rPr>
          <w:rFonts w:ascii="Arial" w:hAnsi="Arial" w:cs="Arial"/>
        </w:rPr>
      </w:pPr>
    </w:p>
    <w:p w14:paraId="02DCDD07"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 xml:space="preserve">In conclusion, oracy development is an important but frequently disregarded component of school improvement strategy. Although research has shown that it improves reading, cognitive skills, and student engagement, there are still obstacles in ensuring consistent application across educational settings. The Voice 21 initiative provides a promising framework for incorporating oracy into the curriculum, but its success is contingent on aspects such as teacher training, resource allocation, and long-term evaluation. Addressing socioeconomic differences in spoken language </w:t>
      </w:r>
      <w:r w:rsidRPr="00C12494">
        <w:rPr>
          <w:rFonts w:ascii="Arial" w:eastAsia="Times New Roman" w:hAnsi="Arial" w:cs="Arial"/>
          <w:lang w:eastAsia="en-GB"/>
        </w:rPr>
        <w:lastRenderedPageBreak/>
        <w:t>skills will necessitate targeted interventions and policy support that ensure all kids, regardless of background, have the opportunity to acquire excellent communication skills. Moving forward, a sustained commitment to evidence-based oracy education will be critical in closing the achievement gap and developing kids' lifetime learning skills.</w:t>
      </w:r>
    </w:p>
    <w:p w14:paraId="6E1806C5" w14:textId="77777777" w:rsidR="00160B95" w:rsidRPr="00B44847" w:rsidRDefault="00160B95" w:rsidP="00B44847">
      <w:pPr>
        <w:spacing w:line="360" w:lineRule="auto"/>
        <w:ind w:left="720"/>
        <w:rPr>
          <w:rFonts w:ascii="Arial" w:hAnsi="Arial" w:cs="Arial"/>
        </w:rPr>
      </w:pPr>
    </w:p>
    <w:p w14:paraId="2AC89A5F" w14:textId="15CE8C51" w:rsidR="00160B95" w:rsidRPr="00B44847" w:rsidRDefault="00160B95" w:rsidP="00B44847">
      <w:pPr>
        <w:pStyle w:val="NormalWeb"/>
        <w:spacing w:line="360" w:lineRule="auto"/>
        <w:ind w:left="720"/>
        <w:rPr>
          <w:rFonts w:ascii="Arial" w:hAnsi="Arial" w:cs="Arial"/>
          <w:sz w:val="28"/>
          <w:szCs w:val="28"/>
        </w:rPr>
      </w:pPr>
      <w:r w:rsidRPr="00B44847">
        <w:rPr>
          <w:rStyle w:val="Strong"/>
          <w:rFonts w:ascii="Arial" w:hAnsi="Arial" w:cs="Arial"/>
          <w:sz w:val="28"/>
          <w:szCs w:val="28"/>
        </w:rPr>
        <w:t xml:space="preserve">Developing an Action Point </w:t>
      </w:r>
    </w:p>
    <w:p w14:paraId="6CD70128" w14:textId="16780E1B" w:rsidR="00160B95" w:rsidRPr="00B44847" w:rsidRDefault="00160B95" w:rsidP="00B44847">
      <w:pPr>
        <w:spacing w:line="360" w:lineRule="auto"/>
        <w:ind w:left="720"/>
        <w:rPr>
          <w:rFonts w:ascii="Arial" w:eastAsia="Times New Roman" w:hAnsi="Arial" w:cs="Arial"/>
          <w:lang w:eastAsia="en-GB"/>
        </w:rPr>
      </w:pPr>
      <w:r w:rsidRPr="00B44847">
        <w:rPr>
          <w:rFonts w:ascii="Arial" w:hAnsi="Arial" w:cs="Arial"/>
        </w:rPr>
        <w:t xml:space="preserve">The development of oracy skills at School </w:t>
      </w:r>
      <w:r w:rsidR="00B44847" w:rsidRPr="00B44847">
        <w:rPr>
          <w:rFonts w:ascii="Arial" w:hAnsi="Arial" w:cs="Arial"/>
        </w:rPr>
        <w:t>A aligns</w:t>
      </w:r>
      <w:r w:rsidRPr="00B44847">
        <w:rPr>
          <w:rFonts w:ascii="Arial" w:hAnsi="Arial" w:cs="Arial"/>
        </w:rPr>
        <w:t xml:space="preserve"> with its broader goals of fostering independent, confident, and articulate </w:t>
      </w:r>
      <w:proofErr w:type="gramStart"/>
      <w:r w:rsidRPr="00B44847">
        <w:rPr>
          <w:rFonts w:ascii="Arial" w:hAnsi="Arial" w:cs="Arial"/>
        </w:rPr>
        <w:t>learners</w:t>
      </w:r>
      <w:r w:rsidRPr="00B44847">
        <w:rPr>
          <w:rFonts w:ascii="Arial" w:eastAsia="Times New Roman" w:hAnsi="Arial" w:cs="Arial"/>
          <w:lang w:eastAsia="en-GB"/>
        </w:rPr>
        <w:t xml:space="preserve"> .</w:t>
      </w:r>
      <w:r w:rsidRPr="00C12494">
        <w:rPr>
          <w:rFonts w:ascii="Arial" w:eastAsia="Times New Roman" w:hAnsi="Arial" w:cs="Arial"/>
          <w:lang w:eastAsia="en-GB"/>
        </w:rPr>
        <w:t>The</w:t>
      </w:r>
      <w:proofErr w:type="gramEnd"/>
      <w:r w:rsidRPr="00C12494">
        <w:rPr>
          <w:rFonts w:ascii="Arial" w:eastAsia="Times New Roman" w:hAnsi="Arial" w:cs="Arial"/>
          <w:lang w:eastAsia="en-GB"/>
        </w:rPr>
        <w:t xml:space="preserve"> school's purpose is to provide a holistic education that prepares students for lifelong study and active participation in society. Several factors drove the priority of oracy in the School Development Plan (SDP), including recent Estyn inspection feedback, community requirements, and student success concerns. The school noticed deficits in pupils' speaking and listening abilities, which were affecting their literacy achievement and confidence in verbal communication. Research shows that good oracy skills improve academic accomplishment, cognitive growth, and social confidence (Mercer et al., 2019). As a result, the school implemented the Voice 21 program to systematically include oracy into classroom education, ensuring that all students benefit from structured speaking and listening opportunities.</w:t>
      </w:r>
    </w:p>
    <w:p w14:paraId="0F5442C9" w14:textId="77777777" w:rsidR="00160B95" w:rsidRPr="00B44847" w:rsidRDefault="00160B95" w:rsidP="00B44847">
      <w:pPr>
        <w:spacing w:line="360" w:lineRule="auto"/>
        <w:ind w:left="720"/>
        <w:rPr>
          <w:rFonts w:ascii="Arial" w:eastAsia="Times New Roman" w:hAnsi="Arial" w:cs="Arial"/>
          <w:lang w:eastAsia="en-GB"/>
        </w:rPr>
      </w:pPr>
    </w:p>
    <w:p w14:paraId="2E92D82F" w14:textId="77777777" w:rsidR="00160B95" w:rsidRPr="00C12494" w:rsidRDefault="00160B95" w:rsidP="00B44847">
      <w:pPr>
        <w:pStyle w:val="NormalWeb"/>
        <w:spacing w:line="360" w:lineRule="auto"/>
        <w:ind w:left="720"/>
        <w:rPr>
          <w:rFonts w:ascii="Arial" w:hAnsi="Arial" w:cs="Arial"/>
          <w:sz w:val="28"/>
          <w:szCs w:val="28"/>
        </w:rPr>
      </w:pPr>
      <w:r w:rsidRPr="00B44847">
        <w:rPr>
          <w:rStyle w:val="Strong"/>
          <w:rFonts w:ascii="Arial" w:hAnsi="Arial" w:cs="Arial"/>
          <w:sz w:val="28"/>
          <w:szCs w:val="28"/>
        </w:rPr>
        <w:t>Implementation</w:t>
      </w:r>
    </w:p>
    <w:p w14:paraId="527C61A2" w14:textId="77777777" w:rsidR="00160B95" w:rsidRPr="00C12494" w:rsidRDefault="00160B95" w:rsidP="00B44847">
      <w:pPr>
        <w:spacing w:line="360" w:lineRule="auto"/>
        <w:ind w:left="720"/>
        <w:rPr>
          <w:rFonts w:ascii="Arial" w:eastAsia="Times New Roman" w:hAnsi="Arial" w:cs="Arial"/>
          <w:lang w:eastAsia="en-GB"/>
        </w:rPr>
      </w:pPr>
      <w:r w:rsidRPr="00C12494">
        <w:rPr>
          <w:rFonts w:ascii="Arial" w:eastAsia="Times New Roman" w:hAnsi="Arial" w:cs="Arial"/>
          <w:lang w:eastAsia="en-GB"/>
        </w:rPr>
        <w:t>The oracy development effort was implemented in phases to enable its long-term and effective integration into the curriculum. The initial phase included professional development for personnel, with teachers receiving training in dialogic teaching and Voice 21 methods. This was critical, as studies emphasise the necessity of providing educators with the required abilities to promote high-quality classroom conversations (Alexander, 2020). The training comprised workshops, peer observations, and external coaching, allowing teachers to adopt best practices for encouraging classroom conversation.</w:t>
      </w:r>
    </w:p>
    <w:p w14:paraId="08BA6689"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 xml:space="preserve">The second phase concentrated on curriculum integration, ensuring that oracy exercises were incorporated throughout all subject areas. Teachers included </w:t>
      </w:r>
      <w:r w:rsidRPr="002C2DBF">
        <w:rPr>
          <w:rFonts w:ascii="Arial" w:eastAsia="Times New Roman" w:hAnsi="Arial" w:cs="Arial"/>
          <w:lang w:eastAsia="en-GB"/>
        </w:rPr>
        <w:lastRenderedPageBreak/>
        <w:t xml:space="preserve">organised conversations, debates, and storytelling activities into their lesson plans to encourage a cross-curricular approach to oracy. Additionally, classroom displays and resources such as conversation </w:t>
      </w:r>
      <w:proofErr w:type="gramStart"/>
      <w:r w:rsidRPr="002C2DBF">
        <w:rPr>
          <w:rFonts w:ascii="Arial" w:eastAsia="Times New Roman" w:hAnsi="Arial" w:cs="Arial"/>
          <w:lang w:eastAsia="en-GB"/>
        </w:rPr>
        <w:t>prompts</w:t>
      </w:r>
      <w:proofErr w:type="gramEnd"/>
      <w:r w:rsidRPr="002C2DBF">
        <w:rPr>
          <w:rFonts w:ascii="Arial" w:eastAsia="Times New Roman" w:hAnsi="Arial" w:cs="Arial"/>
          <w:lang w:eastAsia="en-GB"/>
        </w:rPr>
        <w:t xml:space="preserve"> and sentence stems were introduced to help students successfully articulate their thoughts. According to research, providing a language-rich classroom atmosphere has a considerable impact on students' verbal reasoning ability.</w:t>
      </w:r>
    </w:p>
    <w:p w14:paraId="71FC51B6" w14:textId="77777777" w:rsidR="00160B95" w:rsidRPr="00B44847" w:rsidRDefault="00160B95" w:rsidP="00B44847">
      <w:pPr>
        <w:spacing w:line="360" w:lineRule="auto"/>
        <w:ind w:left="720"/>
        <w:rPr>
          <w:rFonts w:ascii="Arial" w:hAnsi="Arial" w:cs="Arial"/>
        </w:rPr>
      </w:pPr>
    </w:p>
    <w:p w14:paraId="77D798F1"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The third phase consisted of continuous monitoring and assessment to track student progress. To determine the success of oracy education, the school used formative assessment approaches such as learning walks, lesson observations, and student self-assessments. Pupil voice was also stressed, with students sharing feedback on their experiences through surveys and focus groups. This accords with data demonstrating that engaging students in self-reflection creates higher ownership of learning and development in verbal communication (Howe et al., 2019).</w:t>
      </w:r>
    </w:p>
    <w:p w14:paraId="2513500F" w14:textId="77777777" w:rsidR="00160B95" w:rsidRPr="00B44847" w:rsidRDefault="00160B95" w:rsidP="00B44847">
      <w:pPr>
        <w:spacing w:line="360" w:lineRule="auto"/>
        <w:ind w:left="720"/>
        <w:rPr>
          <w:rFonts w:ascii="Arial" w:hAnsi="Arial" w:cs="Arial"/>
        </w:rPr>
      </w:pPr>
    </w:p>
    <w:p w14:paraId="70F328B0" w14:textId="77777777" w:rsidR="00160B95" w:rsidRPr="00B44847" w:rsidRDefault="00160B95" w:rsidP="00B44847">
      <w:pPr>
        <w:pStyle w:val="NormalWeb"/>
        <w:spacing w:line="360" w:lineRule="auto"/>
        <w:ind w:left="720"/>
        <w:rPr>
          <w:rStyle w:val="Strong"/>
          <w:rFonts w:ascii="Arial" w:hAnsi="Arial" w:cs="Arial"/>
          <w:sz w:val="28"/>
          <w:szCs w:val="28"/>
        </w:rPr>
      </w:pPr>
      <w:r w:rsidRPr="00B44847">
        <w:rPr>
          <w:rStyle w:val="Strong"/>
          <w:rFonts w:ascii="Arial" w:hAnsi="Arial" w:cs="Arial"/>
          <w:sz w:val="28"/>
          <w:szCs w:val="28"/>
        </w:rPr>
        <w:t>Impact Measurement</w:t>
      </w:r>
    </w:p>
    <w:p w14:paraId="3B6CCE97" w14:textId="77777777" w:rsidR="00160B95" w:rsidRPr="002C2DBF" w:rsidRDefault="00160B95" w:rsidP="00B44847">
      <w:pPr>
        <w:pStyle w:val="NormalWeb"/>
        <w:spacing w:line="360" w:lineRule="auto"/>
        <w:ind w:left="720"/>
        <w:rPr>
          <w:rFonts w:ascii="Arial" w:hAnsi="Arial" w:cs="Arial"/>
          <w:sz w:val="22"/>
          <w:szCs w:val="22"/>
        </w:rPr>
      </w:pPr>
      <w:r w:rsidRPr="002C2DBF">
        <w:rPr>
          <w:rFonts w:ascii="Arial" w:hAnsi="Arial" w:cs="Arial"/>
          <w:sz w:val="22"/>
          <w:szCs w:val="22"/>
        </w:rPr>
        <w:t>Evaluating the success of the oracy effort necessitated a multifaceted approach that combined qualitative and quantitative data. The school used formative and summative exams to examine pupils' speaking and listening abilities. Structured observation checklists were used by teachers to assess students' abilities to explain ideas, participate in conversations, and correctly use subject-specific language.</w:t>
      </w:r>
    </w:p>
    <w:p w14:paraId="583E4B00"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Learning walks and child voice surveys were used to assess student involvement and confidence in speaking activities. These approaches revealed how well the oracy strategies were being utilised and whether students felt more confidence in their speaking abilities. According to research, student assessment of their learning experiences is an important predictor of engagement and long-term performance (Mercer et al. 2019). Furthermore, the school analysed literacy achievement statistics before and after the initiative's adoption to determine whether there was a link between enhanced oracy abilities and overall academic success.</w:t>
      </w:r>
    </w:p>
    <w:p w14:paraId="68D0182A"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 xml:space="preserve">Attendance data was often used as an indirect indicator of success. According to research, children who are secure in their communication skills are more likely to participate in school activities and have greater attendance rates. By tracking </w:t>
      </w:r>
      <w:r w:rsidRPr="002C2DBF">
        <w:rPr>
          <w:rFonts w:ascii="Arial" w:eastAsia="Times New Roman" w:hAnsi="Arial" w:cs="Arial"/>
          <w:lang w:eastAsia="en-GB"/>
        </w:rPr>
        <w:lastRenderedPageBreak/>
        <w:t>attendance patterns, the school hoped to uncover any improvements associated with increased student participation and classroom engagement.</w:t>
      </w:r>
    </w:p>
    <w:p w14:paraId="123BE2F2" w14:textId="77777777" w:rsidR="00160B95" w:rsidRPr="00B44847" w:rsidRDefault="00160B95" w:rsidP="00B44847">
      <w:pPr>
        <w:spacing w:line="360" w:lineRule="auto"/>
        <w:ind w:left="720"/>
        <w:rPr>
          <w:rFonts w:ascii="Arial" w:hAnsi="Arial" w:cs="Arial"/>
        </w:rPr>
      </w:pPr>
    </w:p>
    <w:p w14:paraId="1E7E0FAB" w14:textId="77777777" w:rsidR="00160B95" w:rsidRPr="00B44847" w:rsidRDefault="00160B95" w:rsidP="00B44847">
      <w:pPr>
        <w:pStyle w:val="NormalWeb"/>
        <w:spacing w:line="360" w:lineRule="auto"/>
        <w:ind w:left="720"/>
        <w:rPr>
          <w:rFonts w:ascii="Arial" w:hAnsi="Arial" w:cs="Arial"/>
          <w:sz w:val="28"/>
          <w:szCs w:val="28"/>
        </w:rPr>
      </w:pPr>
      <w:r w:rsidRPr="00B44847">
        <w:rPr>
          <w:rStyle w:val="Strong"/>
          <w:rFonts w:ascii="Arial" w:hAnsi="Arial" w:cs="Arial"/>
          <w:sz w:val="28"/>
          <w:szCs w:val="28"/>
        </w:rPr>
        <w:t>Critical Analysis</w:t>
      </w:r>
    </w:p>
    <w:p w14:paraId="652BDDF9"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The school's approach to developing oracy skills has several advantages, including a well-structured professional development program for teachers and a whole-school dedication to encouraging classroom dialogue. The stepwise implementation ensured that staff received enough assistance for implementing oracy techniques, decreasing resistance to change and promoting consistency in practice. Furthermore, using student voice in evaluating the initiative helped to promote a learner-centred approach, reinforcing best practices in inclusive education (Alexander, 2020).</w:t>
      </w:r>
    </w:p>
    <w:p w14:paraId="5EEF84E7" w14:textId="77777777" w:rsidR="00160B95" w:rsidRPr="00B44847" w:rsidRDefault="00160B95" w:rsidP="00B44847">
      <w:pPr>
        <w:spacing w:line="360" w:lineRule="auto"/>
        <w:ind w:left="720"/>
        <w:rPr>
          <w:rFonts w:ascii="Arial" w:hAnsi="Arial" w:cs="Arial"/>
        </w:rPr>
      </w:pPr>
    </w:p>
    <w:p w14:paraId="25CA7DE4"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 xml:space="preserve">However, some obstacles and opportunities for </w:t>
      </w:r>
      <w:r w:rsidRPr="00B44847">
        <w:rPr>
          <w:rFonts w:ascii="Arial" w:eastAsia="Times New Roman" w:hAnsi="Arial" w:cs="Arial"/>
          <w:lang w:eastAsia="en-GB"/>
        </w:rPr>
        <w:t>development</w:t>
      </w:r>
      <w:r w:rsidRPr="002C2DBF">
        <w:rPr>
          <w:rFonts w:ascii="Arial" w:eastAsia="Times New Roman" w:hAnsi="Arial" w:cs="Arial"/>
          <w:lang w:eastAsia="en-GB"/>
        </w:rPr>
        <w:t xml:space="preserve"> were found. One of the most significant drawbacks was the variation in instructor confidence and experience in providing oracy-focused sessions. While professional development seminars offered initial training, continual mentoring and peer inspections were required to ensure high-quality implementation. According to research, ongoing professional development is critical for ensuring that educational programs result in long-term benefits (Howe et al., 2019).</w:t>
      </w:r>
    </w:p>
    <w:p w14:paraId="644C63DA" w14:textId="77777777" w:rsidR="00160B95" w:rsidRPr="00B44847" w:rsidRDefault="00160B95" w:rsidP="00B44847">
      <w:pPr>
        <w:spacing w:line="360" w:lineRule="auto"/>
        <w:ind w:left="720"/>
        <w:rPr>
          <w:rFonts w:ascii="Arial" w:hAnsi="Arial" w:cs="Arial"/>
        </w:rPr>
      </w:pPr>
    </w:p>
    <w:p w14:paraId="619F7BBC" w14:textId="77777777" w:rsidR="00160B95" w:rsidRPr="002C2DBF" w:rsidRDefault="00160B95" w:rsidP="00B44847">
      <w:pPr>
        <w:spacing w:line="360" w:lineRule="auto"/>
        <w:ind w:left="720"/>
        <w:rPr>
          <w:rFonts w:ascii="Arial" w:eastAsia="Times New Roman" w:hAnsi="Arial" w:cs="Arial"/>
          <w:lang w:eastAsia="en-GB"/>
        </w:rPr>
      </w:pPr>
      <w:r w:rsidRPr="002C2DBF">
        <w:rPr>
          <w:rFonts w:ascii="Arial" w:eastAsia="Times New Roman" w:hAnsi="Arial" w:cs="Arial"/>
          <w:lang w:eastAsia="en-GB"/>
        </w:rPr>
        <w:t>Another challenge was the requirement for a standardised assessment framework to accurately track oracy improvement. Oracy skills are more difficult to define than literacy and numeracy, making systematic progress tracking difficult. Future enhancements could include creating school-wide assessment rubrics and utilising digital recording tools to examine student talks over time. Research has shown that technology-enhanced learning has the potential to support oracy development, particularly for formative assessment (Mercer et al., 2019).</w:t>
      </w:r>
    </w:p>
    <w:p w14:paraId="3E5AB776" w14:textId="77777777" w:rsidR="00160B95" w:rsidRPr="00B44847" w:rsidRDefault="00160B95" w:rsidP="00B44847">
      <w:pPr>
        <w:spacing w:line="360" w:lineRule="auto"/>
        <w:ind w:left="720"/>
        <w:rPr>
          <w:rFonts w:ascii="Arial" w:hAnsi="Arial" w:cs="Arial"/>
        </w:rPr>
      </w:pPr>
    </w:p>
    <w:p w14:paraId="393CED61"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 xml:space="preserve">Furthermore, the initiative required substantial resource allocation, including staff training, classroom materials, and time for collaborative planning. Some teachers voiced worry about combining the oracy concentration with other curriculum </w:t>
      </w:r>
      <w:r w:rsidRPr="000D0230">
        <w:rPr>
          <w:rFonts w:ascii="Arial" w:eastAsia="Times New Roman" w:hAnsi="Arial" w:cs="Arial"/>
          <w:lang w:eastAsia="en-GB"/>
        </w:rPr>
        <w:lastRenderedPageBreak/>
        <w:t>demands, emphasising the significance of seamlessly incorporating spoken language activities into existing subjects. To remedy this, the school should use multidisciplinary ways in which oracy is naturally integrated into other areas of learning rather than being viewed as a separate need.</w:t>
      </w:r>
    </w:p>
    <w:p w14:paraId="716B6EF6" w14:textId="77777777" w:rsidR="00160B95" w:rsidRPr="00B44847" w:rsidRDefault="00160B95" w:rsidP="00B44847">
      <w:pPr>
        <w:spacing w:line="360" w:lineRule="auto"/>
        <w:ind w:left="720"/>
        <w:rPr>
          <w:rFonts w:ascii="Arial" w:eastAsia="Times New Roman" w:hAnsi="Arial" w:cs="Arial"/>
          <w:lang w:eastAsia="en-GB"/>
        </w:rPr>
      </w:pPr>
    </w:p>
    <w:p w14:paraId="418CD392"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Finally, the oracy development effort at School A was implemented in a deliberate and research-based manner. The project is consistent with the school's overall aim of providing students with basic communication skills by addressing deficiencies found in inspection feedback and student performance data. The phased implementation technique allowed for progressive integration, which helped both teachers and students adapt new pedagogical practices. However, areas for improvement include enhancing continuous professional development, developing clearer assessment measures, and ensuring sustainable resource allocation. Future research and practice should focus on novel ways to include oracy into the curriculum, ensuring that all kids receive high-quality spoken language training.</w:t>
      </w:r>
    </w:p>
    <w:p w14:paraId="529D59C9" w14:textId="77777777" w:rsidR="00160B95" w:rsidRPr="00B44847" w:rsidRDefault="00160B95" w:rsidP="00B44847">
      <w:pPr>
        <w:spacing w:line="360" w:lineRule="auto"/>
        <w:ind w:left="720"/>
        <w:rPr>
          <w:rFonts w:ascii="Arial" w:hAnsi="Arial" w:cs="Arial"/>
        </w:rPr>
      </w:pPr>
    </w:p>
    <w:p w14:paraId="798A5460" w14:textId="22619CF1" w:rsidR="00160B95" w:rsidRPr="00B44847" w:rsidRDefault="00160B95" w:rsidP="00B44847">
      <w:pPr>
        <w:pStyle w:val="NormalWeb"/>
        <w:spacing w:line="360" w:lineRule="auto"/>
        <w:ind w:left="720"/>
        <w:rPr>
          <w:rFonts w:ascii="Arial" w:hAnsi="Arial" w:cs="Arial"/>
          <w:sz w:val="28"/>
          <w:szCs w:val="28"/>
        </w:rPr>
      </w:pPr>
      <w:r w:rsidRPr="00B44847">
        <w:rPr>
          <w:rStyle w:val="Strong"/>
          <w:rFonts w:ascii="Arial" w:hAnsi="Arial" w:cs="Arial"/>
          <w:sz w:val="28"/>
          <w:szCs w:val="28"/>
        </w:rPr>
        <w:t xml:space="preserve">Reflection and Evaluation </w:t>
      </w:r>
    </w:p>
    <w:p w14:paraId="4AD3D758"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During my placement in a Year 1 classroom at School A, I actively supported the school's efforts to improve oracy by introducing Voice 21 tactics such as 'See, Think, Wonder' and 'Ten Times Two.' These approaches pushed students to use structured verbal reasoning, which promoted deeper thought and better articulation. Through these activities, I noticed significant gains in students' abilities to verbalise their thoughts, gain confidence in speaking, and actively listen to peers. Structured discourse has been shown to improve cognitive processing and literacy development (Mercer et al., 2019).</w:t>
      </w:r>
    </w:p>
    <w:p w14:paraId="3BF9172C" w14:textId="77777777" w:rsidR="00160B95" w:rsidRPr="00B44847" w:rsidRDefault="00160B95" w:rsidP="00B44847">
      <w:pPr>
        <w:spacing w:line="360" w:lineRule="auto"/>
        <w:ind w:left="720"/>
        <w:rPr>
          <w:rFonts w:ascii="Arial" w:hAnsi="Arial" w:cs="Arial"/>
        </w:rPr>
      </w:pPr>
    </w:p>
    <w:p w14:paraId="5DFAC268"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 xml:space="preserve">The 'See, Think, Wonder' method proved very effective in encouraging students to investigate visual stimuli attentively. Pupils were asked to observe an image, describe what they observed, draw conclusions, and ask questions. This technique supports Mercer's (2019) findings that inquiry-based discourse improves engagement and critical thinking. However, securing equal involvement for all students proved difficult. Some students needed more scaffolding, such as sentence </w:t>
      </w:r>
      <w:r w:rsidRPr="000D0230">
        <w:rPr>
          <w:rFonts w:ascii="Arial" w:eastAsia="Times New Roman" w:hAnsi="Arial" w:cs="Arial"/>
          <w:lang w:eastAsia="en-GB"/>
        </w:rPr>
        <w:lastRenderedPageBreak/>
        <w:t xml:space="preserve">stems or one-on-one encouragement, to adequately communicate their concepts. </w:t>
      </w:r>
      <w:proofErr w:type="spellStart"/>
      <w:r w:rsidRPr="000D0230">
        <w:rPr>
          <w:rFonts w:ascii="Arial" w:eastAsia="Times New Roman" w:hAnsi="Arial" w:cs="Arial"/>
          <w:lang w:eastAsia="en-GB"/>
        </w:rPr>
        <w:t>Dockrell</w:t>
      </w:r>
      <w:proofErr w:type="spellEnd"/>
      <w:r w:rsidRPr="000D0230">
        <w:rPr>
          <w:rFonts w:ascii="Arial" w:eastAsia="Times New Roman" w:hAnsi="Arial" w:cs="Arial"/>
          <w:lang w:eastAsia="en-GB"/>
        </w:rPr>
        <w:t xml:space="preserve"> and Howell (2015) stress the importance of differential support in oracy development, implying that focused interventions, such as small-group conversations, could help reluctant presenters.</w:t>
      </w:r>
    </w:p>
    <w:p w14:paraId="7800FE4C"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'Ten Times Two' was beneficial in encouraging students to express their ideas more expansively. Students were instructed to make and verbalise ten observations regarding a stimulus, then return to develop or expand their ideas. This recurrent method enhanced vocabulary usage and sentence structure, supporting Alexander's (2020) claim that repeated verbal exercise improves linguistic proficiency. However, several students initially struggled to generate multiple ideas. To solve this, I implemented peer modelling, which involved more confident speakers demonstrating responses before others attempted the task. According to research, peer learning is an effective language acquisition strategy because it fosters an engaged and supportive atmosphere (Howe et al., 2019).</w:t>
      </w:r>
    </w:p>
    <w:p w14:paraId="5928A6BD" w14:textId="77777777" w:rsidR="00160B95" w:rsidRPr="00B44847" w:rsidRDefault="00160B95" w:rsidP="00B44847">
      <w:pPr>
        <w:spacing w:line="360" w:lineRule="auto"/>
        <w:ind w:left="720"/>
        <w:rPr>
          <w:rFonts w:ascii="Arial" w:hAnsi="Arial" w:cs="Arial"/>
        </w:rPr>
      </w:pPr>
    </w:p>
    <w:p w14:paraId="079187B1" w14:textId="77777777" w:rsidR="00160B95" w:rsidRPr="000D0230" w:rsidRDefault="00160B95" w:rsidP="00B44847">
      <w:pPr>
        <w:spacing w:line="360" w:lineRule="auto"/>
        <w:ind w:left="720"/>
        <w:rPr>
          <w:rFonts w:ascii="Arial" w:eastAsia="Times New Roman" w:hAnsi="Arial" w:cs="Arial"/>
          <w:lang w:eastAsia="en-GB"/>
        </w:rPr>
      </w:pPr>
      <w:r w:rsidRPr="000D0230">
        <w:rPr>
          <w:rFonts w:ascii="Arial" w:eastAsia="Times New Roman" w:hAnsi="Arial" w:cs="Arial"/>
          <w:lang w:eastAsia="en-GB"/>
        </w:rPr>
        <w:t>A critical evaluation of my practice reveals the importance of ongoing professional development in successfully applying oracy methods. While Voice 21 techniques dramatically increased student engagement, maintaining consistency across diverse learning abilities necessitated further scaffolding. Future ideas include adopting digital recording capabilities to allow students to reflect on their spoken contributions, as well as implementing parental engagement initiatives to extend oracy practice beyond the classroom (</w:t>
      </w:r>
      <w:proofErr w:type="spellStart"/>
      <w:r w:rsidRPr="000D0230">
        <w:rPr>
          <w:rFonts w:ascii="Arial" w:eastAsia="Times New Roman" w:hAnsi="Arial" w:cs="Arial"/>
          <w:lang w:eastAsia="en-GB"/>
        </w:rPr>
        <w:t>Dockrell</w:t>
      </w:r>
      <w:proofErr w:type="spellEnd"/>
      <w:r w:rsidRPr="000D0230">
        <w:rPr>
          <w:rFonts w:ascii="Arial" w:eastAsia="Times New Roman" w:hAnsi="Arial" w:cs="Arial"/>
          <w:lang w:eastAsia="en-GB"/>
        </w:rPr>
        <w:t xml:space="preserve"> &amp; Marshall, 2015). By improving these tactics, School A may foster a culture of high-quality verbal communication, resulting in long-term benefits for student confidence and academic accomplishment.</w:t>
      </w:r>
    </w:p>
    <w:p w14:paraId="750F3B68" w14:textId="77777777" w:rsidR="00160B95" w:rsidRPr="00B44847" w:rsidRDefault="00160B95" w:rsidP="00B44847">
      <w:pPr>
        <w:spacing w:line="360" w:lineRule="auto"/>
        <w:ind w:left="720"/>
        <w:rPr>
          <w:rFonts w:ascii="Arial" w:hAnsi="Arial" w:cs="Arial"/>
        </w:rPr>
      </w:pPr>
    </w:p>
    <w:p w14:paraId="64670821" w14:textId="4DEF9D72" w:rsidR="00160B95" w:rsidRPr="00B44847" w:rsidRDefault="00160B95" w:rsidP="00B44847">
      <w:pPr>
        <w:pStyle w:val="NormalWeb"/>
        <w:spacing w:line="360" w:lineRule="auto"/>
        <w:ind w:left="720"/>
        <w:rPr>
          <w:rFonts w:ascii="Arial" w:hAnsi="Arial" w:cs="Arial"/>
          <w:sz w:val="32"/>
          <w:szCs w:val="32"/>
        </w:rPr>
      </w:pPr>
      <w:r w:rsidRPr="00B44847">
        <w:rPr>
          <w:rStyle w:val="Strong"/>
          <w:rFonts w:ascii="Arial" w:hAnsi="Arial" w:cs="Arial"/>
          <w:sz w:val="32"/>
          <w:szCs w:val="32"/>
        </w:rPr>
        <w:t xml:space="preserve">Conclusion </w:t>
      </w:r>
    </w:p>
    <w:p w14:paraId="5FAFC3DC" w14:textId="77777777" w:rsidR="00160B95" w:rsidRPr="00B44847" w:rsidRDefault="00160B95" w:rsidP="00B44847">
      <w:pPr>
        <w:spacing w:after="240" w:line="360" w:lineRule="auto"/>
        <w:ind w:left="720"/>
        <w:rPr>
          <w:rFonts w:ascii="Arial" w:eastAsia="Times New Roman" w:hAnsi="Arial" w:cs="Arial"/>
          <w:lang w:eastAsia="en-GB"/>
        </w:rPr>
      </w:pPr>
      <w:r w:rsidRPr="000D0230">
        <w:rPr>
          <w:rFonts w:ascii="Arial" w:eastAsia="Times New Roman" w:hAnsi="Arial" w:cs="Arial"/>
          <w:lang w:eastAsia="en-GB"/>
        </w:rPr>
        <w:t xml:space="preserve">The purpose of this assignment critically assessed the </w:t>
      </w:r>
      <w:r w:rsidRPr="00B44847">
        <w:rPr>
          <w:rFonts w:ascii="Arial" w:eastAsia="Times New Roman" w:hAnsi="Arial" w:cs="Arial"/>
          <w:lang w:eastAsia="en-GB"/>
        </w:rPr>
        <w:t xml:space="preserve">increase </w:t>
      </w:r>
      <w:r w:rsidRPr="000D0230">
        <w:rPr>
          <w:rFonts w:ascii="Arial" w:eastAsia="Times New Roman" w:hAnsi="Arial" w:cs="Arial"/>
          <w:lang w:eastAsia="en-GB"/>
        </w:rPr>
        <w:t xml:space="preserve">of oracy as a strategic goal in School A's School </w:t>
      </w:r>
      <w:proofErr w:type="gramStart"/>
      <w:r w:rsidRPr="00B44847">
        <w:rPr>
          <w:rFonts w:ascii="Arial" w:eastAsia="Times New Roman" w:hAnsi="Arial" w:cs="Arial"/>
          <w:lang w:eastAsia="en-GB"/>
        </w:rPr>
        <w:t>development</w:t>
      </w:r>
      <w:proofErr w:type="gramEnd"/>
      <w:r w:rsidRPr="00B44847">
        <w:rPr>
          <w:rFonts w:ascii="Arial" w:eastAsia="Times New Roman" w:hAnsi="Arial" w:cs="Arial"/>
          <w:lang w:eastAsia="en-GB"/>
        </w:rPr>
        <w:t xml:space="preserve"> </w:t>
      </w:r>
      <w:r w:rsidRPr="000D0230">
        <w:rPr>
          <w:rFonts w:ascii="Arial" w:eastAsia="Times New Roman" w:hAnsi="Arial" w:cs="Arial"/>
          <w:lang w:eastAsia="en-GB"/>
        </w:rPr>
        <w:t xml:space="preserve">Plan. The study found that Voice 21 tactics, such as 'See, Think, Wonder' and 'Ten Times Two,' effectively improved students' speaking and listening skills, generating increased engagement and confidence. The research study emphasised the importance of systematic oracy training in enhancing cognitive development, literacy outcomes, and social </w:t>
      </w:r>
      <w:r w:rsidRPr="000D0230">
        <w:rPr>
          <w:rFonts w:ascii="Arial" w:eastAsia="Times New Roman" w:hAnsi="Arial" w:cs="Arial"/>
          <w:lang w:eastAsia="en-GB"/>
        </w:rPr>
        <w:lastRenderedPageBreak/>
        <w:t>interactions (Mercer et al., 2019). Despite the success of these interventions, issues such as variability in teacher confidence and the need for ongoing professional development were noted.</w:t>
      </w:r>
      <w:r w:rsidRPr="00B44847">
        <w:rPr>
          <w:rFonts w:ascii="Arial" w:eastAsia="Times New Roman" w:hAnsi="Arial" w:cs="Arial"/>
          <w:lang w:eastAsia="en-GB"/>
        </w:rPr>
        <w:t xml:space="preserve"> A significant lesson from this experience is the significance of evidence-based decision-making in school development planning. Implementing organised treatments necessitates ongoing evaluation, flexibility, and collaboration among educators. Research-informed teaching techniques guarantee that strategies are effectively integrated and adapted to address a variety of learning demands (</w:t>
      </w:r>
      <w:proofErr w:type="spellStart"/>
      <w:r w:rsidRPr="00B44847">
        <w:rPr>
          <w:rFonts w:ascii="Arial" w:eastAsia="Times New Roman" w:hAnsi="Arial" w:cs="Arial"/>
          <w:lang w:eastAsia="en-GB"/>
        </w:rPr>
        <w:t>Dockrell</w:t>
      </w:r>
      <w:proofErr w:type="spellEnd"/>
      <w:r w:rsidRPr="00B44847">
        <w:rPr>
          <w:rFonts w:ascii="Arial" w:eastAsia="Times New Roman" w:hAnsi="Arial" w:cs="Arial"/>
          <w:lang w:eastAsia="en-GB"/>
        </w:rPr>
        <w:t xml:space="preserve"> &amp; Howell, 2015). </w:t>
      </w:r>
      <w:r w:rsidRPr="00B44847">
        <w:rPr>
          <w:rFonts w:ascii="Arial" w:eastAsia="Times New Roman" w:hAnsi="Arial" w:cs="Arial"/>
          <w:lang w:eastAsia="en-GB"/>
        </w:rPr>
        <w:br/>
        <w:t>This encounter has reaffirmed my desire to promote oracy growth in my future teaching practice. Understanding the significance of dialogic teaching in improving student learning has increased my pedagogical approach, which is consistent with professional standards for effective communication and inclusive practice. Moving forward, I plan to continue using evidence-based techniques to improve student engagement and achievement in the classroom.</w:t>
      </w:r>
      <w:r w:rsidRPr="00B44847">
        <w:rPr>
          <w:rFonts w:ascii="Arial" w:eastAsia="Times New Roman" w:hAnsi="Arial" w:cs="Arial"/>
          <w:lang w:eastAsia="en-GB"/>
        </w:rPr>
        <w:br/>
      </w:r>
    </w:p>
    <w:p w14:paraId="74F9C202" w14:textId="77777777" w:rsidR="00160B95" w:rsidRPr="00B44847" w:rsidRDefault="00160B95" w:rsidP="00B44847">
      <w:pPr>
        <w:spacing w:after="240" w:line="360" w:lineRule="auto"/>
        <w:ind w:left="720"/>
        <w:rPr>
          <w:rFonts w:ascii="Arial" w:eastAsia="Times New Roman" w:hAnsi="Arial" w:cs="Arial"/>
          <w:lang w:eastAsia="en-GB"/>
        </w:rPr>
      </w:pPr>
    </w:p>
    <w:p w14:paraId="2C94C6EE" w14:textId="77777777" w:rsidR="00160B95" w:rsidRPr="00B44847" w:rsidRDefault="00160B95" w:rsidP="00B44847">
      <w:pPr>
        <w:pStyle w:val="NormalWeb"/>
        <w:spacing w:line="360" w:lineRule="auto"/>
        <w:ind w:left="720"/>
        <w:rPr>
          <w:rFonts w:ascii="Arial" w:hAnsi="Arial" w:cs="Arial"/>
          <w:sz w:val="28"/>
          <w:szCs w:val="28"/>
        </w:rPr>
      </w:pPr>
      <w:r w:rsidRPr="00B44847">
        <w:rPr>
          <w:rStyle w:val="Strong"/>
          <w:rFonts w:ascii="Arial" w:hAnsi="Arial" w:cs="Arial"/>
          <w:sz w:val="28"/>
          <w:szCs w:val="28"/>
        </w:rPr>
        <w:t>References</w:t>
      </w:r>
    </w:p>
    <w:p w14:paraId="62A06A35"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Alexander, R. (2020) </w:t>
      </w:r>
      <w:r w:rsidRPr="00B44847">
        <w:rPr>
          <w:rStyle w:val="Emphasis"/>
          <w:rFonts w:ascii="Arial" w:hAnsi="Arial" w:cs="Arial"/>
          <w:sz w:val="22"/>
          <w:szCs w:val="22"/>
        </w:rPr>
        <w:t>A Dialogic Teaching Companion</w:t>
      </w:r>
      <w:r w:rsidRPr="00B44847">
        <w:rPr>
          <w:rFonts w:ascii="Arial" w:hAnsi="Arial" w:cs="Arial"/>
          <w:sz w:val="22"/>
          <w:szCs w:val="22"/>
        </w:rPr>
        <w:t>. London: Routledge.</w:t>
      </w:r>
    </w:p>
    <w:p w14:paraId="3F17539D" w14:textId="77777777" w:rsidR="00160B95" w:rsidRPr="00B44847" w:rsidRDefault="00160B95" w:rsidP="00B44847">
      <w:pPr>
        <w:pStyle w:val="ListParagraph"/>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British Education Research Association (BERA, 2018) Ethical Guidelines for Educational Research fourth edition, London, Available at </w:t>
      </w:r>
      <w:hyperlink r:id="rId10" w:history="1">
        <w:r w:rsidRPr="00B44847">
          <w:rPr>
            <w:rFonts w:ascii="Arial" w:hAnsi="Arial" w:cs="Arial"/>
            <w:sz w:val="22"/>
            <w:szCs w:val="22"/>
          </w:rPr>
          <w:t>https://www.bera.ac.uk/publicat.on/ethical-guidelines-for-sduestonel-research-2018-online</w:t>
        </w:r>
      </w:hyperlink>
    </w:p>
    <w:p w14:paraId="7CEF7823"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p>
    <w:p w14:paraId="09E0C935" w14:textId="77777777" w:rsidR="00160B95" w:rsidRPr="00B44847" w:rsidRDefault="00160B95" w:rsidP="00B44847">
      <w:pPr>
        <w:pStyle w:val="ListParagraph"/>
        <w:numPr>
          <w:ilvl w:val="0"/>
          <w:numId w:val="4"/>
        </w:numPr>
        <w:spacing w:line="360" w:lineRule="auto"/>
        <w:ind w:left="1440"/>
        <w:rPr>
          <w:rFonts w:ascii="Arial" w:eastAsia="Times New Roman" w:hAnsi="Arial" w:cs="Arial"/>
          <w:sz w:val="22"/>
          <w:szCs w:val="22"/>
          <w:lang w:eastAsia="en-GB"/>
        </w:rPr>
      </w:pPr>
      <w:r w:rsidRPr="00B44847">
        <w:rPr>
          <w:rFonts w:ascii="Arial" w:eastAsia="Times New Roman" w:hAnsi="Arial" w:cs="Arial"/>
          <w:sz w:val="22"/>
          <w:szCs w:val="22"/>
          <w:lang w:eastAsia="en-GB"/>
        </w:rPr>
        <w:t xml:space="preserve">Department for Education (DfE) (2021). </w:t>
      </w:r>
      <w:r w:rsidRPr="00B44847">
        <w:rPr>
          <w:rFonts w:ascii="Arial" w:eastAsia="Times New Roman" w:hAnsi="Arial" w:cs="Arial"/>
          <w:i/>
          <w:iCs/>
          <w:sz w:val="22"/>
          <w:szCs w:val="22"/>
          <w:lang w:eastAsia="en-GB"/>
        </w:rPr>
        <w:t>The Reading Framework: Teaching the Foundations of Literacy</w:t>
      </w:r>
      <w:r w:rsidRPr="00B44847">
        <w:rPr>
          <w:rFonts w:ascii="Arial" w:eastAsia="Times New Roman" w:hAnsi="Arial" w:cs="Arial"/>
          <w:sz w:val="22"/>
          <w:szCs w:val="22"/>
          <w:lang w:eastAsia="en-GB"/>
        </w:rPr>
        <w:t>. London: DfE.</w:t>
      </w:r>
    </w:p>
    <w:p w14:paraId="0F93BEB6"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proofErr w:type="spellStart"/>
      <w:r w:rsidRPr="00B44847">
        <w:rPr>
          <w:rFonts w:ascii="Arial" w:hAnsi="Arial" w:cs="Arial"/>
          <w:sz w:val="22"/>
          <w:szCs w:val="22"/>
        </w:rPr>
        <w:t>Dockrell</w:t>
      </w:r>
      <w:proofErr w:type="spellEnd"/>
      <w:r w:rsidRPr="00B44847">
        <w:rPr>
          <w:rFonts w:ascii="Arial" w:hAnsi="Arial" w:cs="Arial"/>
          <w:sz w:val="22"/>
          <w:szCs w:val="22"/>
        </w:rPr>
        <w:t xml:space="preserve">, J.E. and Howell, P. (2015) ‘Identifying the challenges and opportunities for spoken language assessment in schools’, </w:t>
      </w:r>
      <w:r w:rsidRPr="00B44847">
        <w:rPr>
          <w:rStyle w:val="Emphasis"/>
          <w:rFonts w:ascii="Arial" w:hAnsi="Arial" w:cs="Arial"/>
          <w:sz w:val="22"/>
          <w:szCs w:val="22"/>
        </w:rPr>
        <w:t>Language and Education</w:t>
      </w:r>
      <w:r w:rsidRPr="00B44847">
        <w:rPr>
          <w:rFonts w:ascii="Arial" w:hAnsi="Arial" w:cs="Arial"/>
          <w:sz w:val="22"/>
          <w:szCs w:val="22"/>
        </w:rPr>
        <w:t>, 29(5), pp. 393–415.</w:t>
      </w:r>
    </w:p>
    <w:p w14:paraId="32081865"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proofErr w:type="spellStart"/>
      <w:r w:rsidRPr="00B44847">
        <w:rPr>
          <w:rFonts w:ascii="Arial" w:hAnsi="Arial" w:cs="Arial"/>
          <w:sz w:val="22"/>
          <w:szCs w:val="22"/>
        </w:rPr>
        <w:t>Dockrell</w:t>
      </w:r>
      <w:proofErr w:type="spellEnd"/>
      <w:r w:rsidRPr="00B44847">
        <w:rPr>
          <w:rFonts w:ascii="Arial" w:hAnsi="Arial" w:cs="Arial"/>
          <w:sz w:val="22"/>
          <w:szCs w:val="22"/>
        </w:rPr>
        <w:t xml:space="preserve">, J.E. and Marshall, C.R. (2015) ‘Measurement issues: Assessing language skills in young learners’, </w:t>
      </w:r>
      <w:r w:rsidRPr="00B44847">
        <w:rPr>
          <w:rStyle w:val="Emphasis"/>
          <w:rFonts w:ascii="Arial" w:hAnsi="Arial" w:cs="Arial"/>
          <w:sz w:val="22"/>
          <w:szCs w:val="22"/>
        </w:rPr>
        <w:t>Child and Adolescent Mental Health</w:t>
      </w:r>
      <w:r w:rsidRPr="00B44847">
        <w:rPr>
          <w:rFonts w:ascii="Arial" w:hAnsi="Arial" w:cs="Arial"/>
          <w:sz w:val="22"/>
          <w:szCs w:val="22"/>
        </w:rPr>
        <w:t>, 20(2), pp. 116–125.</w:t>
      </w:r>
    </w:p>
    <w:p w14:paraId="7B9CB115"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Estyn (2022) </w:t>
      </w:r>
      <w:r w:rsidRPr="00B44847">
        <w:rPr>
          <w:rStyle w:val="Emphasis"/>
          <w:rFonts w:ascii="Arial" w:hAnsi="Arial" w:cs="Arial"/>
          <w:sz w:val="22"/>
          <w:szCs w:val="22"/>
        </w:rPr>
        <w:t>Annual Report 2021–2022</w:t>
      </w:r>
      <w:r w:rsidRPr="00B44847">
        <w:rPr>
          <w:rFonts w:ascii="Arial" w:hAnsi="Arial" w:cs="Arial"/>
          <w:sz w:val="22"/>
          <w:szCs w:val="22"/>
        </w:rPr>
        <w:t>. Cardiff: Estyn.</w:t>
      </w:r>
    </w:p>
    <w:p w14:paraId="45425D07"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lastRenderedPageBreak/>
        <w:t xml:space="preserve">Hart, B. and </w:t>
      </w:r>
      <w:proofErr w:type="spellStart"/>
      <w:r w:rsidRPr="00B44847">
        <w:rPr>
          <w:rFonts w:ascii="Arial" w:hAnsi="Arial" w:cs="Arial"/>
          <w:sz w:val="22"/>
          <w:szCs w:val="22"/>
        </w:rPr>
        <w:t>Risley</w:t>
      </w:r>
      <w:proofErr w:type="spellEnd"/>
      <w:r w:rsidRPr="00B44847">
        <w:rPr>
          <w:rFonts w:ascii="Arial" w:hAnsi="Arial" w:cs="Arial"/>
          <w:sz w:val="22"/>
          <w:szCs w:val="22"/>
        </w:rPr>
        <w:t xml:space="preserve">, T.R. (2003) ‘The early catastrophe: The </w:t>
      </w:r>
      <w:proofErr w:type="gramStart"/>
      <w:r w:rsidRPr="00B44847">
        <w:rPr>
          <w:rFonts w:ascii="Arial" w:hAnsi="Arial" w:cs="Arial"/>
          <w:sz w:val="22"/>
          <w:szCs w:val="22"/>
        </w:rPr>
        <w:t>30 million word</w:t>
      </w:r>
      <w:proofErr w:type="gramEnd"/>
      <w:r w:rsidRPr="00B44847">
        <w:rPr>
          <w:rFonts w:ascii="Arial" w:hAnsi="Arial" w:cs="Arial"/>
          <w:sz w:val="22"/>
          <w:szCs w:val="22"/>
        </w:rPr>
        <w:t xml:space="preserve"> gap by age 3’, </w:t>
      </w:r>
      <w:r w:rsidRPr="00B44847">
        <w:rPr>
          <w:rStyle w:val="Emphasis"/>
          <w:rFonts w:ascii="Arial" w:hAnsi="Arial" w:cs="Arial"/>
          <w:sz w:val="22"/>
          <w:szCs w:val="22"/>
        </w:rPr>
        <w:t>American Educator</w:t>
      </w:r>
      <w:r w:rsidRPr="00B44847">
        <w:rPr>
          <w:rFonts w:ascii="Arial" w:hAnsi="Arial" w:cs="Arial"/>
          <w:sz w:val="22"/>
          <w:szCs w:val="22"/>
        </w:rPr>
        <w:t>, 27(1), pp. 4–9.</w:t>
      </w:r>
    </w:p>
    <w:p w14:paraId="1DF7ACB0" w14:textId="77777777" w:rsidR="00160B95" w:rsidRPr="00B44847" w:rsidRDefault="00160B95" w:rsidP="00B44847">
      <w:pPr>
        <w:pStyle w:val="ListParagraph"/>
        <w:numPr>
          <w:ilvl w:val="0"/>
          <w:numId w:val="4"/>
        </w:numPr>
        <w:spacing w:line="360" w:lineRule="auto"/>
        <w:ind w:left="1440"/>
        <w:rPr>
          <w:rFonts w:ascii="Arial" w:eastAsia="Times New Roman" w:hAnsi="Arial" w:cs="Arial"/>
          <w:sz w:val="22"/>
          <w:szCs w:val="22"/>
          <w:lang w:eastAsia="en-GB"/>
        </w:rPr>
      </w:pPr>
      <w:r w:rsidRPr="00B44847">
        <w:rPr>
          <w:rFonts w:ascii="Arial" w:eastAsia="Times New Roman" w:hAnsi="Arial" w:cs="Arial"/>
          <w:sz w:val="22"/>
          <w:szCs w:val="22"/>
          <w:lang w:eastAsia="en-GB"/>
        </w:rPr>
        <w:t xml:space="preserve">Hargreaves, A. &amp; Fullan, M. (2012). </w:t>
      </w:r>
      <w:r w:rsidRPr="00B44847">
        <w:rPr>
          <w:rFonts w:ascii="Arial" w:eastAsia="Times New Roman" w:hAnsi="Arial" w:cs="Arial"/>
          <w:i/>
          <w:iCs/>
          <w:sz w:val="22"/>
          <w:szCs w:val="22"/>
          <w:lang w:eastAsia="en-GB"/>
        </w:rPr>
        <w:t>Professional Capital: Transforming Teaching in Every School.</w:t>
      </w:r>
      <w:r w:rsidRPr="00B44847">
        <w:rPr>
          <w:rFonts w:ascii="Arial" w:eastAsia="Times New Roman" w:hAnsi="Arial" w:cs="Arial"/>
          <w:sz w:val="22"/>
          <w:szCs w:val="22"/>
          <w:lang w:eastAsia="en-GB"/>
        </w:rPr>
        <w:t xml:space="preserve"> Routledge.</w:t>
      </w:r>
    </w:p>
    <w:p w14:paraId="41A898EE"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Harris, A. and Jones, M. (2017) </w:t>
      </w:r>
      <w:r w:rsidRPr="00B44847">
        <w:rPr>
          <w:rStyle w:val="Emphasis"/>
          <w:rFonts w:ascii="Arial" w:hAnsi="Arial" w:cs="Arial"/>
          <w:sz w:val="22"/>
          <w:szCs w:val="22"/>
        </w:rPr>
        <w:t>Leading Futures: Global Perspectives on Educational Leadership</w:t>
      </w:r>
      <w:r w:rsidRPr="00B44847">
        <w:rPr>
          <w:rFonts w:ascii="Arial" w:hAnsi="Arial" w:cs="Arial"/>
          <w:sz w:val="22"/>
          <w:szCs w:val="22"/>
        </w:rPr>
        <w:t>. London: SAGE.</w:t>
      </w:r>
    </w:p>
    <w:p w14:paraId="7BFFB6C0"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Howe, C., Hennessy, S., Mercer, N., </w:t>
      </w:r>
      <w:proofErr w:type="spellStart"/>
      <w:r w:rsidRPr="00B44847">
        <w:rPr>
          <w:rFonts w:ascii="Arial" w:hAnsi="Arial" w:cs="Arial"/>
          <w:sz w:val="22"/>
          <w:szCs w:val="22"/>
        </w:rPr>
        <w:t>Vrikki</w:t>
      </w:r>
      <w:proofErr w:type="spellEnd"/>
      <w:r w:rsidRPr="00B44847">
        <w:rPr>
          <w:rFonts w:ascii="Arial" w:hAnsi="Arial" w:cs="Arial"/>
          <w:sz w:val="22"/>
          <w:szCs w:val="22"/>
        </w:rPr>
        <w:t xml:space="preserve">, M. and Wheatley, L. (2019) ‘Teacher–student dialogue during classroom teaching: Does it really impact on student outcomes?’, </w:t>
      </w:r>
      <w:r w:rsidRPr="00B44847">
        <w:rPr>
          <w:rStyle w:val="Emphasis"/>
          <w:rFonts w:ascii="Arial" w:hAnsi="Arial" w:cs="Arial"/>
          <w:sz w:val="22"/>
          <w:szCs w:val="22"/>
        </w:rPr>
        <w:t>Journal of Learning Sciences</w:t>
      </w:r>
      <w:r w:rsidRPr="00B44847">
        <w:rPr>
          <w:rFonts w:ascii="Arial" w:hAnsi="Arial" w:cs="Arial"/>
          <w:sz w:val="22"/>
          <w:szCs w:val="22"/>
        </w:rPr>
        <w:t>, 28(4-5), pp. 462–512.</w:t>
      </w:r>
    </w:p>
    <w:p w14:paraId="1C12F138"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Mercer, N., Warwick, P. and Ahmed, A. (2019) </w:t>
      </w:r>
      <w:r w:rsidRPr="00B44847">
        <w:rPr>
          <w:rStyle w:val="Emphasis"/>
          <w:rFonts w:ascii="Arial" w:hAnsi="Arial" w:cs="Arial"/>
          <w:sz w:val="22"/>
          <w:szCs w:val="22"/>
        </w:rPr>
        <w:t>Oracy and Learning: The Role of Talk in Education</w:t>
      </w:r>
      <w:r w:rsidRPr="00B44847">
        <w:rPr>
          <w:rFonts w:ascii="Arial" w:hAnsi="Arial" w:cs="Arial"/>
          <w:sz w:val="22"/>
          <w:szCs w:val="22"/>
        </w:rPr>
        <w:t>. Cambridge: Cambridge University Press.</w:t>
      </w:r>
    </w:p>
    <w:p w14:paraId="1DBCA26D" w14:textId="77777777" w:rsidR="00160B95" w:rsidRPr="00B44847" w:rsidRDefault="00160B95" w:rsidP="00B44847">
      <w:pPr>
        <w:pStyle w:val="ListParagraph"/>
        <w:numPr>
          <w:ilvl w:val="0"/>
          <w:numId w:val="4"/>
        </w:numPr>
        <w:spacing w:line="360" w:lineRule="auto"/>
        <w:ind w:left="1440"/>
        <w:rPr>
          <w:rFonts w:ascii="Arial" w:eastAsia="Times New Roman" w:hAnsi="Arial" w:cs="Arial"/>
          <w:sz w:val="22"/>
          <w:szCs w:val="22"/>
          <w:lang w:eastAsia="en-GB"/>
        </w:rPr>
      </w:pPr>
      <w:r w:rsidRPr="00B44847">
        <w:rPr>
          <w:rFonts w:ascii="Arial" w:eastAsia="Times New Roman" w:hAnsi="Arial" w:cs="Arial"/>
          <w:sz w:val="22"/>
          <w:szCs w:val="22"/>
          <w:lang w:eastAsia="en-GB"/>
        </w:rPr>
        <w:t xml:space="preserve">Snow, C. E., &amp; O’Connor, C. (2016). </w:t>
      </w:r>
      <w:r w:rsidRPr="00B44847">
        <w:rPr>
          <w:rFonts w:ascii="Arial" w:eastAsia="Times New Roman" w:hAnsi="Arial" w:cs="Arial"/>
          <w:i/>
          <w:iCs/>
          <w:sz w:val="22"/>
          <w:szCs w:val="22"/>
          <w:lang w:eastAsia="en-GB"/>
        </w:rPr>
        <w:t>Close Encounters with Oracy: Research and Implications for Classroom Practice.</w:t>
      </w:r>
      <w:r w:rsidRPr="00B44847">
        <w:rPr>
          <w:rFonts w:ascii="Arial" w:eastAsia="Times New Roman" w:hAnsi="Arial" w:cs="Arial"/>
          <w:sz w:val="22"/>
          <w:szCs w:val="22"/>
          <w:lang w:eastAsia="en-GB"/>
        </w:rPr>
        <w:t xml:space="preserve"> Harvard Graduate School of Education.</w:t>
      </w:r>
    </w:p>
    <w:p w14:paraId="68AFE219" w14:textId="77777777" w:rsidR="00160B95" w:rsidRPr="00B44847" w:rsidRDefault="00160B95" w:rsidP="00B44847">
      <w:pPr>
        <w:pStyle w:val="ListParagraph"/>
        <w:numPr>
          <w:ilvl w:val="0"/>
          <w:numId w:val="4"/>
        </w:numPr>
        <w:spacing w:line="360" w:lineRule="auto"/>
        <w:ind w:left="1440"/>
        <w:rPr>
          <w:rFonts w:ascii="Arial" w:eastAsia="Times New Roman" w:hAnsi="Arial" w:cs="Arial"/>
          <w:sz w:val="22"/>
          <w:szCs w:val="22"/>
          <w:lang w:eastAsia="en-GB"/>
        </w:rPr>
      </w:pPr>
      <w:r w:rsidRPr="00B44847">
        <w:rPr>
          <w:rFonts w:ascii="Arial" w:eastAsia="Times New Roman" w:hAnsi="Arial" w:cs="Arial"/>
          <w:sz w:val="22"/>
          <w:szCs w:val="22"/>
          <w:lang w:eastAsia="en-GB"/>
        </w:rPr>
        <w:t xml:space="preserve">Voice 21 (2023). </w:t>
      </w:r>
      <w:r w:rsidRPr="00B44847">
        <w:rPr>
          <w:rFonts w:ascii="Arial" w:eastAsia="Times New Roman" w:hAnsi="Arial" w:cs="Arial"/>
          <w:i/>
          <w:iCs/>
          <w:sz w:val="22"/>
          <w:szCs w:val="22"/>
          <w:lang w:eastAsia="en-GB"/>
        </w:rPr>
        <w:t>The Oracy Benchmarks: Embedding High-Quality Talk in Schools.</w:t>
      </w:r>
      <w:r w:rsidRPr="00B44847">
        <w:rPr>
          <w:rFonts w:ascii="Arial" w:eastAsia="Times New Roman" w:hAnsi="Arial" w:cs="Arial"/>
          <w:sz w:val="22"/>
          <w:szCs w:val="22"/>
          <w:lang w:eastAsia="en-GB"/>
        </w:rPr>
        <w:t xml:space="preserve"> Voice 21 Organisation.</w:t>
      </w:r>
    </w:p>
    <w:p w14:paraId="3E81C341" w14:textId="77777777" w:rsidR="00160B95" w:rsidRPr="00B44847" w:rsidRDefault="00160B95" w:rsidP="00B44847">
      <w:pPr>
        <w:pStyle w:val="NormalWeb"/>
        <w:numPr>
          <w:ilvl w:val="0"/>
          <w:numId w:val="4"/>
        </w:numPr>
        <w:spacing w:line="360" w:lineRule="auto"/>
        <w:ind w:left="1440"/>
        <w:rPr>
          <w:rFonts w:ascii="Arial" w:hAnsi="Arial" w:cs="Arial"/>
          <w:sz w:val="22"/>
          <w:szCs w:val="22"/>
        </w:rPr>
      </w:pPr>
      <w:r w:rsidRPr="00B44847">
        <w:rPr>
          <w:rFonts w:ascii="Arial" w:hAnsi="Arial" w:cs="Arial"/>
          <w:sz w:val="22"/>
          <w:szCs w:val="22"/>
        </w:rPr>
        <w:t xml:space="preserve">Welsh Government (2021) </w:t>
      </w:r>
      <w:r w:rsidRPr="00B44847">
        <w:rPr>
          <w:rStyle w:val="Emphasis"/>
          <w:rFonts w:ascii="Arial" w:hAnsi="Arial" w:cs="Arial"/>
          <w:sz w:val="22"/>
          <w:szCs w:val="22"/>
        </w:rPr>
        <w:t>School Improvement Guidance: Framework for Evaluation, Improvement and Accountability</w:t>
      </w:r>
      <w:r w:rsidRPr="00B44847">
        <w:rPr>
          <w:rFonts w:ascii="Arial" w:hAnsi="Arial" w:cs="Arial"/>
          <w:sz w:val="22"/>
          <w:szCs w:val="22"/>
        </w:rPr>
        <w:t>. Cardiff: Welsh Government.</w:t>
      </w:r>
    </w:p>
    <w:p w14:paraId="132C7D37" w14:textId="77777777" w:rsidR="00160B95" w:rsidRPr="00B44847" w:rsidRDefault="00160B95" w:rsidP="00B44847">
      <w:pPr>
        <w:pStyle w:val="NormalWeb"/>
        <w:spacing w:line="360" w:lineRule="auto"/>
        <w:ind w:left="720"/>
        <w:rPr>
          <w:rFonts w:ascii="Arial" w:hAnsi="Arial" w:cs="Arial"/>
          <w:sz w:val="22"/>
          <w:szCs w:val="22"/>
        </w:rPr>
      </w:pPr>
    </w:p>
    <w:p w14:paraId="2CCC7056" w14:textId="77777777" w:rsidR="00160B95" w:rsidRPr="00B44847" w:rsidRDefault="00160B95" w:rsidP="00B44847">
      <w:pPr>
        <w:spacing w:after="240" w:line="360" w:lineRule="auto"/>
        <w:ind w:left="720"/>
        <w:rPr>
          <w:rFonts w:ascii="Arial" w:eastAsia="Times New Roman" w:hAnsi="Arial" w:cs="Arial"/>
          <w:lang w:eastAsia="en-GB"/>
        </w:rPr>
      </w:pPr>
    </w:p>
    <w:p w14:paraId="39FE666A" w14:textId="77777777" w:rsidR="00160B95" w:rsidRPr="000D0230" w:rsidRDefault="00160B95" w:rsidP="00B44847">
      <w:pPr>
        <w:spacing w:line="360" w:lineRule="auto"/>
        <w:ind w:left="720"/>
        <w:rPr>
          <w:rFonts w:ascii="Arial" w:eastAsia="Times New Roman" w:hAnsi="Arial" w:cs="Arial"/>
          <w:lang w:eastAsia="en-GB"/>
        </w:rPr>
      </w:pPr>
    </w:p>
    <w:p w14:paraId="6FABBBCF" w14:textId="77777777" w:rsidR="00160B95" w:rsidRPr="00B44847" w:rsidRDefault="00160B95" w:rsidP="00B44847">
      <w:pPr>
        <w:spacing w:line="360" w:lineRule="auto"/>
        <w:ind w:left="720"/>
        <w:rPr>
          <w:rFonts w:ascii="Arial" w:hAnsi="Arial" w:cs="Arial"/>
        </w:rPr>
      </w:pPr>
    </w:p>
    <w:p w14:paraId="7A966594" w14:textId="77777777" w:rsidR="00160B95" w:rsidRPr="00B44847" w:rsidRDefault="00160B95" w:rsidP="00B44847">
      <w:pPr>
        <w:pStyle w:val="NormalWeb"/>
        <w:spacing w:line="360" w:lineRule="auto"/>
        <w:ind w:left="720"/>
        <w:rPr>
          <w:rFonts w:ascii="Arial" w:hAnsi="Arial" w:cs="Arial"/>
          <w:sz w:val="22"/>
          <w:szCs w:val="22"/>
        </w:rPr>
      </w:pPr>
    </w:p>
    <w:p w14:paraId="4562FCE5" w14:textId="77777777" w:rsidR="00160B95" w:rsidRPr="00B44847" w:rsidRDefault="00160B95" w:rsidP="00B44847">
      <w:pPr>
        <w:pStyle w:val="AssignBody"/>
        <w:ind w:left="720"/>
        <w:rPr>
          <w:rFonts w:cs="Arial"/>
        </w:rPr>
      </w:pPr>
    </w:p>
    <w:p w14:paraId="292CA6BC" w14:textId="77777777" w:rsidR="00160B95" w:rsidRPr="00B44847" w:rsidRDefault="00160B95" w:rsidP="00B44847">
      <w:pPr>
        <w:pStyle w:val="AssignBody"/>
        <w:ind w:left="720"/>
        <w:rPr>
          <w:rFonts w:cs="Arial"/>
        </w:rPr>
      </w:pPr>
    </w:p>
    <w:p w14:paraId="2F988594" w14:textId="77777777" w:rsidR="00160B95" w:rsidRPr="00B44847" w:rsidRDefault="00160B95" w:rsidP="00B44847">
      <w:pPr>
        <w:pStyle w:val="AssignBody"/>
        <w:ind w:left="720"/>
        <w:rPr>
          <w:rFonts w:cs="Arial"/>
        </w:rPr>
      </w:pPr>
    </w:p>
    <w:p w14:paraId="5A651BBF" w14:textId="77777777" w:rsidR="00160B95" w:rsidRPr="00B44847" w:rsidRDefault="00160B95" w:rsidP="00B44847">
      <w:pPr>
        <w:pStyle w:val="AssignBody"/>
        <w:ind w:left="720"/>
        <w:rPr>
          <w:rFonts w:cs="Arial"/>
        </w:rPr>
      </w:pPr>
    </w:p>
    <w:p w14:paraId="676BB83D" w14:textId="77777777" w:rsidR="00160B95" w:rsidRDefault="00160B95" w:rsidP="00CD1240">
      <w:pPr>
        <w:pStyle w:val="AssignBody"/>
      </w:pPr>
    </w:p>
    <w:p w14:paraId="39BBFD91" w14:textId="77777777" w:rsidR="00160B95" w:rsidRDefault="00160B95" w:rsidP="00CD1240">
      <w:pPr>
        <w:pStyle w:val="AssignBody"/>
      </w:pPr>
    </w:p>
    <w:p w14:paraId="79C045FC" w14:textId="77777777" w:rsidR="00160B95" w:rsidRDefault="00160B95" w:rsidP="00CD1240">
      <w:pPr>
        <w:pStyle w:val="AssignBody"/>
      </w:pPr>
    </w:p>
    <w:p w14:paraId="0A31A9FC" w14:textId="77777777" w:rsidR="00160B95" w:rsidRDefault="00160B95" w:rsidP="00CD1240">
      <w:pPr>
        <w:pStyle w:val="AssignBody"/>
      </w:pPr>
    </w:p>
    <w:p w14:paraId="0D2F6EA6" w14:textId="3ECA50E8" w:rsidR="00E611D9" w:rsidRPr="00E611D9" w:rsidRDefault="00E611D9" w:rsidP="00E611D9">
      <w:pPr>
        <w:pStyle w:val="AssignBody"/>
      </w:pPr>
    </w:p>
    <w:sectPr w:rsidR="00E611D9" w:rsidRPr="00E611D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DB64D" w14:textId="77777777" w:rsidR="00DF59B7" w:rsidRDefault="00DF59B7" w:rsidP="00E611D9">
      <w:pPr>
        <w:spacing w:after="0" w:line="240" w:lineRule="auto"/>
      </w:pPr>
      <w:r>
        <w:separator/>
      </w:r>
    </w:p>
  </w:endnote>
  <w:endnote w:type="continuationSeparator" w:id="0">
    <w:p w14:paraId="738D1F9B" w14:textId="77777777" w:rsidR="00DF59B7" w:rsidRDefault="00DF59B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DE1FD" w14:textId="77777777" w:rsidR="00DF59B7" w:rsidRDefault="00DF59B7" w:rsidP="00E611D9">
      <w:pPr>
        <w:spacing w:after="0" w:line="240" w:lineRule="auto"/>
      </w:pPr>
      <w:r>
        <w:separator/>
      </w:r>
    </w:p>
  </w:footnote>
  <w:footnote w:type="continuationSeparator" w:id="0">
    <w:p w14:paraId="611B04A1" w14:textId="77777777" w:rsidR="00DF59B7" w:rsidRDefault="00DF59B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858613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03086">
            <w:rPr>
              <w:rFonts w:ascii="Arial" w:hAnsi="Arial" w:cs="Arial"/>
            </w:rPr>
            <w:t>7005 C</w:t>
          </w:r>
        </w:p>
      </w:tc>
      <w:tc>
        <w:tcPr>
          <w:tcW w:w="4508" w:type="dxa"/>
        </w:tcPr>
        <w:p w14:paraId="51D506A0" w14:textId="1252EB37" w:rsidR="00E611D9" w:rsidRPr="00E611D9" w:rsidRDefault="00E611D9" w:rsidP="00203086">
          <w:pPr>
            <w:pStyle w:val="Header"/>
            <w:rPr>
              <w:rFonts w:ascii="Arial" w:hAnsi="Arial" w:cs="Arial"/>
            </w:rPr>
          </w:pPr>
          <w:r>
            <w:rPr>
              <w:rFonts w:ascii="Arial" w:hAnsi="Arial" w:cs="Arial"/>
            </w:rPr>
            <w:t>Student Number:</w:t>
          </w:r>
          <w:r w:rsidR="00203086">
            <w:rPr>
              <w:rFonts w:ascii="Arial" w:hAnsi="Arial" w:cs="Arial"/>
            </w:rPr>
            <w:t>2316512</w:t>
          </w:r>
          <w:r>
            <w:rPr>
              <w:rFonts w:ascii="Arial" w:hAnsi="Arial" w:cs="Arial"/>
            </w:rPr>
            <w:t xml:space="preserve"> </w:t>
          </w:r>
        </w:p>
      </w:tc>
    </w:tr>
    <w:tr w:rsidR="00203086" w:rsidRPr="00E611D9" w14:paraId="0DF17889" w14:textId="77777777" w:rsidTr="00E611D9">
      <w:tc>
        <w:tcPr>
          <w:tcW w:w="4508" w:type="dxa"/>
        </w:tcPr>
        <w:p w14:paraId="2897E157" w14:textId="77777777" w:rsidR="00203086" w:rsidRDefault="00203086">
          <w:pPr>
            <w:pStyle w:val="Header"/>
            <w:rPr>
              <w:rFonts w:ascii="Arial" w:hAnsi="Arial" w:cs="Arial"/>
            </w:rPr>
          </w:pPr>
        </w:p>
        <w:p w14:paraId="7807D2B2" w14:textId="25F82021" w:rsidR="00203086" w:rsidRPr="00E611D9" w:rsidRDefault="00203086">
          <w:pPr>
            <w:pStyle w:val="Header"/>
            <w:rPr>
              <w:rFonts w:ascii="Arial" w:hAnsi="Arial" w:cs="Arial"/>
            </w:rPr>
          </w:pPr>
          <w:r>
            <w:rPr>
              <w:rFonts w:ascii="Arial" w:hAnsi="Arial" w:cs="Arial"/>
            </w:rPr>
            <w:t xml:space="preserve">Najma Abdi </w:t>
          </w:r>
          <w:proofErr w:type="spellStart"/>
          <w:r>
            <w:rPr>
              <w:rFonts w:ascii="Arial" w:hAnsi="Arial" w:cs="Arial"/>
            </w:rPr>
            <w:t>Sahardeed</w:t>
          </w:r>
          <w:proofErr w:type="spellEnd"/>
        </w:p>
      </w:tc>
      <w:tc>
        <w:tcPr>
          <w:tcW w:w="4508" w:type="dxa"/>
        </w:tcPr>
        <w:p w14:paraId="5F2AF478" w14:textId="77777777" w:rsidR="00203086" w:rsidRDefault="00203086" w:rsidP="00203086">
          <w:pPr>
            <w:pStyle w:val="Header"/>
            <w:rPr>
              <w:rFonts w:ascii="Arial" w:hAnsi="Arial" w:cs="Arial"/>
            </w:rPr>
          </w:pPr>
        </w:p>
      </w:tc>
    </w:tr>
  </w:tbl>
  <w:p w14:paraId="31028CA5" w14:textId="2FCC67A0"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717D3"/>
    <w:multiLevelType w:val="multilevel"/>
    <w:tmpl w:val="82F68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3234FB"/>
    <w:multiLevelType w:val="hybridMultilevel"/>
    <w:tmpl w:val="8428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7249B7"/>
    <w:multiLevelType w:val="multilevel"/>
    <w:tmpl w:val="4642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60748F"/>
    <w:multiLevelType w:val="multilevel"/>
    <w:tmpl w:val="A956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235AA1"/>
    <w:multiLevelType w:val="multilevel"/>
    <w:tmpl w:val="165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1E75"/>
    <w:rsid w:val="00087FFD"/>
    <w:rsid w:val="0013215E"/>
    <w:rsid w:val="00160B95"/>
    <w:rsid w:val="00203086"/>
    <w:rsid w:val="002229F0"/>
    <w:rsid w:val="003E55AE"/>
    <w:rsid w:val="00402BEC"/>
    <w:rsid w:val="00433F17"/>
    <w:rsid w:val="00451B52"/>
    <w:rsid w:val="006419C3"/>
    <w:rsid w:val="00691A46"/>
    <w:rsid w:val="006B5861"/>
    <w:rsid w:val="006F79C3"/>
    <w:rsid w:val="00817F7A"/>
    <w:rsid w:val="0087618C"/>
    <w:rsid w:val="00AD4EBD"/>
    <w:rsid w:val="00B44847"/>
    <w:rsid w:val="00BC651E"/>
    <w:rsid w:val="00CD1240"/>
    <w:rsid w:val="00DF59B7"/>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20308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3086"/>
    <w:rPr>
      <w:b/>
      <w:bCs/>
    </w:rPr>
  </w:style>
  <w:style w:type="character" w:styleId="Emphasis">
    <w:name w:val="Emphasis"/>
    <w:basedOn w:val="DefaultParagraphFont"/>
    <w:uiPriority w:val="20"/>
    <w:qFormat/>
    <w:rsid w:val="00203086"/>
    <w:rPr>
      <w:i/>
      <w:iCs/>
    </w:rPr>
  </w:style>
  <w:style w:type="character" w:customStyle="1" w:styleId="Heading4Char">
    <w:name w:val="Heading 4 Char"/>
    <w:basedOn w:val="DefaultParagraphFont"/>
    <w:link w:val="Heading4"/>
    <w:uiPriority w:val="9"/>
    <w:rsid w:val="00203086"/>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60B95"/>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7514">
      <w:bodyDiv w:val="1"/>
      <w:marLeft w:val="0"/>
      <w:marRight w:val="0"/>
      <w:marTop w:val="0"/>
      <w:marBottom w:val="0"/>
      <w:divBdr>
        <w:top w:val="none" w:sz="0" w:space="0" w:color="auto"/>
        <w:left w:val="none" w:sz="0" w:space="0" w:color="auto"/>
        <w:bottom w:val="none" w:sz="0" w:space="0" w:color="auto"/>
        <w:right w:val="none" w:sz="0" w:space="0" w:color="auto"/>
      </w:divBdr>
    </w:div>
    <w:div w:id="78328032">
      <w:bodyDiv w:val="1"/>
      <w:marLeft w:val="0"/>
      <w:marRight w:val="0"/>
      <w:marTop w:val="0"/>
      <w:marBottom w:val="0"/>
      <w:divBdr>
        <w:top w:val="none" w:sz="0" w:space="0" w:color="auto"/>
        <w:left w:val="none" w:sz="0" w:space="0" w:color="auto"/>
        <w:bottom w:val="none" w:sz="0" w:space="0" w:color="auto"/>
        <w:right w:val="none" w:sz="0" w:space="0" w:color="auto"/>
      </w:divBdr>
    </w:div>
    <w:div w:id="937909265">
      <w:bodyDiv w:val="1"/>
      <w:marLeft w:val="0"/>
      <w:marRight w:val="0"/>
      <w:marTop w:val="0"/>
      <w:marBottom w:val="0"/>
      <w:divBdr>
        <w:top w:val="none" w:sz="0" w:space="0" w:color="auto"/>
        <w:left w:val="none" w:sz="0" w:space="0" w:color="auto"/>
        <w:bottom w:val="none" w:sz="0" w:space="0" w:color="auto"/>
        <w:right w:val="none" w:sz="0" w:space="0" w:color="auto"/>
      </w:divBdr>
    </w:div>
    <w:div w:id="1013874376">
      <w:bodyDiv w:val="1"/>
      <w:marLeft w:val="0"/>
      <w:marRight w:val="0"/>
      <w:marTop w:val="0"/>
      <w:marBottom w:val="0"/>
      <w:divBdr>
        <w:top w:val="none" w:sz="0" w:space="0" w:color="auto"/>
        <w:left w:val="none" w:sz="0" w:space="0" w:color="auto"/>
        <w:bottom w:val="none" w:sz="0" w:space="0" w:color="auto"/>
        <w:right w:val="none" w:sz="0" w:space="0" w:color="auto"/>
      </w:divBdr>
    </w:div>
    <w:div w:id="1178235938">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78895733">
      <w:bodyDiv w:val="1"/>
      <w:marLeft w:val="0"/>
      <w:marRight w:val="0"/>
      <w:marTop w:val="0"/>
      <w:marBottom w:val="0"/>
      <w:divBdr>
        <w:top w:val="none" w:sz="0" w:space="0" w:color="auto"/>
        <w:left w:val="none" w:sz="0" w:space="0" w:color="auto"/>
        <w:bottom w:val="none" w:sz="0" w:space="0" w:color="auto"/>
        <w:right w:val="none" w:sz="0" w:space="0" w:color="auto"/>
      </w:divBdr>
    </w:div>
    <w:div w:id="159640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bera.ac.uk/publicat.on/ethical-guidelines-for-sduestonel-research-2018-onli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3805</Words>
  <Characters>21694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Najma Sahardeed (2316512)</cp:lastModifiedBy>
  <cp:revision>2</cp:revision>
  <dcterms:created xsi:type="dcterms:W3CDTF">2025-03-02T22:39:00Z</dcterms:created>
  <dcterms:modified xsi:type="dcterms:W3CDTF">2025-03-02T22:39:00Z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