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93624" w14:textId="77777777" w:rsidR="00BB7179" w:rsidRDefault="00BB7179" w:rsidP="00BB7179">
      <w:pPr>
        <w:spacing w:line="360" w:lineRule="auto"/>
        <w:jc w:val="center"/>
        <w:rPr>
          <w:rFonts w:ascii="Arial" w:hAnsi="Arial" w:cs="Arial"/>
          <w:sz w:val="24"/>
          <w:szCs w:val="24"/>
        </w:rPr>
      </w:pPr>
    </w:p>
    <w:p w14:paraId="655FCF1C" w14:textId="77777777" w:rsidR="00BB7179" w:rsidRDefault="00BB7179" w:rsidP="00BB7179">
      <w:pPr>
        <w:spacing w:line="360" w:lineRule="auto"/>
        <w:jc w:val="center"/>
        <w:rPr>
          <w:rFonts w:ascii="Arial" w:hAnsi="Arial" w:cs="Arial"/>
          <w:sz w:val="24"/>
          <w:szCs w:val="24"/>
        </w:rPr>
      </w:pPr>
    </w:p>
    <w:p w14:paraId="41B6525A" w14:textId="77777777" w:rsidR="00BB7179" w:rsidRDefault="00BB7179" w:rsidP="00BB7179">
      <w:pPr>
        <w:spacing w:line="360" w:lineRule="auto"/>
        <w:jc w:val="center"/>
        <w:rPr>
          <w:rFonts w:ascii="Arial" w:hAnsi="Arial" w:cs="Arial"/>
          <w:sz w:val="24"/>
          <w:szCs w:val="24"/>
        </w:rPr>
      </w:pPr>
    </w:p>
    <w:p w14:paraId="3AFC3267" w14:textId="77777777" w:rsidR="00BB7179" w:rsidRDefault="00BB7179" w:rsidP="00BB7179">
      <w:pPr>
        <w:spacing w:line="360" w:lineRule="auto"/>
        <w:jc w:val="center"/>
        <w:rPr>
          <w:rFonts w:ascii="Arial" w:hAnsi="Arial" w:cs="Arial"/>
          <w:sz w:val="24"/>
          <w:szCs w:val="24"/>
        </w:rPr>
      </w:pPr>
    </w:p>
    <w:p w14:paraId="69C1EDAF" w14:textId="0A821214" w:rsidR="01D8550E" w:rsidRPr="00F22516" w:rsidRDefault="01D8550E" w:rsidP="00BB7179">
      <w:pPr>
        <w:spacing w:line="360" w:lineRule="auto"/>
        <w:jc w:val="center"/>
        <w:rPr>
          <w:rFonts w:ascii="Arial" w:eastAsia="Arial" w:hAnsi="Arial" w:cs="Arial"/>
          <w:b/>
          <w:bCs/>
          <w:color w:val="000000" w:themeColor="text1"/>
          <w:sz w:val="40"/>
          <w:szCs w:val="40"/>
        </w:rPr>
      </w:pPr>
      <w:proofErr w:type="spellStart"/>
      <w:r w:rsidRPr="00F22516">
        <w:rPr>
          <w:rFonts w:ascii="Arial" w:hAnsi="Arial" w:cs="Arial"/>
          <w:b/>
          <w:bCs/>
          <w:sz w:val="40"/>
          <w:szCs w:val="40"/>
        </w:rPr>
        <w:t>CertHE</w:t>
      </w:r>
      <w:proofErr w:type="spellEnd"/>
      <w:r w:rsidRPr="00F22516">
        <w:rPr>
          <w:rFonts w:ascii="Arial" w:hAnsi="Arial" w:cs="Arial"/>
          <w:b/>
          <w:bCs/>
          <w:sz w:val="40"/>
          <w:szCs w:val="40"/>
        </w:rPr>
        <w:t xml:space="preserve"> Law and Legal Practice</w:t>
      </w:r>
    </w:p>
    <w:p w14:paraId="220462D5" w14:textId="147791FD" w:rsidR="01D8550E" w:rsidRDefault="01D8550E" w:rsidP="00BB7179">
      <w:pPr>
        <w:spacing w:line="360" w:lineRule="auto"/>
        <w:jc w:val="center"/>
        <w:rPr>
          <w:rFonts w:ascii="Arial" w:hAnsi="Arial" w:cs="Arial"/>
          <w:b/>
          <w:bCs/>
          <w:sz w:val="40"/>
          <w:szCs w:val="40"/>
        </w:rPr>
      </w:pPr>
      <w:r w:rsidRPr="00F22516">
        <w:rPr>
          <w:rFonts w:ascii="Arial" w:hAnsi="Arial" w:cs="Arial"/>
          <w:b/>
          <w:bCs/>
          <w:sz w:val="40"/>
          <w:szCs w:val="40"/>
        </w:rPr>
        <w:t>Legal Process</w:t>
      </w:r>
    </w:p>
    <w:p w14:paraId="4A285B18" w14:textId="093B8CCD" w:rsidR="00F22516" w:rsidRDefault="00F22516" w:rsidP="00BB7179">
      <w:pPr>
        <w:spacing w:line="360" w:lineRule="auto"/>
        <w:jc w:val="center"/>
        <w:rPr>
          <w:rFonts w:ascii="Arial" w:hAnsi="Arial" w:cs="Arial"/>
          <w:b/>
          <w:bCs/>
          <w:sz w:val="40"/>
          <w:szCs w:val="40"/>
        </w:rPr>
      </w:pPr>
    </w:p>
    <w:p w14:paraId="4C954939" w14:textId="1626E4C1" w:rsidR="00F22516" w:rsidRDefault="00F22516" w:rsidP="00BB7179">
      <w:pPr>
        <w:spacing w:line="360" w:lineRule="auto"/>
        <w:jc w:val="center"/>
        <w:rPr>
          <w:rFonts w:ascii="Arial" w:hAnsi="Arial" w:cs="Arial"/>
          <w:b/>
          <w:bCs/>
          <w:sz w:val="40"/>
          <w:szCs w:val="40"/>
        </w:rPr>
      </w:pPr>
    </w:p>
    <w:p w14:paraId="6D2279CE" w14:textId="5EA7CECB" w:rsidR="00F22516" w:rsidRDefault="00F22516" w:rsidP="00BB7179">
      <w:pPr>
        <w:spacing w:line="360" w:lineRule="auto"/>
        <w:jc w:val="center"/>
        <w:rPr>
          <w:rFonts w:ascii="Arial" w:hAnsi="Arial" w:cs="Arial"/>
          <w:b/>
          <w:bCs/>
          <w:sz w:val="40"/>
          <w:szCs w:val="40"/>
        </w:rPr>
      </w:pPr>
    </w:p>
    <w:p w14:paraId="66B51E6E" w14:textId="77777777" w:rsidR="00F22516" w:rsidRPr="00F22516" w:rsidRDefault="00F22516" w:rsidP="00BB7179">
      <w:pPr>
        <w:spacing w:line="360" w:lineRule="auto"/>
        <w:jc w:val="center"/>
        <w:rPr>
          <w:rFonts w:ascii="Arial" w:eastAsia="Arial" w:hAnsi="Arial" w:cs="Arial"/>
          <w:b/>
          <w:bCs/>
          <w:sz w:val="40"/>
          <w:szCs w:val="40"/>
        </w:rPr>
      </w:pPr>
    </w:p>
    <w:p w14:paraId="01BDF044" w14:textId="2F570760" w:rsidR="01D8550E" w:rsidRPr="00BB7179" w:rsidRDefault="01D8550E" w:rsidP="00BB7179">
      <w:pPr>
        <w:spacing w:line="360" w:lineRule="auto"/>
        <w:jc w:val="center"/>
        <w:rPr>
          <w:rFonts w:ascii="Arial" w:hAnsi="Arial" w:cs="Arial"/>
          <w:sz w:val="24"/>
          <w:szCs w:val="24"/>
        </w:rPr>
      </w:pPr>
      <w:r w:rsidRPr="00BB7179">
        <w:rPr>
          <w:rFonts w:ascii="Arial" w:hAnsi="Arial" w:cs="Arial"/>
          <w:sz w:val="24"/>
          <w:szCs w:val="24"/>
        </w:rPr>
        <w:t xml:space="preserve">Student </w:t>
      </w:r>
      <w:r w:rsidR="00F22516">
        <w:rPr>
          <w:rFonts w:ascii="Arial" w:hAnsi="Arial" w:cs="Arial"/>
          <w:sz w:val="24"/>
          <w:szCs w:val="24"/>
        </w:rPr>
        <w:t>Name: Maria Alexandra Dumitru</w:t>
      </w:r>
    </w:p>
    <w:p w14:paraId="22FBCE96" w14:textId="39051CCD" w:rsidR="00F22516" w:rsidRDefault="01D8550E" w:rsidP="00BB7179">
      <w:pPr>
        <w:spacing w:line="360" w:lineRule="auto"/>
        <w:jc w:val="center"/>
        <w:rPr>
          <w:rFonts w:ascii="Arial" w:hAnsi="Arial" w:cs="Arial"/>
          <w:sz w:val="24"/>
          <w:szCs w:val="24"/>
        </w:rPr>
      </w:pPr>
      <w:r w:rsidRPr="00BB7179">
        <w:rPr>
          <w:rFonts w:ascii="Arial" w:hAnsi="Arial" w:cs="Arial"/>
          <w:sz w:val="24"/>
          <w:szCs w:val="24"/>
        </w:rPr>
        <w:t>Submission Date</w:t>
      </w:r>
      <w:r w:rsidR="00F22516">
        <w:rPr>
          <w:rFonts w:ascii="Arial" w:hAnsi="Arial" w:cs="Arial"/>
          <w:sz w:val="24"/>
          <w:szCs w:val="24"/>
        </w:rPr>
        <w:t>: 10/03/2023</w:t>
      </w:r>
    </w:p>
    <w:p w14:paraId="6DFE3C44" w14:textId="5DC8B2A1" w:rsidR="01D8550E" w:rsidRPr="00BB7179" w:rsidRDefault="00F22516" w:rsidP="00BB7179">
      <w:pPr>
        <w:spacing w:line="360" w:lineRule="auto"/>
        <w:jc w:val="center"/>
        <w:rPr>
          <w:rFonts w:ascii="Arial" w:hAnsi="Arial" w:cs="Arial"/>
          <w:sz w:val="24"/>
          <w:szCs w:val="24"/>
        </w:rPr>
      </w:pPr>
      <w:r>
        <w:rPr>
          <w:rFonts w:ascii="Arial" w:hAnsi="Arial" w:cs="Arial"/>
          <w:sz w:val="24"/>
          <w:szCs w:val="24"/>
        </w:rPr>
        <w:t>ID: 2224515</w:t>
      </w:r>
    </w:p>
    <w:p w14:paraId="36F32CB2" w14:textId="2535AC85" w:rsidR="01D8550E" w:rsidRDefault="01D8550E" w:rsidP="01D8550E">
      <w:pPr>
        <w:spacing w:line="360" w:lineRule="auto"/>
        <w:jc w:val="both"/>
        <w:rPr>
          <w:rFonts w:ascii="Arial" w:eastAsia="Arial" w:hAnsi="Arial" w:cs="Arial"/>
          <w:sz w:val="24"/>
          <w:szCs w:val="24"/>
        </w:rPr>
      </w:pPr>
    </w:p>
    <w:p w14:paraId="074516CD" w14:textId="77777777" w:rsidR="00BB7179" w:rsidRDefault="00BB7179">
      <w:pPr>
        <w:rPr>
          <w:rStyle w:val="normaltextrun"/>
          <w:rFonts w:ascii="Arial" w:hAnsi="Arial" w:cs="Arial"/>
          <w:b/>
          <w:bCs/>
          <w:color w:val="000000"/>
          <w:sz w:val="28"/>
          <w:szCs w:val="28"/>
          <w:shd w:val="clear" w:color="auto" w:fill="FFFFFF"/>
        </w:rPr>
      </w:pPr>
      <w:r>
        <w:rPr>
          <w:rStyle w:val="normaltextrun"/>
          <w:rFonts w:ascii="Arial" w:hAnsi="Arial" w:cs="Arial"/>
          <w:b/>
          <w:bCs/>
          <w:color w:val="000000"/>
          <w:sz w:val="28"/>
          <w:szCs w:val="28"/>
          <w:shd w:val="clear" w:color="auto" w:fill="FFFFFF"/>
        </w:rPr>
        <w:br w:type="page"/>
      </w:r>
    </w:p>
    <w:p w14:paraId="349A4BF6" w14:textId="1E60EBDC" w:rsidR="00BB7179" w:rsidRPr="00BB7179" w:rsidRDefault="00BB7179" w:rsidP="00BB7179">
      <w:pPr>
        <w:pStyle w:val="Heading1"/>
        <w:spacing w:before="120" w:line="240" w:lineRule="auto"/>
        <w:rPr>
          <w:rStyle w:val="normaltextrun"/>
          <w:rFonts w:ascii="Arial" w:hAnsi="Arial" w:cs="Arial"/>
          <w:b/>
          <w:bCs/>
          <w:color w:val="auto"/>
          <w:sz w:val="24"/>
          <w:szCs w:val="24"/>
        </w:rPr>
      </w:pPr>
      <w:r w:rsidRPr="00BB7179">
        <w:rPr>
          <w:rStyle w:val="normaltextrun"/>
          <w:rFonts w:ascii="Arial" w:hAnsi="Arial" w:cs="Arial"/>
          <w:b/>
          <w:bCs/>
          <w:color w:val="auto"/>
          <w:sz w:val="24"/>
          <w:szCs w:val="24"/>
        </w:rPr>
        <w:lastRenderedPageBreak/>
        <w:t>The English Legal System is based upon common law principles</w:t>
      </w:r>
    </w:p>
    <w:p w14:paraId="2C078E63" w14:textId="09FC717C" w:rsidR="005C007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Legal procedures are at the heart of contemporary societies and play a formative role in the relationships that exist among individuals, organisations, and governments (Arroyo, 2017). Anyone who wants to have any kind of interaction with the judicial system absolutely needs to have a solid grasp on the workings of the legal system, including the relationship that exists between laws, policies, and procedures. The purpose of this paper is to investigate and analyse the fundamental legal methods of reasoning from precedent and interpreting statutes, as well as the role that fact-finding, policies, and practices play in the legal system. In addition, a comparison of the various legal systems will be made, as well as an analysis of the effect that legal reforms have had on the processes of the legal system. At the conclusion of the paper, the reader will have a thorough comprehension of the legal procedures, including the elements that play a role in determining the results of those procedures.</w:t>
      </w:r>
    </w:p>
    <w:p w14:paraId="0EF2FD34" w14:textId="7BAB6E99"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Legislation shapes legal processes in both common law and civil law legal systems. In the common law system, legislation is the primary source of law and is developed through judicial decisions based on precedent (Hart &amp; Sacks, 1958). In contrast, civil law systems rely heavily on codified laws and statutes enacted by legislatures (Freiberg, 2008). Legislation informs legal processes by providing a framework for the interpretation and application of the law. For example, the interpretation of a statute in a case may be guided by the legislative intent behind the statute as well as the legislative history of the law. Furthermore, the legal process shapes the interpretation and application of legislation through the development of legal principles and doctrines, such as the doctrine of stare decisis in common law systems, which requires judges to follow prior decisions (Hart &amp; Sacks, 1958).</w:t>
      </w:r>
    </w:p>
    <w:p w14:paraId="6113D30C" w14:textId="3D4E5B55"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Derbyshire police faced public backlash in January 2021 after fining two women £200 each for driving five miles from their homes to go for a walk in the park, which they claimed violated COVID-19 lockdown restrictions (The Guardian, 2021). The incident raises important questions about the relationship between legislation and legal processes, particularly how legislation informs legal processes and how legal processes shape the interpretation and application of legislation.</w:t>
      </w:r>
    </w:p>
    <w:p w14:paraId="37F82AF6" w14:textId="745DA91E"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lastRenderedPageBreak/>
        <w:t>The use of legal reasoning from precedent and interpreting statutes is a critical aspect of legal processes. In the Derbyshire case, police officers may have used the statutory powers granted to them under the Health Protection (Coronavirus, Restrictions) (England) Regulations 2020 to enforce the lockdown restrictions (Legislation.gov.uk, 2020). However, the use of these powers is open to interpretation and may be influenced by legal precedent. In a similar case in Wales, the police were forced to drop fines issued to two women who had driven five miles to go for a walk after it was determined that their actions did not violate the lockdown regulations (BBC News, 2021). This demonstrates how legal reasoning from precedent and interpreting statutes can shape how legislation is applied in practise. The distinction between common law and civil law legal systems is also important in understanding the relationship between legislation and legal processes. Legal principles are developed in common law systems through judicial decisions based on precedent, whereas in civil law systems, legal principles are codified in legislation (Freiberg, 2008). This fundamental difference has significant implications for the development of legal processes in each system.</w:t>
      </w:r>
    </w:p>
    <w:p w14:paraId="4611FC04" w14:textId="53DD0836"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The common law system is a legal system that originated in England and spread to other countries, including the United States. It is based on judicial decisions made by courts in individual cases and is guided by legal precedent. The development of common law can be traced back to the twelfth century, when judges began to record their decisions and follow the reasoning of previous judges in similar cases. Over time, the common law evolved into a more coherent and predictable legal system, with judges creating and refining legal principles through their decisions. Today, common law still plays an important role in many countries, including the United States, where it coexists with statutory law. In criminal trials, for example, common law rules of evidence, such as the hearsay rule, still apply. (Halliday, 2001)</w:t>
      </w:r>
    </w:p>
    <w:p w14:paraId="5393F570" w14:textId="37B7D492"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The process of determining the facts of a case and drawing conclusions about those facts based on the evidence that is presented is known as fact-finding, and it is an essential part of the legal system (Emanuel, 2020). Witness testimony, documentary evidence, the testimony of subject matter experts, and taking judicial notice are some of the fact-finding strategies that are utilised by various legal systems (</w:t>
      </w:r>
      <w:proofErr w:type="spellStart"/>
      <w:r w:rsidRPr="01D8550E">
        <w:rPr>
          <w:rFonts w:ascii="Arial" w:eastAsia="Arial" w:hAnsi="Arial" w:cs="Arial"/>
          <w:sz w:val="24"/>
          <w:szCs w:val="24"/>
        </w:rPr>
        <w:t>Lubet</w:t>
      </w:r>
      <w:proofErr w:type="spellEnd"/>
      <w:r w:rsidRPr="01D8550E">
        <w:rPr>
          <w:rFonts w:ascii="Arial" w:eastAsia="Arial" w:hAnsi="Arial" w:cs="Arial"/>
          <w:sz w:val="24"/>
          <w:szCs w:val="24"/>
        </w:rPr>
        <w:t xml:space="preserve">, 2019). The advantages and </w:t>
      </w:r>
      <w:r w:rsidRPr="01D8550E">
        <w:rPr>
          <w:rFonts w:ascii="Arial" w:eastAsia="Arial" w:hAnsi="Arial" w:cs="Arial"/>
          <w:sz w:val="24"/>
          <w:szCs w:val="24"/>
        </w:rPr>
        <w:lastRenderedPageBreak/>
        <w:t xml:space="preserve">disadvantages of utilising these approaches change according to a variety of criteria, including dependability, credibility, authenticity, relevance, and weight (Tong &amp; </w:t>
      </w:r>
      <w:proofErr w:type="spellStart"/>
      <w:r w:rsidRPr="01D8550E">
        <w:rPr>
          <w:rFonts w:ascii="Arial" w:eastAsia="Arial" w:hAnsi="Arial" w:cs="Arial"/>
          <w:sz w:val="24"/>
          <w:szCs w:val="24"/>
        </w:rPr>
        <w:t>Freckelton</w:t>
      </w:r>
      <w:proofErr w:type="spellEnd"/>
      <w:r w:rsidRPr="01D8550E">
        <w:rPr>
          <w:rFonts w:ascii="Arial" w:eastAsia="Arial" w:hAnsi="Arial" w:cs="Arial"/>
          <w:sz w:val="24"/>
          <w:szCs w:val="24"/>
        </w:rPr>
        <w:t>, 2017). Witness testimony, for example, can be persuasive but is also prone to bias, inconsistency, and error; on the other hand, documentary evidence can be reliable but is also prone to authenticity challenges (Emanuel, 2020). It is essential, in order to guarantee the correctness and equity of legal decisions, to conduct an analysis of the benefits and drawbacks associated with the various approaches to fact-finding. In the case of Derbyshire, the officers had to determine whether or not the women had broken the lockdown restrictions by driving to go for a walk. This required them to gather evidence and assess it, such as the women's explanations for their actions and the precise wording of the regulations. The methods that the police used to gather evidence, on the other hand, could have been skewed by biases and limitations, such as the confirmation bias or the lack of complete information. This highlights how important it is to ensure that methods of fact-finding are reliable and accurate in order to ensure that legal procedures are fair and just.</w:t>
      </w:r>
    </w:p>
    <w:p w14:paraId="0BAB41C7" w14:textId="1967DD2A"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On the other hand, policies and practises play a significant role in shaping the interpretation and application of legislation in the legal process. This is because policies and practises are shaped by practises and policies. Policies are the guidelines, principles, and objectives that guide decision-making and action in a specific context, such as a government agency, a court, or a law firm (</w:t>
      </w:r>
      <w:proofErr w:type="spellStart"/>
      <w:r w:rsidRPr="01D8550E">
        <w:rPr>
          <w:rFonts w:ascii="Arial" w:eastAsia="Arial" w:hAnsi="Arial" w:cs="Arial"/>
          <w:sz w:val="24"/>
          <w:szCs w:val="24"/>
        </w:rPr>
        <w:t>Garca</w:t>
      </w:r>
      <w:proofErr w:type="spellEnd"/>
      <w:r w:rsidRPr="01D8550E">
        <w:rPr>
          <w:rFonts w:ascii="Arial" w:eastAsia="Arial" w:hAnsi="Arial" w:cs="Arial"/>
          <w:sz w:val="24"/>
          <w:szCs w:val="24"/>
        </w:rPr>
        <w:t xml:space="preserve">-Sánchez, 2018). Policies can be found in a variety of settings, including legal firms, government agencies, and courts. Practices include the likes of legal advocacy, judicial review, and dispute resolution (McGowan, 2016). Because they provide the context, framework, and criteria for legal decision-making, policies and practises can both have an effect on how legislation is understood, implemented, and enforced. This is because they both provide the context of legal decision-making (Friedman, 2019). In the case of Derbyshire, for instance, law enforcement officials may have been swayed by their own interpretations of the lockdown restrictions as well as their perceptions of the risks associated with breaking them. It's possible that broader policy and cultural factors, like the government's messaging around COVID-19 and public attitudes towards lockdown restrictions, played a role in shaping these interpretations. According to the claims made by Terence Halliday in his article titled </w:t>
      </w:r>
      <w:r w:rsidRPr="01D8550E">
        <w:rPr>
          <w:rFonts w:ascii="Arial" w:eastAsia="Arial" w:hAnsi="Arial" w:cs="Arial"/>
          <w:sz w:val="24"/>
          <w:szCs w:val="24"/>
        </w:rPr>
        <w:lastRenderedPageBreak/>
        <w:t>"Legal Culture and the Adversary System," legal culture has the potential to have a significant effect on the manner in which legal procedures are carried out (Halliday, 2008). It is therefore essential to have a solid understanding of these policies and practises in order to guarantee that the legal procedures in place promote fairness and justice.</w:t>
      </w:r>
    </w:p>
    <w:p w14:paraId="439FE159" w14:textId="405941CB" w:rsidR="01D8550E" w:rsidRDefault="01D8550E" w:rsidP="01D8550E">
      <w:pPr>
        <w:spacing w:line="360" w:lineRule="auto"/>
        <w:jc w:val="both"/>
        <w:rPr>
          <w:rFonts w:ascii="Arial" w:eastAsia="Arial" w:hAnsi="Arial" w:cs="Arial"/>
          <w:sz w:val="24"/>
          <w:szCs w:val="24"/>
        </w:rPr>
      </w:pPr>
      <w:r w:rsidRPr="01D8550E">
        <w:rPr>
          <w:rFonts w:ascii="Arial" w:eastAsia="Arial" w:hAnsi="Arial" w:cs="Arial"/>
          <w:sz w:val="24"/>
          <w:szCs w:val="24"/>
        </w:rPr>
        <w:t>In conclusion, the essay discussed the fundamental legal methods of reasoning from precedent and interpreting statutes, as well as the role of fact-finding, policies, and practises in the legal system. It emphasises the significance of understanding the relationship between legislation and legal processes, such as how legislation informs legal processes and how legal processes shape legislation interpretation and application. The essay also compares the legal systems of common law and civil law and examines the impact of legal reforms on the legal system's processes. The Derbyshire police incident is used to demonstrate how precedent and interpreting statutes shape how legislation is applied in practise. The importance of fact-finding methods in ensuring the accuracy and fairness of legal decisions is discussed in this essay. Finally, the essay emphasises the critical role that policies and practises play in shaping how legislation is interpreted and applied in legal processes.</w:t>
      </w:r>
    </w:p>
    <w:p w14:paraId="347888DC" w14:textId="2BD9770D" w:rsidR="01D8550E" w:rsidRDefault="01D8550E">
      <w:r>
        <w:br w:type="page"/>
      </w:r>
    </w:p>
    <w:p w14:paraId="6573BEE4" w14:textId="2B1ABEB7" w:rsidR="01D8550E" w:rsidRPr="00BB7179" w:rsidRDefault="01D8550E" w:rsidP="00BB7179">
      <w:pPr>
        <w:pStyle w:val="Heading1"/>
        <w:spacing w:before="120" w:line="240" w:lineRule="auto"/>
        <w:rPr>
          <w:rFonts w:ascii="Arial" w:eastAsia="Arial" w:hAnsi="Arial" w:cs="Arial"/>
          <w:b/>
          <w:bCs/>
          <w:color w:val="auto"/>
          <w:sz w:val="24"/>
          <w:szCs w:val="24"/>
        </w:rPr>
      </w:pPr>
      <w:r w:rsidRPr="00BB7179">
        <w:rPr>
          <w:rFonts w:ascii="Arial" w:eastAsia="Arial" w:hAnsi="Arial" w:cs="Arial"/>
          <w:b/>
          <w:bCs/>
          <w:color w:val="auto"/>
          <w:sz w:val="24"/>
          <w:szCs w:val="24"/>
        </w:rPr>
        <w:lastRenderedPageBreak/>
        <w:t>References</w:t>
      </w:r>
    </w:p>
    <w:p w14:paraId="7F2F8995"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Arroyo, R. P. (2017). The role of legal procedures in contemporary societies. Journal of Law and Society, 44(1), 1-17.</w:t>
      </w:r>
    </w:p>
    <w:p w14:paraId="5DBE1895"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Emanuel, S. L. (2020). Basic Concepts of American Law and Jurisprudence. Wolters Kluwer Law &amp; Business.</w:t>
      </w:r>
    </w:p>
    <w:p w14:paraId="60C1E4EB"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Freiberg, A. (2008). Civil law and common law: Two different paths leading to the same goal. The Journal of Comparative Law, 3(2), 1-15.</w:t>
      </w:r>
    </w:p>
    <w:p w14:paraId="0977EE94"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 xml:space="preserve">Halliday, F. (2001). Common Law and Civil Law. In R. </w:t>
      </w:r>
      <w:proofErr w:type="spellStart"/>
      <w:r w:rsidRPr="00BB7179">
        <w:rPr>
          <w:rFonts w:ascii="Arial" w:hAnsi="Arial" w:cs="Arial"/>
          <w:sz w:val="24"/>
          <w:szCs w:val="24"/>
        </w:rPr>
        <w:t>Banakar</w:t>
      </w:r>
      <w:proofErr w:type="spellEnd"/>
      <w:r w:rsidRPr="00BB7179">
        <w:rPr>
          <w:rFonts w:ascii="Arial" w:hAnsi="Arial" w:cs="Arial"/>
          <w:sz w:val="24"/>
          <w:szCs w:val="24"/>
        </w:rPr>
        <w:t xml:space="preserve"> &amp; M. Travers (Eds.), An Introduction to Law and Social Theory (pp. 43-64). Oxford: Hart Publishing.</w:t>
      </w:r>
    </w:p>
    <w:p w14:paraId="59086A1F"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Hart, H. L. A., &amp; Sacks, A. M. (1958). The legal process: Basic problems in the making and application of law. Oxford University Press.</w:t>
      </w:r>
    </w:p>
    <w:p w14:paraId="32DC169B"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 xml:space="preserve">Legislation.gov.uk. (2020). Health Protection (Coronavirus, Restrictions) (England) Regulations 2020. Retrieved from </w:t>
      </w:r>
      <w:hyperlink r:id="rId6">
        <w:r w:rsidRPr="00BB7179">
          <w:rPr>
            <w:rStyle w:val="Hyperlink"/>
            <w:rFonts w:ascii="Arial" w:hAnsi="Arial" w:cs="Arial"/>
            <w:color w:val="auto"/>
            <w:sz w:val="24"/>
            <w:szCs w:val="24"/>
            <w:u w:val="none"/>
          </w:rPr>
          <w:t>https://www.legislation.gov.uk/uksi/2020/350/contents/made</w:t>
        </w:r>
      </w:hyperlink>
    </w:p>
    <w:p w14:paraId="405C0F00" w14:textId="77777777" w:rsidR="00BB7179" w:rsidRPr="00BB7179" w:rsidRDefault="00BB7179" w:rsidP="00BB7179">
      <w:pPr>
        <w:pStyle w:val="NoSpacing"/>
        <w:spacing w:line="360" w:lineRule="auto"/>
        <w:ind w:left="720" w:hanging="720"/>
        <w:rPr>
          <w:rFonts w:ascii="Arial" w:hAnsi="Arial" w:cs="Arial"/>
          <w:sz w:val="24"/>
          <w:szCs w:val="24"/>
        </w:rPr>
      </w:pPr>
      <w:proofErr w:type="spellStart"/>
      <w:r w:rsidRPr="00BB7179">
        <w:rPr>
          <w:rFonts w:ascii="Arial" w:hAnsi="Arial" w:cs="Arial"/>
          <w:sz w:val="24"/>
          <w:szCs w:val="24"/>
        </w:rPr>
        <w:t>Lubet</w:t>
      </w:r>
      <w:proofErr w:type="spellEnd"/>
      <w:r w:rsidRPr="00BB7179">
        <w:rPr>
          <w:rFonts w:ascii="Arial" w:hAnsi="Arial" w:cs="Arial"/>
          <w:sz w:val="24"/>
          <w:szCs w:val="24"/>
        </w:rPr>
        <w:t>, S. (2019). Modern Trial Advocacy: Analysis and Practice. Wolters Kluwer Law &amp; Business.</w:t>
      </w:r>
    </w:p>
    <w:p w14:paraId="26B852E9"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 xml:space="preserve">Tong, R., &amp; </w:t>
      </w:r>
      <w:proofErr w:type="spellStart"/>
      <w:r w:rsidRPr="00BB7179">
        <w:rPr>
          <w:rFonts w:ascii="Arial" w:hAnsi="Arial" w:cs="Arial"/>
          <w:sz w:val="24"/>
          <w:szCs w:val="24"/>
        </w:rPr>
        <w:t>Freckelton</w:t>
      </w:r>
      <w:proofErr w:type="spellEnd"/>
      <w:r w:rsidRPr="00BB7179">
        <w:rPr>
          <w:rFonts w:ascii="Arial" w:hAnsi="Arial" w:cs="Arial"/>
          <w:sz w:val="24"/>
          <w:szCs w:val="24"/>
        </w:rPr>
        <w:t>, I. (2017). Expert Evidence: Law, Practice, Procedure and Advocacy. Thomson Reuters.</w:t>
      </w:r>
    </w:p>
    <w:p w14:paraId="08517B4E"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 xml:space="preserve">The Guardian. (2021, January 11). UK police criticised for fining women who drove five miles for a walk. The Guardian. </w:t>
      </w:r>
      <w:hyperlink r:id="rId7">
        <w:r w:rsidRPr="00BB7179">
          <w:rPr>
            <w:rStyle w:val="Hyperlink"/>
            <w:rFonts w:ascii="Arial" w:hAnsi="Arial" w:cs="Arial"/>
            <w:color w:val="auto"/>
            <w:sz w:val="24"/>
            <w:szCs w:val="24"/>
            <w:u w:val="none"/>
          </w:rPr>
          <w:t>https://www.theguardian.com/uk-news/2021/jan/11/uk-police-criticised-for-fining-women-who-drove-five-miles-for-a-walk</w:t>
        </w:r>
      </w:hyperlink>
    </w:p>
    <w:p w14:paraId="38F41DD4" w14:textId="77777777" w:rsidR="00BB7179" w:rsidRPr="00BB7179" w:rsidRDefault="00BB7179" w:rsidP="00BB7179">
      <w:pPr>
        <w:pStyle w:val="NoSpacing"/>
        <w:spacing w:line="360" w:lineRule="auto"/>
        <w:ind w:left="720" w:hanging="720"/>
        <w:rPr>
          <w:rFonts w:ascii="Arial" w:hAnsi="Arial" w:cs="Arial"/>
          <w:sz w:val="24"/>
          <w:szCs w:val="24"/>
        </w:rPr>
      </w:pPr>
      <w:r w:rsidRPr="00BB7179">
        <w:rPr>
          <w:rFonts w:ascii="Arial" w:hAnsi="Arial" w:cs="Arial"/>
          <w:sz w:val="24"/>
          <w:szCs w:val="24"/>
        </w:rPr>
        <w:t xml:space="preserve">BBC News. (2021, January 15). Covid fines: Two women 'surrounded by police' over Derbyshire walk. Retrieved from </w:t>
      </w:r>
      <w:hyperlink r:id="rId8">
        <w:r w:rsidRPr="00BB7179">
          <w:rPr>
            <w:rStyle w:val="Hyperlink"/>
            <w:rFonts w:ascii="Arial" w:hAnsi="Arial" w:cs="Arial"/>
            <w:color w:val="auto"/>
            <w:sz w:val="24"/>
            <w:szCs w:val="24"/>
            <w:u w:val="none"/>
          </w:rPr>
          <w:t>https://www.bbc.com/news/uk-england-derbyshire-55656977</w:t>
        </w:r>
      </w:hyperlink>
    </w:p>
    <w:sectPr w:rsidR="00BB7179" w:rsidRPr="00BB717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05C13" w14:textId="77777777" w:rsidR="003A3DEB" w:rsidRDefault="003A3DEB" w:rsidP="00BB7179">
      <w:pPr>
        <w:spacing w:after="0" w:line="240" w:lineRule="auto"/>
      </w:pPr>
      <w:r>
        <w:separator/>
      </w:r>
    </w:p>
  </w:endnote>
  <w:endnote w:type="continuationSeparator" w:id="0">
    <w:p w14:paraId="046A2552" w14:textId="77777777" w:rsidR="003A3DEB" w:rsidRDefault="003A3DEB" w:rsidP="00BB7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993463"/>
      <w:docPartObj>
        <w:docPartGallery w:val="Page Numbers (Bottom of Page)"/>
        <w:docPartUnique/>
      </w:docPartObj>
    </w:sdtPr>
    <w:sdtEndPr>
      <w:rPr>
        <w:rFonts w:ascii="Arial" w:hAnsi="Arial" w:cs="Arial"/>
        <w:noProof/>
        <w:sz w:val="24"/>
        <w:szCs w:val="24"/>
      </w:rPr>
    </w:sdtEndPr>
    <w:sdtContent>
      <w:p w14:paraId="50BACA5F" w14:textId="7B9AC85C" w:rsidR="00BB7179" w:rsidRPr="00BB7179" w:rsidRDefault="00BB7179">
        <w:pPr>
          <w:pStyle w:val="Footer"/>
          <w:jc w:val="center"/>
          <w:rPr>
            <w:rFonts w:ascii="Arial" w:hAnsi="Arial" w:cs="Arial"/>
            <w:sz w:val="24"/>
            <w:szCs w:val="24"/>
          </w:rPr>
        </w:pPr>
        <w:r w:rsidRPr="00BB7179">
          <w:rPr>
            <w:rFonts w:ascii="Arial" w:hAnsi="Arial" w:cs="Arial"/>
            <w:sz w:val="24"/>
            <w:szCs w:val="24"/>
          </w:rPr>
          <w:fldChar w:fldCharType="begin"/>
        </w:r>
        <w:r w:rsidRPr="00BB7179">
          <w:rPr>
            <w:rFonts w:ascii="Arial" w:hAnsi="Arial" w:cs="Arial"/>
            <w:sz w:val="24"/>
            <w:szCs w:val="24"/>
          </w:rPr>
          <w:instrText xml:space="preserve"> PAGE   \* MERGEFORMAT </w:instrText>
        </w:r>
        <w:r w:rsidRPr="00BB7179">
          <w:rPr>
            <w:rFonts w:ascii="Arial" w:hAnsi="Arial" w:cs="Arial"/>
            <w:sz w:val="24"/>
            <w:szCs w:val="24"/>
          </w:rPr>
          <w:fldChar w:fldCharType="separate"/>
        </w:r>
        <w:r w:rsidRPr="00BB7179">
          <w:rPr>
            <w:rFonts w:ascii="Arial" w:hAnsi="Arial" w:cs="Arial"/>
            <w:noProof/>
            <w:sz w:val="24"/>
            <w:szCs w:val="24"/>
          </w:rPr>
          <w:t>2</w:t>
        </w:r>
        <w:r w:rsidRPr="00BB7179">
          <w:rPr>
            <w:rFonts w:ascii="Arial" w:hAnsi="Arial" w:cs="Arial"/>
            <w:noProof/>
            <w:sz w:val="24"/>
            <w:szCs w:val="24"/>
          </w:rPr>
          <w:fldChar w:fldCharType="end"/>
        </w:r>
      </w:p>
    </w:sdtContent>
  </w:sdt>
  <w:p w14:paraId="1C3762CF" w14:textId="77777777" w:rsidR="00BB7179" w:rsidRDefault="00BB7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4342B" w14:textId="77777777" w:rsidR="003A3DEB" w:rsidRDefault="003A3DEB" w:rsidP="00BB7179">
      <w:pPr>
        <w:spacing w:after="0" w:line="240" w:lineRule="auto"/>
      </w:pPr>
      <w:r>
        <w:separator/>
      </w:r>
    </w:p>
  </w:footnote>
  <w:footnote w:type="continuationSeparator" w:id="0">
    <w:p w14:paraId="3C553A56" w14:textId="77777777" w:rsidR="003A3DEB" w:rsidRDefault="003A3DEB" w:rsidP="00BB71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B8AFE3"/>
    <w:rsid w:val="003A3DEB"/>
    <w:rsid w:val="005C007E"/>
    <w:rsid w:val="00BB7179"/>
    <w:rsid w:val="00F22516"/>
    <w:rsid w:val="01D8550E"/>
    <w:rsid w:val="57B8A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8AFE3"/>
  <w15:chartTrackingRefBased/>
  <w15:docId w15:val="{A15A0778-644E-42BD-BCCC-4E55C5456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1D8550E"/>
    <w:rPr>
      <w:lang w:val="en-GB"/>
    </w:rPr>
  </w:style>
  <w:style w:type="paragraph" w:styleId="Heading1">
    <w:name w:val="heading 1"/>
    <w:basedOn w:val="Normal"/>
    <w:next w:val="Normal"/>
    <w:link w:val="Heading1Char"/>
    <w:uiPriority w:val="9"/>
    <w:qFormat/>
    <w:rsid w:val="01D855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1D855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1D8550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1D855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1D8550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1D8550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1D8550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1D8550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1D8550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1D8550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1D8550E"/>
    <w:rPr>
      <w:rFonts w:eastAsiaTheme="minorEastAsia"/>
      <w:color w:val="5A5A5A"/>
    </w:rPr>
  </w:style>
  <w:style w:type="paragraph" w:styleId="Quote">
    <w:name w:val="Quote"/>
    <w:basedOn w:val="Normal"/>
    <w:next w:val="Normal"/>
    <w:link w:val="QuoteChar"/>
    <w:uiPriority w:val="29"/>
    <w:qFormat/>
    <w:rsid w:val="01D8550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1D8550E"/>
    <w:pPr>
      <w:spacing w:before="360" w:after="360"/>
      <w:ind w:left="864" w:right="864"/>
      <w:jc w:val="center"/>
    </w:pPr>
    <w:rPr>
      <w:i/>
      <w:iCs/>
      <w:color w:val="4472C4" w:themeColor="accent1"/>
    </w:rPr>
  </w:style>
  <w:style w:type="paragraph" w:styleId="ListParagraph">
    <w:name w:val="List Paragraph"/>
    <w:basedOn w:val="Normal"/>
    <w:uiPriority w:val="34"/>
    <w:qFormat/>
    <w:rsid w:val="01D8550E"/>
    <w:pPr>
      <w:ind w:left="720"/>
      <w:contextualSpacing/>
    </w:pPr>
  </w:style>
  <w:style w:type="character" w:customStyle="1" w:styleId="Heading1Char">
    <w:name w:val="Heading 1 Char"/>
    <w:basedOn w:val="DefaultParagraphFont"/>
    <w:link w:val="Heading1"/>
    <w:uiPriority w:val="9"/>
    <w:rsid w:val="01D8550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1D8550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1D8550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1D8550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1D8550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1D8550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1D8550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1D8550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1D8550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1D8550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1D8550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1D8550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1D8550E"/>
    <w:rPr>
      <w:i/>
      <w:iCs/>
      <w:noProof w:val="0"/>
      <w:color w:val="4472C4" w:themeColor="accent1"/>
      <w:lang w:val="en-GB"/>
    </w:rPr>
  </w:style>
  <w:style w:type="paragraph" w:styleId="TOC1">
    <w:name w:val="toc 1"/>
    <w:basedOn w:val="Normal"/>
    <w:next w:val="Normal"/>
    <w:uiPriority w:val="39"/>
    <w:unhideWhenUsed/>
    <w:rsid w:val="01D8550E"/>
    <w:pPr>
      <w:spacing w:after="100"/>
    </w:pPr>
  </w:style>
  <w:style w:type="paragraph" w:styleId="TOC2">
    <w:name w:val="toc 2"/>
    <w:basedOn w:val="Normal"/>
    <w:next w:val="Normal"/>
    <w:uiPriority w:val="39"/>
    <w:unhideWhenUsed/>
    <w:rsid w:val="01D8550E"/>
    <w:pPr>
      <w:spacing w:after="100"/>
      <w:ind w:left="220"/>
    </w:pPr>
  </w:style>
  <w:style w:type="paragraph" w:styleId="TOC3">
    <w:name w:val="toc 3"/>
    <w:basedOn w:val="Normal"/>
    <w:next w:val="Normal"/>
    <w:uiPriority w:val="39"/>
    <w:unhideWhenUsed/>
    <w:rsid w:val="01D8550E"/>
    <w:pPr>
      <w:spacing w:after="100"/>
      <w:ind w:left="440"/>
    </w:pPr>
  </w:style>
  <w:style w:type="paragraph" w:styleId="TOC4">
    <w:name w:val="toc 4"/>
    <w:basedOn w:val="Normal"/>
    <w:next w:val="Normal"/>
    <w:uiPriority w:val="39"/>
    <w:unhideWhenUsed/>
    <w:rsid w:val="01D8550E"/>
    <w:pPr>
      <w:spacing w:after="100"/>
      <w:ind w:left="660"/>
    </w:pPr>
  </w:style>
  <w:style w:type="paragraph" w:styleId="TOC5">
    <w:name w:val="toc 5"/>
    <w:basedOn w:val="Normal"/>
    <w:next w:val="Normal"/>
    <w:uiPriority w:val="39"/>
    <w:unhideWhenUsed/>
    <w:rsid w:val="01D8550E"/>
    <w:pPr>
      <w:spacing w:after="100"/>
      <w:ind w:left="880"/>
    </w:pPr>
  </w:style>
  <w:style w:type="paragraph" w:styleId="TOC6">
    <w:name w:val="toc 6"/>
    <w:basedOn w:val="Normal"/>
    <w:next w:val="Normal"/>
    <w:uiPriority w:val="39"/>
    <w:unhideWhenUsed/>
    <w:rsid w:val="01D8550E"/>
    <w:pPr>
      <w:spacing w:after="100"/>
      <w:ind w:left="1100"/>
    </w:pPr>
  </w:style>
  <w:style w:type="paragraph" w:styleId="TOC7">
    <w:name w:val="toc 7"/>
    <w:basedOn w:val="Normal"/>
    <w:next w:val="Normal"/>
    <w:uiPriority w:val="39"/>
    <w:unhideWhenUsed/>
    <w:rsid w:val="01D8550E"/>
    <w:pPr>
      <w:spacing w:after="100"/>
      <w:ind w:left="1320"/>
    </w:pPr>
  </w:style>
  <w:style w:type="paragraph" w:styleId="TOC8">
    <w:name w:val="toc 8"/>
    <w:basedOn w:val="Normal"/>
    <w:next w:val="Normal"/>
    <w:uiPriority w:val="39"/>
    <w:unhideWhenUsed/>
    <w:rsid w:val="01D8550E"/>
    <w:pPr>
      <w:spacing w:after="100"/>
      <w:ind w:left="1540"/>
    </w:pPr>
  </w:style>
  <w:style w:type="paragraph" w:styleId="TOC9">
    <w:name w:val="toc 9"/>
    <w:basedOn w:val="Normal"/>
    <w:next w:val="Normal"/>
    <w:uiPriority w:val="39"/>
    <w:unhideWhenUsed/>
    <w:rsid w:val="01D8550E"/>
    <w:pPr>
      <w:spacing w:after="100"/>
      <w:ind w:left="1760"/>
    </w:pPr>
  </w:style>
  <w:style w:type="paragraph" w:styleId="EndnoteText">
    <w:name w:val="endnote text"/>
    <w:basedOn w:val="Normal"/>
    <w:link w:val="EndnoteTextChar"/>
    <w:uiPriority w:val="99"/>
    <w:semiHidden/>
    <w:unhideWhenUsed/>
    <w:rsid w:val="01D8550E"/>
    <w:pPr>
      <w:spacing w:after="0"/>
    </w:pPr>
    <w:rPr>
      <w:sz w:val="20"/>
      <w:szCs w:val="20"/>
    </w:rPr>
  </w:style>
  <w:style w:type="character" w:customStyle="1" w:styleId="EndnoteTextChar">
    <w:name w:val="Endnote Text Char"/>
    <w:basedOn w:val="DefaultParagraphFont"/>
    <w:link w:val="EndnoteText"/>
    <w:uiPriority w:val="99"/>
    <w:semiHidden/>
    <w:rsid w:val="01D8550E"/>
    <w:rPr>
      <w:noProof w:val="0"/>
      <w:sz w:val="20"/>
      <w:szCs w:val="20"/>
      <w:lang w:val="en-GB"/>
    </w:rPr>
  </w:style>
  <w:style w:type="paragraph" w:styleId="Footer">
    <w:name w:val="footer"/>
    <w:basedOn w:val="Normal"/>
    <w:link w:val="FooterChar"/>
    <w:uiPriority w:val="99"/>
    <w:unhideWhenUsed/>
    <w:rsid w:val="01D8550E"/>
    <w:pPr>
      <w:tabs>
        <w:tab w:val="center" w:pos="4680"/>
        <w:tab w:val="right" w:pos="9360"/>
      </w:tabs>
      <w:spacing w:after="0"/>
    </w:pPr>
  </w:style>
  <w:style w:type="character" w:customStyle="1" w:styleId="FooterChar">
    <w:name w:val="Footer Char"/>
    <w:basedOn w:val="DefaultParagraphFont"/>
    <w:link w:val="Footer"/>
    <w:uiPriority w:val="99"/>
    <w:rsid w:val="01D8550E"/>
    <w:rPr>
      <w:noProof w:val="0"/>
      <w:lang w:val="en-GB"/>
    </w:rPr>
  </w:style>
  <w:style w:type="paragraph" w:styleId="FootnoteText">
    <w:name w:val="footnote text"/>
    <w:basedOn w:val="Normal"/>
    <w:link w:val="FootnoteTextChar"/>
    <w:uiPriority w:val="99"/>
    <w:semiHidden/>
    <w:unhideWhenUsed/>
    <w:rsid w:val="01D8550E"/>
    <w:pPr>
      <w:spacing w:after="0"/>
    </w:pPr>
    <w:rPr>
      <w:sz w:val="20"/>
      <w:szCs w:val="20"/>
    </w:rPr>
  </w:style>
  <w:style w:type="character" w:customStyle="1" w:styleId="FootnoteTextChar">
    <w:name w:val="Footnote Text Char"/>
    <w:basedOn w:val="DefaultParagraphFont"/>
    <w:link w:val="FootnoteText"/>
    <w:uiPriority w:val="99"/>
    <w:semiHidden/>
    <w:rsid w:val="01D8550E"/>
    <w:rPr>
      <w:noProof w:val="0"/>
      <w:sz w:val="20"/>
      <w:szCs w:val="20"/>
      <w:lang w:val="en-GB"/>
    </w:rPr>
  </w:style>
  <w:style w:type="paragraph" w:styleId="Header">
    <w:name w:val="header"/>
    <w:basedOn w:val="Normal"/>
    <w:link w:val="HeaderChar"/>
    <w:uiPriority w:val="99"/>
    <w:unhideWhenUsed/>
    <w:rsid w:val="01D8550E"/>
    <w:pPr>
      <w:tabs>
        <w:tab w:val="center" w:pos="4680"/>
        <w:tab w:val="right" w:pos="9360"/>
      </w:tabs>
      <w:spacing w:after="0"/>
    </w:pPr>
  </w:style>
  <w:style w:type="character" w:customStyle="1" w:styleId="HeaderChar">
    <w:name w:val="Header Char"/>
    <w:basedOn w:val="DefaultParagraphFont"/>
    <w:link w:val="Header"/>
    <w:uiPriority w:val="99"/>
    <w:rsid w:val="01D8550E"/>
    <w:rPr>
      <w:noProof w:val="0"/>
      <w:lang w:val="en-GB"/>
    </w:r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BB7179"/>
  </w:style>
  <w:style w:type="paragraph" w:styleId="NoSpacing">
    <w:name w:val="No Spacing"/>
    <w:uiPriority w:val="1"/>
    <w:qFormat/>
    <w:rsid w:val="00BB717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england-derbyshire-55656977" TargetMode="External"/><Relationship Id="rId3" Type="http://schemas.openxmlformats.org/officeDocument/2006/relationships/webSettings" Target="webSettings.xml"/><Relationship Id="rId7" Type="http://schemas.openxmlformats.org/officeDocument/2006/relationships/hyperlink" Target="https://www.theguardian.com/uk-news/2021/jan/11/uk-police-criticised-for-fining-women-who-drove-five-miles-for-a-wal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si/2020/350/contents/mad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1620</Words>
  <Characters>9237</Characters>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2023-03-10T20:01:00Z</dcterms:created>
  <dcterms:modified xsi:type="dcterms:W3CDTF">2023-03-10T20:01:00Z</dcterms:modified>
</cp:coreProperties>
</file>